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92"/>
        <w:gridCol w:w="399"/>
        <w:gridCol w:w="1073"/>
        <w:gridCol w:w="2275"/>
        <w:gridCol w:w="2112"/>
        <w:gridCol w:w="25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建设项目名称</w:t>
            </w:r>
          </w:p>
        </w:tc>
        <w:tc>
          <w:tcPr>
            <w:tcW w:w="6906" w:type="dxa"/>
            <w:gridSpan w:val="3"/>
            <w:vAlign w:val="center"/>
          </w:tcPr>
          <w:p>
            <w:pPr>
              <w:adjustRightInd w:val="0"/>
              <w:snapToGrid w:val="0"/>
              <w:spacing w:line="420" w:lineRule="exact"/>
              <w:jc w:val="center"/>
            </w:pPr>
            <w:r>
              <w:rPr>
                <w:rFonts w:hint="eastAsia"/>
                <w:lang w:eastAsia="zh-CN"/>
              </w:rPr>
              <w:t>淄博艺嘉源纸制品加工厂</w:t>
            </w:r>
            <w:r>
              <w:t>搬迁技改项目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项目代码</w:t>
            </w:r>
          </w:p>
        </w:tc>
        <w:tc>
          <w:tcPr>
            <w:tcW w:w="6906" w:type="dxa"/>
            <w:gridSpan w:val="3"/>
            <w:vAlign w:val="center"/>
          </w:tcPr>
          <w:p>
            <w:pPr>
              <w:adjustRightInd w:val="0"/>
              <w:snapToGrid w:val="0"/>
              <w:spacing w:line="420" w:lineRule="exact"/>
              <w:jc w:val="center"/>
              <w:rPr>
                <w:rFonts w:hint="eastAsia" w:eastAsia="宋体"/>
                <w:lang w:eastAsia="zh-CN"/>
              </w:rPr>
            </w:pPr>
            <w:r>
              <w:rPr>
                <w:rFonts w:hint="eastAsia"/>
                <w:lang w:eastAsia="zh-CN"/>
              </w:rPr>
              <w:t>2303-370302-89-02-393903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建设单位联系人</w:t>
            </w:r>
          </w:p>
        </w:tc>
        <w:tc>
          <w:tcPr>
            <w:tcW w:w="2275" w:type="dxa"/>
            <w:vAlign w:val="center"/>
          </w:tcPr>
          <w:p>
            <w:pPr>
              <w:adjustRightInd w:val="0"/>
              <w:snapToGrid w:val="0"/>
              <w:spacing w:line="420" w:lineRule="exact"/>
              <w:jc w:val="center"/>
            </w:pPr>
            <w:r>
              <w:rPr>
                <w:rFonts w:hint="eastAsia"/>
              </w:rPr>
              <w:t>刁晓波</w:t>
            </w:r>
          </w:p>
        </w:tc>
        <w:tc>
          <w:tcPr>
            <w:tcW w:w="2112" w:type="dxa"/>
            <w:vAlign w:val="center"/>
          </w:tcPr>
          <w:p>
            <w:pPr>
              <w:adjustRightInd w:val="0"/>
              <w:snapToGrid w:val="0"/>
              <w:spacing w:line="420" w:lineRule="exact"/>
              <w:jc w:val="center"/>
            </w:pPr>
            <w:r>
              <w:t>联系方式</w:t>
            </w:r>
          </w:p>
        </w:tc>
        <w:tc>
          <w:tcPr>
            <w:tcW w:w="2519" w:type="dxa"/>
            <w:vAlign w:val="center"/>
          </w:tcPr>
          <w:p>
            <w:pPr>
              <w:adjustRightInd w:val="0"/>
              <w:snapToGrid w:val="0"/>
              <w:spacing w:line="420" w:lineRule="exact"/>
              <w:jc w:val="center"/>
            </w:pPr>
            <w:r>
              <w:rPr>
                <w:rFonts w:hint="eastAsia" w:ascii="Times New Roman" w:hAnsi="Times New Roman" w:eastAsia="宋体" w:cs="Times New Roman"/>
                <w:lang w:val="en-US" w:eastAsia="zh-CN"/>
              </w:rPr>
              <w:t>13053320191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建设地点</w:t>
            </w:r>
          </w:p>
        </w:tc>
        <w:tc>
          <w:tcPr>
            <w:tcW w:w="6906" w:type="dxa"/>
            <w:gridSpan w:val="3"/>
            <w:vAlign w:val="center"/>
          </w:tcPr>
          <w:p>
            <w:pPr>
              <w:adjustRightInd w:val="0"/>
              <w:snapToGrid w:val="0"/>
              <w:spacing w:line="420" w:lineRule="exact"/>
              <w:jc w:val="center"/>
              <w:rPr>
                <w:rFonts w:hint="eastAsia" w:eastAsia="宋体"/>
                <w:lang w:eastAsia="zh-CN"/>
              </w:rPr>
            </w:pPr>
            <w:r>
              <w:t>山东省淄博市</w:t>
            </w:r>
            <w:r>
              <w:rPr>
                <w:rFonts w:hint="eastAsia"/>
                <w:lang w:eastAsia="zh-CN"/>
              </w:rPr>
              <w:t>淄川区双杨镇十里铺村东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地理坐标</w:t>
            </w:r>
          </w:p>
        </w:tc>
        <w:tc>
          <w:tcPr>
            <w:tcW w:w="6906" w:type="dxa"/>
            <w:gridSpan w:val="3"/>
            <w:vAlign w:val="center"/>
          </w:tcPr>
          <w:p>
            <w:pPr>
              <w:spacing w:line="420" w:lineRule="exact"/>
              <w:jc w:val="center"/>
            </w:pPr>
            <w:r>
              <w:rPr>
                <w:highlight w:val="none"/>
              </w:rPr>
              <w:t>（</w:t>
            </w:r>
            <w:bookmarkStart w:id="0" w:name="_Hlk71440774"/>
            <w:r>
              <w:rPr>
                <w:highlight w:val="none"/>
                <w:u w:val="single"/>
              </w:rPr>
              <w:t>36</w:t>
            </w:r>
            <w:r>
              <w:rPr>
                <w:highlight w:val="none"/>
              </w:rPr>
              <w:t>度</w:t>
            </w:r>
            <w:r>
              <w:rPr>
                <w:rFonts w:hint="eastAsia"/>
                <w:highlight w:val="none"/>
                <w:u w:val="single"/>
                <w:lang w:val="en-US" w:eastAsia="zh-CN"/>
              </w:rPr>
              <w:t>40</w:t>
            </w:r>
            <w:r>
              <w:rPr>
                <w:highlight w:val="none"/>
              </w:rPr>
              <w:t>分</w:t>
            </w:r>
            <w:r>
              <w:rPr>
                <w:rFonts w:hint="eastAsia"/>
                <w:highlight w:val="none"/>
                <w:u w:val="single"/>
                <w:lang w:val="en-US" w:eastAsia="zh-CN"/>
              </w:rPr>
              <w:t>34.003</w:t>
            </w:r>
            <w:r>
              <w:rPr>
                <w:highlight w:val="none"/>
              </w:rPr>
              <w:t>秒，</w:t>
            </w:r>
            <w:r>
              <w:rPr>
                <w:highlight w:val="none"/>
                <w:u w:val="single"/>
              </w:rPr>
              <w:t>117</w:t>
            </w:r>
            <w:r>
              <w:rPr>
                <w:highlight w:val="none"/>
              </w:rPr>
              <w:t>度</w:t>
            </w:r>
            <w:r>
              <w:rPr>
                <w:highlight w:val="none"/>
                <w:u w:val="single"/>
              </w:rPr>
              <w:t>5</w:t>
            </w:r>
            <w:r>
              <w:rPr>
                <w:rFonts w:hint="eastAsia"/>
                <w:highlight w:val="none"/>
                <w:u w:val="single"/>
                <w:lang w:val="en-US" w:eastAsia="zh-CN"/>
              </w:rPr>
              <w:t>9</w:t>
            </w:r>
            <w:r>
              <w:rPr>
                <w:highlight w:val="none"/>
              </w:rPr>
              <w:t>分</w:t>
            </w:r>
            <w:r>
              <w:rPr>
                <w:highlight w:val="none"/>
                <w:u w:val="single"/>
              </w:rPr>
              <w:t>3</w:t>
            </w:r>
            <w:r>
              <w:rPr>
                <w:rFonts w:hint="eastAsia"/>
                <w:highlight w:val="none"/>
                <w:u w:val="single"/>
                <w:lang w:val="en-US" w:eastAsia="zh-CN"/>
              </w:rPr>
              <w:t>9.211</w:t>
            </w:r>
            <w:r>
              <w:rPr>
                <w:highlight w:val="none"/>
              </w:rPr>
              <w:t>秒</w:t>
            </w:r>
            <w:bookmarkEnd w:id="0"/>
            <w:r>
              <w:rPr>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国民经济</w:t>
            </w:r>
          </w:p>
          <w:p>
            <w:pPr>
              <w:adjustRightInd w:val="0"/>
              <w:snapToGrid w:val="0"/>
              <w:spacing w:line="420" w:lineRule="exact"/>
              <w:jc w:val="center"/>
            </w:pPr>
            <w:r>
              <w:t>行业类别</w:t>
            </w:r>
          </w:p>
        </w:tc>
        <w:tc>
          <w:tcPr>
            <w:tcW w:w="2275" w:type="dxa"/>
            <w:vAlign w:val="center"/>
          </w:tcPr>
          <w:p>
            <w:pPr>
              <w:adjustRightInd w:val="0"/>
              <w:snapToGrid w:val="0"/>
              <w:jc w:val="center"/>
              <w:rPr>
                <w:rFonts w:hint="default" w:eastAsia="宋体"/>
                <w:lang w:val="en-US" w:eastAsia="zh-CN"/>
              </w:rPr>
            </w:pPr>
            <w:r>
              <w:t>C</w:t>
            </w:r>
            <w:r>
              <w:rPr>
                <w:rFonts w:hint="eastAsia"/>
                <w:lang w:val="en-US" w:eastAsia="zh-CN"/>
              </w:rPr>
              <w:t>2231纸和纸板容器制造、C2319包装装潢及其他印刷</w:t>
            </w:r>
          </w:p>
        </w:tc>
        <w:tc>
          <w:tcPr>
            <w:tcW w:w="2112" w:type="dxa"/>
            <w:vAlign w:val="center"/>
          </w:tcPr>
          <w:p>
            <w:pPr>
              <w:adjustRightInd w:val="0"/>
              <w:snapToGrid w:val="0"/>
              <w:spacing w:line="420" w:lineRule="exact"/>
              <w:jc w:val="center"/>
            </w:pPr>
            <w:bookmarkStart w:id="1" w:name="_Hlk49843745"/>
            <w:r>
              <w:t>建设项目</w:t>
            </w:r>
          </w:p>
          <w:p>
            <w:pPr>
              <w:adjustRightInd w:val="0"/>
              <w:snapToGrid w:val="0"/>
              <w:spacing w:line="420" w:lineRule="exact"/>
              <w:jc w:val="center"/>
            </w:pPr>
            <w:r>
              <w:t>行业类别</w:t>
            </w:r>
            <w:bookmarkEnd w:id="1"/>
          </w:p>
        </w:tc>
        <w:tc>
          <w:tcPr>
            <w:tcW w:w="2519" w:type="dxa"/>
            <w:vAlign w:val="center"/>
          </w:tcPr>
          <w:p>
            <w:pPr>
              <w:adjustRightInd w:val="0"/>
              <w:snapToGrid w:val="0"/>
              <w:jc w:val="center"/>
              <w:rPr>
                <w:rFonts w:hint="eastAsia" w:eastAsia="宋体"/>
                <w:lang w:val="en-US" w:eastAsia="zh-CN"/>
              </w:rPr>
            </w:pPr>
            <w:r>
              <w:rPr>
                <w:rFonts w:hint="eastAsia"/>
                <w:lang w:val="en-US" w:eastAsia="zh-CN"/>
              </w:rPr>
              <w:t>38</w:t>
            </w:r>
            <w:r>
              <w:t>、</w:t>
            </w:r>
            <w:r>
              <w:rPr>
                <w:rFonts w:hint="default" w:ascii="Times New Roman" w:hAnsi="Times New Roman" w:eastAsia="宋体" w:cs="Times New Roman"/>
                <w:szCs w:val="21"/>
              </w:rPr>
              <w:t>纸制品制造 223</w:t>
            </w:r>
            <w:r>
              <w:t>-</w:t>
            </w:r>
            <w:r>
              <w:rPr>
                <w:rFonts w:hint="default" w:ascii="Times New Roman" w:hAnsi="Times New Roman" w:eastAsia="宋体" w:cs="Times New Roman"/>
                <w:szCs w:val="21"/>
              </w:rPr>
              <w:t>有涂布、浸渍、印刷、粘胶工艺的</w:t>
            </w:r>
            <w:r>
              <w:rPr>
                <w:rFonts w:hint="eastAsia" w:cs="Times New Roman"/>
                <w:szCs w:val="21"/>
                <w:lang w:eastAsia="zh-CN"/>
              </w:rPr>
              <w:t>；</w:t>
            </w:r>
            <w:r>
              <w:rPr>
                <w:rFonts w:hint="eastAsia" w:cs="Times New Roman"/>
                <w:szCs w:val="21"/>
                <w:lang w:val="en-US" w:eastAsia="zh-CN"/>
              </w:rPr>
              <w:t>39、</w:t>
            </w:r>
            <w:r>
              <w:rPr>
                <w:rFonts w:hint="default" w:ascii="Times New Roman" w:hAnsi="Times New Roman" w:eastAsia="宋体" w:cs="Times New Roman"/>
                <w:szCs w:val="21"/>
              </w:rPr>
              <w:t>印刷 231</w:t>
            </w:r>
            <w:r>
              <w:rPr>
                <w:rFonts w:hint="default" w:ascii="Times New Roman" w:hAnsi="Times New Roman" w:eastAsia="宋体" w:cs="Times New Roman"/>
                <w:sz w:val="24"/>
                <w:szCs w:val="28"/>
              </w:rPr>
              <w:t>*</w:t>
            </w:r>
            <w:r>
              <w:rPr>
                <w:rFonts w:hint="eastAsia" w:ascii="Times New Roman" w:hAnsi="Times New Roman" w:eastAsia="宋体" w:cs="Times New Roman"/>
                <w:sz w:val="24"/>
                <w:szCs w:val="28"/>
                <w:lang w:val="en-US" w:eastAsia="zh-CN"/>
              </w:rPr>
              <w:t>-</w:t>
            </w:r>
            <w:r>
              <w:rPr>
                <w:rFonts w:hint="default" w:ascii="Times New Roman" w:hAnsi="Times New Roman" w:eastAsia="宋体" w:cs="Times New Roman"/>
                <w:szCs w:val="21"/>
              </w:rPr>
              <w:t>其他（激光印刷除外；年用低VOCs含量油墨10吨以下的印刷除外）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建设性质</w:t>
            </w:r>
          </w:p>
        </w:tc>
        <w:tc>
          <w:tcPr>
            <w:tcW w:w="2275" w:type="dxa"/>
            <w:vAlign w:val="center"/>
          </w:tcPr>
          <w:p>
            <w:pPr>
              <w:spacing w:line="420" w:lineRule="exact"/>
              <w:jc w:val="left"/>
            </w:pPr>
            <w:r>
              <w:rPr/>
              <w:sym w:font="Wingdings 2" w:char="0052"/>
            </w:r>
            <w:r>
              <w:t>新建（迁建）</w:t>
            </w:r>
          </w:p>
          <w:p>
            <w:pPr>
              <w:spacing w:line="420" w:lineRule="exact"/>
              <w:jc w:val="left"/>
            </w:pPr>
            <w:r>
              <w:rPr/>
              <w:sym w:font="Wingdings 2" w:char="00A3"/>
            </w:r>
            <w:r>
              <w:t>改建</w:t>
            </w:r>
          </w:p>
          <w:p>
            <w:pPr>
              <w:spacing w:line="420" w:lineRule="exact"/>
              <w:jc w:val="left"/>
            </w:pPr>
            <w:r>
              <w:rPr/>
              <w:sym w:font="Wingdings 2" w:char="00A3"/>
            </w:r>
            <w:r>
              <w:t>扩建</w:t>
            </w:r>
          </w:p>
          <w:p>
            <w:pPr>
              <w:spacing w:line="420" w:lineRule="exact"/>
              <w:jc w:val="left"/>
            </w:pPr>
            <w:r>
              <w:rPr/>
              <w:sym w:font="Wingdings 2" w:char="00A3"/>
            </w:r>
            <w:r>
              <w:t>技术改造</w:t>
            </w:r>
          </w:p>
        </w:tc>
        <w:tc>
          <w:tcPr>
            <w:tcW w:w="2112" w:type="dxa"/>
            <w:vAlign w:val="center"/>
          </w:tcPr>
          <w:p>
            <w:pPr>
              <w:adjustRightInd w:val="0"/>
              <w:snapToGrid w:val="0"/>
              <w:spacing w:line="420" w:lineRule="exact"/>
              <w:jc w:val="center"/>
            </w:pPr>
            <w:r>
              <w:t>建设项目</w:t>
            </w:r>
          </w:p>
          <w:p>
            <w:pPr>
              <w:adjustRightInd w:val="0"/>
              <w:snapToGrid w:val="0"/>
              <w:spacing w:line="420" w:lineRule="exact"/>
              <w:jc w:val="center"/>
            </w:pPr>
            <w:r>
              <w:t>申报情形</w:t>
            </w:r>
          </w:p>
        </w:tc>
        <w:tc>
          <w:tcPr>
            <w:tcW w:w="2519" w:type="dxa"/>
            <w:vAlign w:val="center"/>
          </w:tcPr>
          <w:p>
            <w:pPr>
              <w:spacing w:line="420" w:lineRule="exact"/>
              <w:jc w:val="left"/>
            </w:pPr>
            <w:r>
              <w:t xml:space="preserve">√首次申报项目             </w:t>
            </w:r>
          </w:p>
          <w:p>
            <w:pPr>
              <w:spacing w:line="420" w:lineRule="exact"/>
              <w:jc w:val="left"/>
            </w:pPr>
            <w:r>
              <w:rPr/>
              <w:sym w:font="Wingdings 2" w:char="00A3"/>
            </w:r>
            <w:r>
              <w:t>不予批准后再次申报项目</w:t>
            </w:r>
          </w:p>
          <w:p>
            <w:pPr>
              <w:spacing w:line="420" w:lineRule="exact"/>
              <w:jc w:val="left"/>
            </w:pPr>
            <w:r>
              <w:rPr/>
              <w:sym w:font="Wingdings 2" w:char="00A3"/>
            </w:r>
            <w:r>
              <w:t xml:space="preserve">超五年重新审核项目     </w:t>
            </w:r>
          </w:p>
          <w:p>
            <w:pPr>
              <w:spacing w:line="420" w:lineRule="exact"/>
              <w:jc w:val="left"/>
            </w:pPr>
            <w:r>
              <w:rPr/>
              <w:sym w:font="Wingdings 2" w:char="00A3"/>
            </w:r>
            <w: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64" w:type="dxa"/>
            <w:gridSpan w:val="3"/>
            <w:tcMar>
              <w:top w:w="16" w:type="dxa"/>
              <w:left w:w="16" w:type="dxa"/>
              <w:right w:w="16" w:type="dxa"/>
            </w:tcMar>
            <w:vAlign w:val="center"/>
          </w:tcPr>
          <w:p>
            <w:pPr>
              <w:adjustRightInd w:val="0"/>
              <w:snapToGrid w:val="0"/>
              <w:spacing w:line="420" w:lineRule="exact"/>
              <w:jc w:val="center"/>
              <w:rPr>
                <w:color w:val="FF0000"/>
              </w:rPr>
            </w:pPr>
            <w:r>
              <w:t>项目备案部门</w:t>
            </w:r>
          </w:p>
        </w:tc>
        <w:tc>
          <w:tcPr>
            <w:tcW w:w="2275" w:type="dxa"/>
            <w:vAlign w:val="center"/>
          </w:tcPr>
          <w:p>
            <w:pPr>
              <w:adjustRightInd w:val="0"/>
              <w:snapToGrid w:val="0"/>
              <w:spacing w:line="420" w:lineRule="exact"/>
              <w:jc w:val="center"/>
              <w:rPr>
                <w:color w:val="FF0000"/>
              </w:rPr>
            </w:pPr>
            <w:r>
              <w:t>淄川区行政审批服务局</w:t>
            </w:r>
          </w:p>
        </w:tc>
        <w:tc>
          <w:tcPr>
            <w:tcW w:w="2112" w:type="dxa"/>
            <w:vAlign w:val="center"/>
          </w:tcPr>
          <w:p>
            <w:pPr>
              <w:adjustRightInd w:val="0"/>
              <w:snapToGrid w:val="0"/>
              <w:spacing w:line="420" w:lineRule="exact"/>
              <w:jc w:val="center"/>
            </w:pPr>
            <w:r>
              <w:t>项目备案文号</w:t>
            </w:r>
          </w:p>
        </w:tc>
        <w:tc>
          <w:tcPr>
            <w:tcW w:w="2519" w:type="dxa"/>
            <w:vAlign w:val="center"/>
          </w:tcPr>
          <w:p>
            <w:pPr>
              <w:adjustRightInd w:val="0"/>
              <w:snapToGrid w:val="0"/>
              <w:spacing w:line="420" w:lineRule="exact"/>
              <w:jc w:val="center"/>
              <w:rPr>
                <w:rFonts w:hint="eastAsia" w:eastAsia="宋体"/>
                <w:lang w:eastAsia="zh-CN"/>
              </w:rPr>
            </w:pPr>
            <w:r>
              <w:rPr>
                <w:rFonts w:hint="eastAsia"/>
                <w:lang w:eastAsia="zh-CN"/>
              </w:rPr>
              <w:t>2303-370302-89-02-393903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总投资（万元）</w:t>
            </w:r>
          </w:p>
        </w:tc>
        <w:tc>
          <w:tcPr>
            <w:tcW w:w="2275" w:type="dxa"/>
            <w:vAlign w:val="center"/>
          </w:tcPr>
          <w:p>
            <w:pPr>
              <w:adjustRightInd w:val="0"/>
              <w:snapToGrid w:val="0"/>
              <w:spacing w:line="420" w:lineRule="exact"/>
              <w:jc w:val="center"/>
            </w:pPr>
            <w:r>
              <w:rPr>
                <w:rFonts w:hint="eastAsia"/>
                <w:lang w:val="en-US" w:eastAsia="zh-CN"/>
              </w:rPr>
              <w:t>6</w:t>
            </w:r>
            <w:r>
              <w:t>00</w:t>
            </w:r>
          </w:p>
        </w:tc>
        <w:tc>
          <w:tcPr>
            <w:tcW w:w="2112" w:type="dxa"/>
            <w:tcMar>
              <w:top w:w="16" w:type="dxa"/>
              <w:left w:w="16" w:type="dxa"/>
              <w:right w:w="16" w:type="dxa"/>
            </w:tcMar>
            <w:vAlign w:val="center"/>
          </w:tcPr>
          <w:p>
            <w:pPr>
              <w:adjustRightInd w:val="0"/>
              <w:snapToGrid w:val="0"/>
              <w:spacing w:line="420" w:lineRule="exact"/>
              <w:jc w:val="center"/>
            </w:pPr>
            <w:r>
              <w:t>环保投资（万元）</w:t>
            </w:r>
          </w:p>
        </w:tc>
        <w:tc>
          <w:tcPr>
            <w:tcW w:w="2519" w:type="dxa"/>
            <w:vAlign w:val="center"/>
          </w:tcPr>
          <w:p>
            <w:pPr>
              <w:adjustRightInd w:val="0"/>
              <w:snapToGrid w:val="0"/>
              <w:spacing w:line="420" w:lineRule="exact"/>
              <w:jc w:val="center"/>
            </w:pPr>
            <w:r>
              <w:rPr>
                <w:rFonts w:hint="eastAsia"/>
                <w:lang w:val="en-US" w:eastAsia="zh-CN"/>
              </w:rPr>
              <w:t>4</w:t>
            </w:r>
            <w: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环保投资占比（%）</w:t>
            </w:r>
          </w:p>
        </w:tc>
        <w:tc>
          <w:tcPr>
            <w:tcW w:w="2275" w:type="dxa"/>
            <w:vAlign w:val="center"/>
          </w:tcPr>
          <w:p>
            <w:pPr>
              <w:adjustRightInd w:val="0"/>
              <w:snapToGrid w:val="0"/>
              <w:spacing w:line="420" w:lineRule="exact"/>
              <w:jc w:val="center"/>
              <w:rPr>
                <w:rFonts w:hint="default" w:eastAsia="宋体"/>
                <w:color w:val="FF0000"/>
                <w:lang w:val="en-US" w:eastAsia="zh-CN"/>
              </w:rPr>
            </w:pPr>
            <w:r>
              <w:rPr>
                <w:rFonts w:hint="eastAsia"/>
                <w:lang w:val="en-US" w:eastAsia="zh-CN"/>
              </w:rPr>
              <w:t>6.7</w:t>
            </w:r>
          </w:p>
        </w:tc>
        <w:tc>
          <w:tcPr>
            <w:tcW w:w="2112" w:type="dxa"/>
            <w:tcMar>
              <w:top w:w="16" w:type="dxa"/>
              <w:left w:w="16" w:type="dxa"/>
              <w:right w:w="16" w:type="dxa"/>
            </w:tcMar>
            <w:vAlign w:val="center"/>
          </w:tcPr>
          <w:p>
            <w:pPr>
              <w:adjustRightInd w:val="0"/>
              <w:snapToGrid w:val="0"/>
              <w:spacing w:line="420" w:lineRule="exact"/>
              <w:jc w:val="center"/>
            </w:pPr>
            <w:r>
              <w:t>施工工期</w:t>
            </w:r>
          </w:p>
        </w:tc>
        <w:tc>
          <w:tcPr>
            <w:tcW w:w="2519" w:type="dxa"/>
            <w:vAlign w:val="center"/>
          </w:tcPr>
          <w:p>
            <w:pPr>
              <w:adjustRightInd w:val="0"/>
              <w:snapToGrid w:val="0"/>
              <w:spacing w:line="420" w:lineRule="exact"/>
              <w:jc w:val="center"/>
              <w:rPr>
                <w:color w:val="FF0000"/>
              </w:rPr>
            </w:pPr>
            <w:r>
              <w:rPr>
                <w:rFonts w:hint="eastAsia"/>
                <w:lang w:val="en-US" w:eastAsia="zh-CN"/>
              </w:rPr>
              <w:t>4</w:t>
            </w:r>
            <w: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64" w:type="dxa"/>
            <w:gridSpan w:val="3"/>
            <w:tcMar>
              <w:top w:w="16" w:type="dxa"/>
              <w:left w:w="16" w:type="dxa"/>
              <w:right w:w="16" w:type="dxa"/>
            </w:tcMar>
            <w:vAlign w:val="center"/>
          </w:tcPr>
          <w:p>
            <w:pPr>
              <w:adjustRightInd w:val="0"/>
              <w:snapToGrid w:val="0"/>
              <w:spacing w:line="420" w:lineRule="exact"/>
              <w:jc w:val="center"/>
            </w:pPr>
            <w:r>
              <w:t>是否开工建设</w:t>
            </w:r>
          </w:p>
        </w:tc>
        <w:tc>
          <w:tcPr>
            <w:tcW w:w="2275" w:type="dxa"/>
            <w:vAlign w:val="center"/>
          </w:tcPr>
          <w:p>
            <w:pPr>
              <w:adjustRightInd w:val="0"/>
              <w:snapToGrid w:val="0"/>
              <w:spacing w:line="420" w:lineRule="exact"/>
            </w:pPr>
            <w:r>
              <w:t>√否</w:t>
            </w:r>
          </w:p>
          <w:p>
            <w:pPr>
              <w:adjustRightInd w:val="0"/>
              <w:snapToGrid w:val="0"/>
              <w:spacing w:line="420" w:lineRule="exact"/>
            </w:pPr>
            <w:r>
              <w:rPr/>
              <w:sym w:font="Wingdings 2" w:char="00A3"/>
            </w:r>
            <w:r>
              <w:t>是：</w:t>
            </w:r>
            <w:r>
              <w:rPr>
                <w:u w:val="single"/>
              </w:rPr>
              <w:t xml:space="preserve">             </w:t>
            </w:r>
          </w:p>
        </w:tc>
        <w:tc>
          <w:tcPr>
            <w:tcW w:w="2112" w:type="dxa"/>
            <w:tcMar>
              <w:top w:w="16" w:type="dxa"/>
              <w:left w:w="16" w:type="dxa"/>
              <w:right w:w="16" w:type="dxa"/>
            </w:tcMar>
            <w:vAlign w:val="center"/>
          </w:tcPr>
          <w:p>
            <w:pPr>
              <w:adjustRightInd w:val="0"/>
              <w:snapToGrid w:val="0"/>
              <w:spacing w:line="420" w:lineRule="exact"/>
              <w:jc w:val="center"/>
              <w:rPr>
                <w:color w:val="FF0000"/>
              </w:rPr>
            </w:pPr>
            <w:r>
              <w:rPr>
                <w:spacing w:val="-6"/>
              </w:rPr>
              <w:t>用地面积（m</w:t>
            </w:r>
            <w:r>
              <w:rPr>
                <w:spacing w:val="-6"/>
                <w:vertAlign w:val="superscript"/>
              </w:rPr>
              <w:t>2</w:t>
            </w:r>
            <w:r>
              <w:rPr>
                <w:spacing w:val="-6"/>
              </w:rPr>
              <w:t>）</w:t>
            </w:r>
          </w:p>
        </w:tc>
        <w:tc>
          <w:tcPr>
            <w:tcW w:w="2519" w:type="dxa"/>
            <w:vAlign w:val="center"/>
          </w:tcPr>
          <w:p>
            <w:pPr>
              <w:adjustRightInd w:val="0"/>
              <w:snapToGrid w:val="0"/>
              <w:spacing w:line="420" w:lineRule="exact"/>
              <w:jc w:val="center"/>
              <w:rPr>
                <w:color w:val="FF0000"/>
              </w:rPr>
            </w:pPr>
            <w:r>
              <w:rPr>
                <w:rFonts w:hint="eastAsia"/>
                <w:highlight w:val="none"/>
                <w:lang w:val="en-US" w:eastAsia="zh-CN"/>
              </w:rPr>
              <w:t>25</w:t>
            </w:r>
            <w:r>
              <w:rPr>
                <w:highlight w:val="none"/>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964" w:type="dxa"/>
            <w:gridSpan w:val="3"/>
            <w:vAlign w:val="center"/>
          </w:tcPr>
          <w:p>
            <w:pPr>
              <w:autoSpaceDE w:val="0"/>
              <w:autoSpaceDN w:val="0"/>
              <w:adjustRightInd w:val="0"/>
              <w:snapToGrid w:val="0"/>
              <w:spacing w:line="420" w:lineRule="exact"/>
              <w:jc w:val="center"/>
              <w:rPr>
                <w:kern w:val="0"/>
              </w:rPr>
            </w:pPr>
            <w:r>
              <w:rPr>
                <w:kern w:val="0"/>
              </w:rPr>
              <w:t>专项评价设置情况</w:t>
            </w:r>
          </w:p>
        </w:tc>
        <w:tc>
          <w:tcPr>
            <w:tcW w:w="6906" w:type="dxa"/>
            <w:gridSpan w:val="3"/>
            <w:vAlign w:val="center"/>
          </w:tcPr>
          <w:p>
            <w:pPr>
              <w:spacing w:before="120" w:beforeLines="50"/>
              <w:jc w:val="center"/>
              <w:textAlignment w:val="baseline"/>
              <w:rPr>
                <w:b/>
              </w:rPr>
            </w:pPr>
            <w:r>
              <w:rPr>
                <w:b/>
              </w:rPr>
              <w:t>表1-1  专项评价设置情况判定表</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3009"/>
              <w:gridCol w:w="179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
                      <w:sz w:val="18"/>
                      <w:szCs w:val="18"/>
                    </w:rPr>
                  </w:pPr>
                  <w:r>
                    <w:rPr>
                      <w:b/>
                      <w:sz w:val="18"/>
                      <w:szCs w:val="18"/>
                    </w:rPr>
                    <w:t>专项评价的类别</w:t>
                  </w:r>
                </w:p>
              </w:tc>
              <w:tc>
                <w:tcPr>
                  <w:tcW w:w="3150" w:type="dxa"/>
                  <w:vAlign w:val="center"/>
                </w:tcPr>
                <w:p>
                  <w:pPr>
                    <w:jc w:val="center"/>
                    <w:textAlignment w:val="baseline"/>
                    <w:rPr>
                      <w:b/>
                      <w:sz w:val="18"/>
                      <w:szCs w:val="18"/>
                    </w:rPr>
                  </w:pPr>
                  <w:r>
                    <w:rPr>
                      <w:b/>
                      <w:sz w:val="18"/>
                      <w:szCs w:val="18"/>
                    </w:rPr>
                    <w:t>设置原则</w:t>
                  </w:r>
                </w:p>
              </w:tc>
              <w:tc>
                <w:tcPr>
                  <w:tcW w:w="1854" w:type="dxa"/>
                  <w:vAlign w:val="center"/>
                </w:tcPr>
                <w:p>
                  <w:pPr>
                    <w:jc w:val="center"/>
                    <w:textAlignment w:val="baseline"/>
                    <w:rPr>
                      <w:b/>
                      <w:sz w:val="18"/>
                      <w:szCs w:val="18"/>
                    </w:rPr>
                  </w:pPr>
                  <w:r>
                    <w:rPr>
                      <w:b/>
                      <w:sz w:val="18"/>
                      <w:szCs w:val="18"/>
                    </w:rPr>
                    <w:t>项目情况</w:t>
                  </w:r>
                </w:p>
              </w:tc>
              <w:tc>
                <w:tcPr>
                  <w:tcW w:w="765" w:type="dxa"/>
                  <w:vAlign w:val="center"/>
                </w:tcPr>
                <w:p>
                  <w:pPr>
                    <w:jc w:val="center"/>
                    <w:textAlignment w:val="baseline"/>
                    <w:rPr>
                      <w:b/>
                      <w:sz w:val="18"/>
                      <w:szCs w:val="18"/>
                    </w:rPr>
                  </w:pPr>
                  <w:r>
                    <w:rPr>
                      <w:b/>
                      <w:sz w:val="18"/>
                      <w:szCs w:val="18"/>
                    </w:rPr>
                    <w:t>是否设置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大气</w:t>
                  </w:r>
                </w:p>
              </w:tc>
              <w:tc>
                <w:tcPr>
                  <w:tcW w:w="3150" w:type="dxa"/>
                  <w:vAlign w:val="center"/>
                </w:tcPr>
                <w:p>
                  <w:pPr>
                    <w:jc w:val="center"/>
                    <w:textAlignment w:val="baseline"/>
                    <w:rPr>
                      <w:bCs/>
                      <w:sz w:val="18"/>
                      <w:szCs w:val="18"/>
                    </w:rPr>
                  </w:pPr>
                  <w:r>
                    <w:rPr>
                      <w:bCs/>
                      <w:sz w:val="18"/>
                      <w:szCs w:val="18"/>
                    </w:rPr>
                    <w:t>排放废气含有毒有害污染物、二噁英、苯并[a]芘、氰化物、氦气且厂界外500米范围内有环境空气保护目标的建设项目</w:t>
                  </w:r>
                </w:p>
              </w:tc>
              <w:tc>
                <w:tcPr>
                  <w:tcW w:w="1854" w:type="dxa"/>
                  <w:vAlign w:val="center"/>
                </w:tcPr>
                <w:p>
                  <w:pPr>
                    <w:jc w:val="center"/>
                    <w:textAlignment w:val="baseline"/>
                    <w:rPr>
                      <w:bCs/>
                      <w:sz w:val="18"/>
                      <w:szCs w:val="18"/>
                    </w:rPr>
                  </w:pPr>
                  <w:r>
                    <w:rPr>
                      <w:bCs/>
                      <w:sz w:val="18"/>
                      <w:szCs w:val="18"/>
                    </w:rPr>
                    <w:t>本项目废气主要污染物为颗粒物、</w:t>
                  </w:r>
                  <w:r>
                    <w:rPr>
                      <w:rFonts w:hint="eastAsia"/>
                      <w:bCs/>
                      <w:sz w:val="18"/>
                      <w:szCs w:val="18"/>
                      <w:lang w:val="en-US" w:eastAsia="zh-CN"/>
                    </w:rPr>
                    <w:t>SO</w:t>
                  </w:r>
                  <w:r>
                    <w:rPr>
                      <w:rFonts w:hint="eastAsia"/>
                      <w:bCs/>
                      <w:sz w:val="18"/>
                      <w:szCs w:val="18"/>
                      <w:vertAlign w:val="subscript"/>
                      <w:lang w:val="en-US" w:eastAsia="zh-CN"/>
                    </w:rPr>
                    <w:t>2</w:t>
                  </w:r>
                  <w:r>
                    <w:rPr>
                      <w:rFonts w:hint="eastAsia"/>
                      <w:bCs/>
                      <w:sz w:val="18"/>
                      <w:szCs w:val="18"/>
                      <w:vertAlign w:val="baseline"/>
                      <w:lang w:val="en-US" w:eastAsia="zh-CN"/>
                    </w:rPr>
                    <w:t>、NO</w:t>
                  </w:r>
                  <w:r>
                    <w:rPr>
                      <w:rFonts w:hint="eastAsia"/>
                      <w:bCs/>
                      <w:sz w:val="18"/>
                      <w:szCs w:val="18"/>
                      <w:vertAlign w:val="subscript"/>
                      <w:lang w:val="en-US" w:eastAsia="zh-CN"/>
                    </w:rPr>
                    <w:t>X</w:t>
                  </w:r>
                  <w:r>
                    <w:rPr>
                      <w:rFonts w:hint="eastAsia"/>
                      <w:bCs/>
                      <w:sz w:val="18"/>
                      <w:szCs w:val="18"/>
                      <w:vertAlign w:val="baseline"/>
                      <w:lang w:val="en-US" w:eastAsia="zh-CN"/>
                    </w:rPr>
                    <w:t>、林格曼黑度、</w:t>
                  </w:r>
                  <w:r>
                    <w:rPr>
                      <w:bCs/>
                      <w:sz w:val="18"/>
                      <w:szCs w:val="18"/>
                    </w:rPr>
                    <w:t>VOCs，不涉及前述污染物</w:t>
                  </w:r>
                </w:p>
              </w:tc>
              <w:tc>
                <w:tcPr>
                  <w:tcW w:w="765" w:type="dxa"/>
                  <w:vAlign w:val="center"/>
                </w:tcPr>
                <w:p>
                  <w:pPr>
                    <w:jc w:val="center"/>
                    <w:textAlignment w:val="baseline"/>
                    <w:rPr>
                      <w:bCs/>
                      <w:sz w:val="18"/>
                      <w:szCs w:val="18"/>
                    </w:rPr>
                  </w:pPr>
                  <w:r>
                    <w:rPr>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地表水</w:t>
                  </w:r>
                </w:p>
              </w:tc>
              <w:tc>
                <w:tcPr>
                  <w:tcW w:w="3150" w:type="dxa"/>
                  <w:vAlign w:val="center"/>
                </w:tcPr>
                <w:p>
                  <w:pPr>
                    <w:jc w:val="center"/>
                    <w:textAlignment w:val="baseline"/>
                    <w:rPr>
                      <w:bCs/>
                      <w:sz w:val="18"/>
                      <w:szCs w:val="18"/>
                    </w:rPr>
                  </w:pPr>
                  <w:r>
                    <w:rPr>
                      <w:bCs/>
                      <w:sz w:val="18"/>
                      <w:szCs w:val="18"/>
                    </w:rPr>
                    <w:t>新增工业废水直排建设项目（槽罐车外送污水处理厂的除外）；新增废水直排的污水集中处理厂</w:t>
                  </w:r>
                </w:p>
              </w:tc>
              <w:tc>
                <w:tcPr>
                  <w:tcW w:w="1854" w:type="dxa"/>
                  <w:vAlign w:val="center"/>
                </w:tcPr>
                <w:p>
                  <w:pPr>
                    <w:jc w:val="center"/>
                    <w:textAlignment w:val="baseline"/>
                    <w:rPr>
                      <w:rFonts w:hint="eastAsia" w:eastAsia="宋体"/>
                      <w:bCs/>
                      <w:sz w:val="18"/>
                      <w:szCs w:val="18"/>
                      <w:lang w:eastAsia="zh-CN"/>
                    </w:rPr>
                  </w:pPr>
                  <w:r>
                    <w:rPr>
                      <w:bCs/>
                      <w:sz w:val="18"/>
                      <w:szCs w:val="18"/>
                    </w:rPr>
                    <w:t>本项目</w:t>
                  </w:r>
                  <w:r>
                    <w:rPr>
                      <w:rFonts w:hint="eastAsia"/>
                      <w:bCs/>
                      <w:sz w:val="18"/>
                      <w:szCs w:val="18"/>
                      <w:lang w:eastAsia="zh-CN"/>
                    </w:rPr>
                    <w:t>无</w:t>
                  </w:r>
                  <w:r>
                    <w:rPr>
                      <w:bCs/>
                      <w:sz w:val="18"/>
                      <w:szCs w:val="18"/>
                    </w:rPr>
                    <w:t>废水</w:t>
                  </w:r>
                  <w:r>
                    <w:rPr>
                      <w:rFonts w:hint="eastAsia"/>
                      <w:bCs/>
                      <w:sz w:val="18"/>
                      <w:szCs w:val="18"/>
                      <w:lang w:eastAsia="zh-CN"/>
                    </w:rPr>
                    <w:t>外排</w:t>
                  </w:r>
                </w:p>
              </w:tc>
              <w:tc>
                <w:tcPr>
                  <w:tcW w:w="765" w:type="dxa"/>
                  <w:vAlign w:val="center"/>
                </w:tcPr>
                <w:p>
                  <w:pPr>
                    <w:jc w:val="center"/>
                    <w:textAlignment w:val="baseline"/>
                    <w:rPr>
                      <w:bCs/>
                      <w:sz w:val="18"/>
                      <w:szCs w:val="18"/>
                    </w:rPr>
                  </w:pPr>
                  <w:r>
                    <w:rPr>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环境风险</w:t>
                  </w:r>
                </w:p>
              </w:tc>
              <w:tc>
                <w:tcPr>
                  <w:tcW w:w="3150" w:type="dxa"/>
                  <w:vAlign w:val="center"/>
                </w:tcPr>
                <w:p>
                  <w:pPr>
                    <w:jc w:val="center"/>
                    <w:textAlignment w:val="baseline"/>
                    <w:rPr>
                      <w:bCs/>
                      <w:sz w:val="18"/>
                      <w:szCs w:val="18"/>
                    </w:rPr>
                  </w:pPr>
                  <w:r>
                    <w:rPr>
                      <w:bCs/>
                      <w:sz w:val="18"/>
                      <w:szCs w:val="18"/>
                    </w:rPr>
                    <w:t>有毒有害和易燃易爆危险物质存储量超过临界量的建设项目</w:t>
                  </w:r>
                </w:p>
              </w:tc>
              <w:tc>
                <w:tcPr>
                  <w:tcW w:w="1854" w:type="dxa"/>
                  <w:vAlign w:val="center"/>
                </w:tcPr>
                <w:p>
                  <w:pPr>
                    <w:jc w:val="center"/>
                    <w:textAlignment w:val="baseline"/>
                    <w:rPr>
                      <w:bCs/>
                      <w:sz w:val="18"/>
                      <w:szCs w:val="18"/>
                    </w:rPr>
                  </w:pPr>
                  <w:r>
                    <w:rPr>
                      <w:bCs/>
                      <w:sz w:val="18"/>
                      <w:szCs w:val="18"/>
                    </w:rPr>
                    <w:t>本项目涉及</w:t>
                  </w:r>
                  <w:r>
                    <w:rPr>
                      <w:rFonts w:hint="eastAsia"/>
                      <w:bCs/>
                      <w:sz w:val="18"/>
                      <w:szCs w:val="18"/>
                      <w:lang w:eastAsia="zh-CN"/>
                    </w:rPr>
                    <w:t>危险物质</w:t>
                  </w:r>
                  <w:r>
                    <w:rPr>
                      <w:bCs/>
                      <w:sz w:val="18"/>
                      <w:szCs w:val="18"/>
                    </w:rPr>
                    <w:t>储存量未超过临界量</w:t>
                  </w:r>
                </w:p>
              </w:tc>
              <w:tc>
                <w:tcPr>
                  <w:tcW w:w="765" w:type="dxa"/>
                  <w:vAlign w:val="center"/>
                </w:tcPr>
                <w:p>
                  <w:pPr>
                    <w:jc w:val="center"/>
                    <w:textAlignment w:val="baseline"/>
                    <w:rPr>
                      <w:bCs/>
                      <w:sz w:val="18"/>
                      <w:szCs w:val="18"/>
                    </w:rPr>
                  </w:pPr>
                  <w:r>
                    <w:rPr>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生态</w:t>
                  </w:r>
                </w:p>
              </w:tc>
              <w:tc>
                <w:tcPr>
                  <w:tcW w:w="3150" w:type="dxa"/>
                  <w:vAlign w:val="center"/>
                </w:tcPr>
                <w:p>
                  <w:pPr>
                    <w:jc w:val="center"/>
                    <w:textAlignment w:val="baseline"/>
                    <w:rPr>
                      <w:bCs/>
                      <w:sz w:val="18"/>
                      <w:szCs w:val="18"/>
                    </w:rPr>
                  </w:pPr>
                  <w:r>
                    <w:rPr>
                      <w:bCs/>
                      <w:sz w:val="18"/>
                      <w:szCs w:val="18"/>
                    </w:rPr>
                    <w:t>取水口下游500米范围内有重要水生生物的自然产卵场、索饵场、越冬场和洄游通道的新增河道取水的污染类建设项目</w:t>
                  </w:r>
                </w:p>
              </w:tc>
              <w:tc>
                <w:tcPr>
                  <w:tcW w:w="1854" w:type="dxa"/>
                  <w:vAlign w:val="center"/>
                </w:tcPr>
                <w:p>
                  <w:pPr>
                    <w:jc w:val="center"/>
                    <w:textAlignment w:val="baseline"/>
                    <w:rPr>
                      <w:bCs/>
                      <w:sz w:val="18"/>
                      <w:szCs w:val="18"/>
                    </w:rPr>
                  </w:pPr>
                  <w:r>
                    <w:rPr>
                      <w:bCs/>
                      <w:sz w:val="18"/>
                      <w:szCs w:val="18"/>
                    </w:rPr>
                    <w:t>不涉及</w:t>
                  </w:r>
                </w:p>
              </w:tc>
              <w:tc>
                <w:tcPr>
                  <w:tcW w:w="765" w:type="dxa"/>
                  <w:vAlign w:val="center"/>
                </w:tcPr>
                <w:p>
                  <w:pPr>
                    <w:jc w:val="center"/>
                    <w:textAlignment w:val="baseline"/>
                    <w:rPr>
                      <w:bCs/>
                      <w:sz w:val="18"/>
                      <w:szCs w:val="18"/>
                    </w:rPr>
                  </w:pPr>
                  <w:r>
                    <w:rPr>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79" w:type="dxa"/>
                  <w:vAlign w:val="center"/>
                </w:tcPr>
                <w:p>
                  <w:pPr>
                    <w:jc w:val="center"/>
                    <w:textAlignment w:val="baseline"/>
                    <w:rPr>
                      <w:bCs/>
                      <w:sz w:val="18"/>
                      <w:szCs w:val="18"/>
                    </w:rPr>
                  </w:pPr>
                  <w:r>
                    <w:rPr>
                      <w:bCs/>
                      <w:sz w:val="18"/>
                      <w:szCs w:val="18"/>
                    </w:rPr>
                    <w:t>海洋</w:t>
                  </w:r>
                </w:p>
              </w:tc>
              <w:tc>
                <w:tcPr>
                  <w:tcW w:w="3150" w:type="dxa"/>
                  <w:vAlign w:val="center"/>
                </w:tcPr>
                <w:p>
                  <w:pPr>
                    <w:jc w:val="center"/>
                    <w:textAlignment w:val="baseline"/>
                    <w:rPr>
                      <w:bCs/>
                      <w:sz w:val="18"/>
                      <w:szCs w:val="18"/>
                    </w:rPr>
                  </w:pPr>
                  <w:r>
                    <w:rPr>
                      <w:bCs/>
                      <w:sz w:val="18"/>
                      <w:szCs w:val="18"/>
                    </w:rPr>
                    <w:t>直接向海排放污染物的海洋工程建设项目</w:t>
                  </w:r>
                </w:p>
              </w:tc>
              <w:tc>
                <w:tcPr>
                  <w:tcW w:w="1854" w:type="dxa"/>
                  <w:vAlign w:val="center"/>
                </w:tcPr>
                <w:p>
                  <w:pPr>
                    <w:jc w:val="center"/>
                    <w:textAlignment w:val="baseline"/>
                    <w:rPr>
                      <w:bCs/>
                      <w:sz w:val="18"/>
                      <w:szCs w:val="18"/>
                    </w:rPr>
                  </w:pPr>
                  <w:r>
                    <w:rPr>
                      <w:bCs/>
                      <w:sz w:val="18"/>
                      <w:szCs w:val="18"/>
                    </w:rPr>
                    <w:t>不涉及</w:t>
                  </w:r>
                </w:p>
              </w:tc>
              <w:tc>
                <w:tcPr>
                  <w:tcW w:w="765" w:type="dxa"/>
                  <w:vAlign w:val="center"/>
                </w:tcPr>
                <w:p>
                  <w:pPr>
                    <w:jc w:val="center"/>
                    <w:textAlignment w:val="baseline"/>
                    <w:rPr>
                      <w:bCs/>
                      <w:sz w:val="18"/>
                      <w:szCs w:val="18"/>
                    </w:rPr>
                  </w:pPr>
                  <w:r>
                    <w:rPr>
                      <w:bCs/>
                      <w:sz w:val="18"/>
                      <w:szCs w:val="18"/>
                    </w:rPr>
                    <w:t>否</w:t>
                  </w:r>
                </w:p>
              </w:tc>
            </w:tr>
          </w:tbl>
          <w:p>
            <w:pPr>
              <w:autoSpaceDE w:val="0"/>
              <w:autoSpaceDN w:val="0"/>
              <w:adjustRightInd w:val="0"/>
              <w:snapToGrid w:val="0"/>
              <w:jc w:val="center"/>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964" w:type="dxa"/>
            <w:gridSpan w:val="3"/>
            <w:vAlign w:val="center"/>
          </w:tcPr>
          <w:p>
            <w:pPr>
              <w:autoSpaceDE w:val="0"/>
              <w:autoSpaceDN w:val="0"/>
              <w:adjustRightInd w:val="0"/>
              <w:snapToGrid w:val="0"/>
              <w:spacing w:line="420" w:lineRule="exact"/>
              <w:jc w:val="center"/>
              <w:rPr>
                <w:kern w:val="0"/>
              </w:rPr>
            </w:pPr>
            <w:r>
              <w:t>规划情况</w:t>
            </w:r>
          </w:p>
        </w:tc>
        <w:tc>
          <w:tcPr>
            <w:tcW w:w="6906" w:type="dxa"/>
            <w:gridSpan w:val="3"/>
            <w:vAlign w:val="center"/>
          </w:tcPr>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lang w:eastAsia="zh-CN"/>
              </w:rPr>
              <w:t>规划名称：《淄川区</w:t>
            </w:r>
            <w:r>
              <w:rPr>
                <w:rFonts w:hint="eastAsia" w:ascii="宋体" w:hAnsi="宋体" w:cs="宋体"/>
                <w:kern w:val="0"/>
                <w:szCs w:val="21"/>
              </w:rPr>
              <w:t>双杨镇工业集聚区</w:t>
            </w:r>
            <w:r>
              <w:rPr>
                <w:rFonts w:hint="eastAsia" w:ascii="宋体" w:hAnsi="宋体" w:cs="宋体"/>
                <w:kern w:val="0"/>
                <w:szCs w:val="21"/>
                <w:lang w:eastAsia="zh-CN"/>
              </w:rPr>
              <w:t>总体规划（</w:t>
            </w:r>
            <w:r>
              <w:rPr>
                <w:rFonts w:hint="eastAsia" w:ascii="宋体" w:hAnsi="宋体" w:cs="宋体"/>
                <w:kern w:val="0"/>
                <w:szCs w:val="21"/>
                <w:lang w:val="en-US" w:eastAsia="zh-CN"/>
              </w:rPr>
              <w:t>2021-2035</w:t>
            </w:r>
            <w:r>
              <w:rPr>
                <w:rFonts w:hint="eastAsia" w:ascii="宋体" w:hAnsi="宋体" w:cs="宋体"/>
                <w:kern w:val="0"/>
                <w:szCs w:val="21"/>
                <w:lang w:eastAsia="zh-CN"/>
              </w:rPr>
              <w:t>）》</w:t>
            </w:r>
          </w:p>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审批机关：淄川区工业和信息化局</w:t>
            </w:r>
            <w:r>
              <w:rPr>
                <w:rFonts w:ascii="宋体" w:hAnsi="宋体" w:cs="宋体"/>
                <w:kern w:val="0"/>
                <w:szCs w:val="21"/>
              </w:rPr>
              <w:t xml:space="preserve"> </w:t>
            </w:r>
          </w:p>
          <w:p>
            <w:pPr>
              <w:autoSpaceDE w:val="0"/>
              <w:autoSpaceDN w:val="0"/>
              <w:adjustRightInd w:val="0"/>
              <w:snapToGrid w:val="0"/>
              <w:spacing w:line="360" w:lineRule="auto"/>
              <w:rPr>
                <w:rFonts w:ascii="宋体" w:hAnsi="宋体" w:cs="宋体"/>
                <w:kern w:val="0"/>
                <w:szCs w:val="21"/>
              </w:rPr>
            </w:pPr>
            <w:r>
              <w:rPr>
                <w:rFonts w:hint="eastAsia" w:ascii="宋体" w:hAnsi="宋体" w:cs="宋体"/>
                <w:kern w:val="0"/>
                <w:szCs w:val="21"/>
              </w:rPr>
              <w:t>规划时间：</w:t>
            </w:r>
            <w:r>
              <w:rPr>
                <w:rFonts w:ascii="宋体" w:hAnsi="宋体" w:cs="宋体"/>
                <w:kern w:val="0"/>
                <w:szCs w:val="21"/>
              </w:rPr>
              <w:t>2021</w:t>
            </w:r>
            <w:r>
              <w:rPr>
                <w:rFonts w:hint="eastAsia" w:ascii="宋体" w:hAnsi="宋体" w:cs="宋体"/>
                <w:kern w:val="0"/>
                <w:szCs w:val="21"/>
              </w:rPr>
              <w:t>年1</w:t>
            </w:r>
            <w:r>
              <w:rPr>
                <w:rFonts w:ascii="宋体" w:hAnsi="宋体" w:cs="宋体"/>
                <w:kern w:val="0"/>
                <w:szCs w:val="21"/>
              </w:rPr>
              <w:t>1</w:t>
            </w:r>
            <w:r>
              <w:rPr>
                <w:rFonts w:hint="eastAsia" w:ascii="宋体" w:hAnsi="宋体" w:cs="宋体"/>
                <w:kern w:val="0"/>
                <w:szCs w:val="21"/>
              </w:rPr>
              <w:t>月2</w:t>
            </w:r>
            <w:r>
              <w:rPr>
                <w:rFonts w:ascii="宋体" w:hAnsi="宋体" w:cs="宋体"/>
                <w:kern w:val="0"/>
                <w:szCs w:val="21"/>
              </w:rPr>
              <w:t>2</w:t>
            </w:r>
            <w:r>
              <w:rPr>
                <w:rFonts w:hint="eastAsia" w:ascii="宋体" w:hAnsi="宋体" w:cs="宋体"/>
                <w:kern w:val="0"/>
                <w:szCs w:val="21"/>
              </w:rPr>
              <w:t>日</w:t>
            </w:r>
          </w:p>
          <w:p>
            <w:pPr>
              <w:autoSpaceDE w:val="0"/>
              <w:autoSpaceDN w:val="0"/>
              <w:adjustRightInd w:val="0"/>
              <w:snapToGrid w:val="0"/>
              <w:jc w:val="both"/>
              <w:rPr>
                <w:kern w:val="0"/>
              </w:rPr>
            </w:pPr>
            <w:r>
              <w:rPr>
                <w:rFonts w:hint="eastAsia" w:ascii="宋体" w:hAnsi="宋体" w:cs="宋体"/>
                <w:kern w:val="0"/>
                <w:szCs w:val="21"/>
              </w:rPr>
              <w:t>批复文号：川工信发[</w:t>
            </w:r>
            <w:r>
              <w:rPr>
                <w:rFonts w:ascii="宋体" w:hAnsi="宋体" w:cs="宋体"/>
                <w:kern w:val="0"/>
                <w:szCs w:val="21"/>
              </w:rPr>
              <w:t>2021]109</w:t>
            </w:r>
            <w:r>
              <w:rPr>
                <w:rFonts w:hint="eastAsia" w:ascii="宋体" w:hAnsi="宋体" w:cs="宋体"/>
                <w:kern w:val="0"/>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64" w:type="dxa"/>
            <w:gridSpan w:val="3"/>
            <w:vAlign w:val="center"/>
          </w:tcPr>
          <w:p>
            <w:pPr>
              <w:adjustRightInd w:val="0"/>
              <w:snapToGrid w:val="0"/>
              <w:spacing w:line="420" w:lineRule="exact"/>
              <w:jc w:val="center"/>
            </w:pPr>
            <w:r>
              <w:t>规划环境影响</w:t>
            </w:r>
          </w:p>
          <w:p>
            <w:pPr>
              <w:adjustRightInd w:val="0"/>
              <w:snapToGrid w:val="0"/>
              <w:spacing w:line="420" w:lineRule="exact"/>
              <w:jc w:val="center"/>
              <w:rPr>
                <w:kern w:val="0"/>
              </w:rPr>
            </w:pPr>
            <w:r>
              <w:t>评价情况</w:t>
            </w:r>
          </w:p>
        </w:tc>
        <w:tc>
          <w:tcPr>
            <w:tcW w:w="6906" w:type="dxa"/>
            <w:gridSpan w:val="3"/>
            <w:vAlign w:val="center"/>
          </w:tcPr>
          <w:p>
            <w:pPr>
              <w:autoSpaceDE w:val="0"/>
              <w:autoSpaceDN w:val="0"/>
              <w:adjustRightInd w:val="0"/>
              <w:snapToGrid w:val="0"/>
              <w:spacing w:line="360" w:lineRule="auto"/>
              <w:ind w:firstLine="420" w:firstLineChars="200"/>
              <w:rPr>
                <w:rFonts w:hint="default" w:ascii="Times New Roman" w:hAnsi="Times New Roman" w:cs="Times New Roman"/>
                <w:lang w:val="zh-CN"/>
              </w:rPr>
            </w:pPr>
            <w:r>
              <w:rPr>
                <w:rFonts w:hint="default" w:ascii="Times New Roman" w:hAnsi="Times New Roman" w:cs="Times New Roman"/>
              </w:rPr>
              <w:t>规划环评：</w:t>
            </w:r>
            <w:r>
              <w:rPr>
                <w:rFonts w:hint="default" w:ascii="Times New Roman" w:hAnsi="Times New Roman" w:cs="Times New Roman"/>
                <w:lang w:val="zh-CN"/>
              </w:rPr>
              <w:t>《</w:t>
            </w:r>
            <w:r>
              <w:rPr>
                <w:rFonts w:hint="eastAsia" w:ascii="宋体" w:hAnsi="宋体" w:cs="宋体"/>
                <w:kern w:val="0"/>
                <w:szCs w:val="21"/>
                <w:lang w:eastAsia="zh-CN"/>
              </w:rPr>
              <w:t>淄川区</w:t>
            </w:r>
            <w:r>
              <w:rPr>
                <w:rFonts w:hint="eastAsia" w:ascii="宋体" w:hAnsi="宋体" w:cs="宋体"/>
                <w:kern w:val="0"/>
                <w:szCs w:val="21"/>
              </w:rPr>
              <w:t>双杨镇工业集聚区</w:t>
            </w:r>
            <w:r>
              <w:rPr>
                <w:rFonts w:hint="eastAsia" w:ascii="宋体" w:hAnsi="宋体" w:cs="宋体"/>
                <w:kern w:val="0"/>
                <w:szCs w:val="21"/>
                <w:lang w:eastAsia="zh-CN"/>
              </w:rPr>
              <w:t>总体规划（</w:t>
            </w:r>
            <w:r>
              <w:rPr>
                <w:rFonts w:hint="eastAsia" w:ascii="宋体" w:hAnsi="宋体" w:cs="宋体"/>
                <w:kern w:val="0"/>
                <w:szCs w:val="21"/>
                <w:lang w:val="en-US" w:eastAsia="zh-CN"/>
              </w:rPr>
              <w:t>2021-2035</w:t>
            </w:r>
            <w:r>
              <w:rPr>
                <w:rFonts w:hint="eastAsia" w:ascii="宋体" w:hAnsi="宋体" w:cs="宋体"/>
                <w:kern w:val="0"/>
                <w:szCs w:val="21"/>
                <w:lang w:eastAsia="zh-CN"/>
              </w:rPr>
              <w:t>）</w:t>
            </w:r>
            <w:r>
              <w:rPr>
                <w:rFonts w:hint="default" w:ascii="Times New Roman" w:hAnsi="Times New Roman" w:cs="Times New Roman"/>
                <w:lang w:val="zh-CN"/>
              </w:rPr>
              <w:t>环境影响报告书》</w:t>
            </w:r>
          </w:p>
          <w:p>
            <w:pPr>
              <w:autoSpaceDE w:val="0"/>
              <w:autoSpaceDN w:val="0"/>
              <w:adjustRightInd w:val="0"/>
              <w:snapToGrid w:val="0"/>
              <w:spacing w:line="360" w:lineRule="auto"/>
              <w:ind w:firstLine="420" w:firstLineChars="200"/>
              <w:rPr>
                <w:rFonts w:hint="default" w:ascii="Times New Roman" w:hAnsi="Times New Roman" w:cs="Times New Roman"/>
                <w:lang w:val="zh-CN"/>
              </w:rPr>
            </w:pPr>
            <w:r>
              <w:rPr>
                <w:rFonts w:hint="default" w:ascii="Times New Roman" w:hAnsi="Times New Roman" w:cs="Times New Roman"/>
                <w:lang w:val="zh-CN"/>
              </w:rPr>
              <w:t>审查部门：</w:t>
            </w:r>
            <w:r>
              <w:rPr>
                <w:rFonts w:hint="eastAsia" w:ascii="Times New Roman" w:hAnsi="Times New Roman" w:cs="Times New Roman"/>
                <w:lang w:val="zh-CN"/>
              </w:rPr>
              <w:t>淄博市生态环境局</w:t>
            </w:r>
          </w:p>
          <w:p>
            <w:pPr>
              <w:autoSpaceDE w:val="0"/>
              <w:autoSpaceDN w:val="0"/>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审查时间：</w:t>
            </w:r>
            <w:r>
              <w:rPr>
                <w:rFonts w:hint="default" w:ascii="Times New Roman" w:hAnsi="Times New Roman" w:cs="Times New Roman"/>
                <w:lang w:val="zh-CN"/>
              </w:rPr>
              <w:t>20</w:t>
            </w:r>
            <w:r>
              <w:rPr>
                <w:rFonts w:hint="eastAsia" w:ascii="Times New Roman" w:hAnsi="Times New Roman" w:cs="Times New Roman"/>
                <w:lang w:val="en-US" w:eastAsia="zh-CN"/>
              </w:rPr>
              <w:t>23</w:t>
            </w:r>
            <w:r>
              <w:rPr>
                <w:rFonts w:hint="default" w:ascii="Times New Roman" w:hAnsi="Times New Roman" w:cs="Times New Roman"/>
                <w:lang w:val="zh-CN"/>
              </w:rPr>
              <w:t>年</w:t>
            </w:r>
            <w:r>
              <w:rPr>
                <w:rFonts w:hint="eastAsia" w:ascii="Times New Roman" w:hAnsi="Times New Roman" w:cs="Times New Roman"/>
                <w:lang w:val="en-US" w:eastAsia="zh-CN"/>
              </w:rPr>
              <w:t>4</w:t>
            </w:r>
            <w:r>
              <w:rPr>
                <w:rFonts w:hint="default" w:ascii="Times New Roman" w:hAnsi="Times New Roman" w:cs="Times New Roman"/>
              </w:rPr>
              <w:t>月</w:t>
            </w:r>
            <w:r>
              <w:rPr>
                <w:rFonts w:hint="eastAsia" w:ascii="Times New Roman" w:hAnsi="Times New Roman" w:cs="Times New Roman"/>
                <w:lang w:val="en-US" w:eastAsia="zh-CN"/>
              </w:rPr>
              <w:t>7</w:t>
            </w:r>
            <w:r>
              <w:rPr>
                <w:rFonts w:hint="default" w:ascii="Times New Roman" w:hAnsi="Times New Roman" w:cs="Times New Roman"/>
              </w:rPr>
              <w:t>日</w:t>
            </w:r>
          </w:p>
          <w:p>
            <w:pPr>
              <w:autoSpaceDE w:val="0"/>
              <w:autoSpaceDN w:val="0"/>
              <w:adjustRightInd w:val="0"/>
              <w:snapToGrid w:val="0"/>
              <w:spacing w:line="360" w:lineRule="auto"/>
              <w:ind w:firstLine="420" w:firstLineChars="200"/>
              <w:rPr>
                <w:rFonts w:hint="default" w:eastAsia="宋体"/>
                <w:kern w:val="0"/>
                <w:lang w:val="en-US" w:eastAsia="zh-CN"/>
              </w:rPr>
            </w:pPr>
            <w:r>
              <w:rPr>
                <w:rFonts w:hint="default" w:ascii="Times New Roman" w:hAnsi="Times New Roman" w:cs="Times New Roman"/>
              </w:rPr>
              <w:t>审查文件名及文号：《关于</w:t>
            </w:r>
            <w:r>
              <w:rPr>
                <w:rFonts w:hint="eastAsia" w:ascii="宋体" w:hAnsi="宋体" w:cs="宋体"/>
                <w:kern w:val="0"/>
                <w:szCs w:val="21"/>
                <w:lang w:eastAsia="zh-CN"/>
              </w:rPr>
              <w:t>淄川区</w:t>
            </w:r>
            <w:r>
              <w:rPr>
                <w:rFonts w:hint="eastAsia" w:ascii="宋体" w:hAnsi="宋体" w:cs="宋体"/>
                <w:kern w:val="0"/>
                <w:szCs w:val="21"/>
              </w:rPr>
              <w:t>双杨镇工业集聚区</w:t>
            </w:r>
            <w:r>
              <w:rPr>
                <w:rFonts w:hint="eastAsia" w:ascii="宋体" w:hAnsi="宋体" w:cs="宋体"/>
                <w:kern w:val="0"/>
                <w:szCs w:val="21"/>
                <w:lang w:eastAsia="zh-CN"/>
              </w:rPr>
              <w:t>总体规划（</w:t>
            </w:r>
            <w:r>
              <w:rPr>
                <w:rFonts w:hint="eastAsia" w:ascii="宋体" w:hAnsi="宋体" w:cs="宋体"/>
                <w:kern w:val="0"/>
                <w:szCs w:val="21"/>
                <w:lang w:val="en-US" w:eastAsia="zh-CN"/>
              </w:rPr>
              <w:t>2021-2035</w:t>
            </w:r>
            <w:r>
              <w:rPr>
                <w:rFonts w:hint="eastAsia" w:ascii="宋体" w:hAnsi="宋体" w:cs="宋体"/>
                <w:kern w:val="0"/>
                <w:szCs w:val="21"/>
                <w:lang w:eastAsia="zh-CN"/>
              </w:rPr>
              <w:t>）</w:t>
            </w:r>
            <w:r>
              <w:rPr>
                <w:rFonts w:hint="default" w:ascii="Times New Roman" w:hAnsi="Times New Roman" w:cs="Times New Roman"/>
                <w:lang w:val="zh-CN"/>
              </w:rPr>
              <w:t>环境影响报告书的审查意见</w:t>
            </w:r>
            <w:r>
              <w:rPr>
                <w:rFonts w:hint="default" w:ascii="Times New Roman" w:hAnsi="Times New Roman" w:cs="Times New Roman"/>
              </w:rPr>
              <w:t>》（</w:t>
            </w:r>
            <w:r>
              <w:rPr>
                <w:rFonts w:hint="default" w:ascii="Times New Roman" w:hAnsi="Times New Roman" w:cs="Times New Roman"/>
                <w:lang w:val="zh-CN"/>
              </w:rPr>
              <w:t>鲁环审[20</w:t>
            </w:r>
            <w:r>
              <w:rPr>
                <w:rFonts w:hint="eastAsia" w:ascii="Times New Roman" w:hAnsi="Times New Roman" w:cs="Times New Roman"/>
                <w:lang w:val="en-US" w:eastAsia="zh-CN"/>
              </w:rPr>
              <w:t>23</w:t>
            </w:r>
            <w:r>
              <w:rPr>
                <w:rFonts w:hint="default" w:ascii="Times New Roman" w:hAnsi="Times New Roman" w:cs="Times New Roman"/>
                <w:lang w:val="zh-CN"/>
              </w:rPr>
              <w:t>]</w:t>
            </w:r>
            <w:r>
              <w:rPr>
                <w:rFonts w:hint="eastAsia" w:ascii="Times New Roman" w:hAnsi="Times New Roman" w:cs="Times New Roman"/>
                <w:lang w:val="en-US" w:eastAsia="zh-CN"/>
              </w:rPr>
              <w:t>30</w:t>
            </w:r>
            <w:r>
              <w:rPr>
                <w:rFonts w:hint="default" w:ascii="Times New Roman" w:hAnsi="Times New Roman" w:cs="Times New Roman"/>
                <w:lang w:val="zh-CN"/>
              </w:rPr>
              <w:t>号</w:t>
            </w:r>
            <w:r>
              <w:rPr>
                <w:rFonts w:hint="default" w:ascii="Times New Roman" w:hAnsi="Times New Roman" w:cs="Times New Roma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6" w:hRule="atLeast"/>
          <w:jc w:val="center"/>
        </w:trPr>
        <w:tc>
          <w:tcPr>
            <w:tcW w:w="891" w:type="dxa"/>
            <w:gridSpan w:val="2"/>
            <w:vAlign w:val="center"/>
          </w:tcPr>
          <w:p>
            <w:pPr>
              <w:adjustRightInd w:val="0"/>
              <w:snapToGrid w:val="0"/>
              <w:spacing w:line="420" w:lineRule="exact"/>
              <w:jc w:val="center"/>
              <w:rPr>
                <w:kern w:val="0"/>
              </w:rPr>
            </w:pPr>
            <w:r>
              <w:rPr>
                <w:kern w:val="0"/>
              </w:rPr>
              <w:t>规划及规划</w:t>
            </w:r>
            <w:r>
              <w:t>环境</w:t>
            </w:r>
          </w:p>
          <w:p>
            <w:pPr>
              <w:autoSpaceDE w:val="0"/>
              <w:autoSpaceDN w:val="0"/>
              <w:adjustRightInd w:val="0"/>
              <w:snapToGrid w:val="0"/>
              <w:spacing w:line="420" w:lineRule="exact"/>
              <w:ind w:left="-34" w:leftChars="-16" w:right="-109" w:rightChars="-52"/>
              <w:jc w:val="center"/>
              <w:rPr>
                <w:kern w:val="0"/>
              </w:rPr>
            </w:pPr>
            <w:r>
              <w:rPr>
                <w:kern w:val="0"/>
              </w:rPr>
              <w:t>影响评价符合性分析</w:t>
            </w:r>
          </w:p>
        </w:tc>
        <w:tc>
          <w:tcPr>
            <w:tcW w:w="7979" w:type="dxa"/>
            <w:gridSpan w:val="4"/>
            <w:vAlign w:val="center"/>
          </w:tcPr>
          <w:p>
            <w:pPr>
              <w:keepNext w:val="0"/>
              <w:keepLines w:val="0"/>
              <w:pageBreakBefore w:val="0"/>
              <w:widowControl w:val="0"/>
              <w:kinsoku/>
              <w:wordWrap/>
              <w:overflowPunct/>
              <w:topLinePunct w:val="0"/>
              <w:bidi w:val="0"/>
              <w:spacing w:line="360" w:lineRule="auto"/>
              <w:ind w:left="0" w:right="0" w:firstLine="420" w:firstLineChars="200"/>
              <w:textAlignment w:val="auto"/>
            </w:pPr>
            <w:r>
              <w:t>1 、与《</w:t>
            </w:r>
            <w:r>
              <w:rPr>
                <w:rFonts w:hint="eastAsia"/>
                <w:lang w:eastAsia="zh-CN"/>
              </w:rPr>
              <w:t>淄川区</w:t>
            </w:r>
            <w:r>
              <w:rPr>
                <w:rFonts w:hint="eastAsia"/>
              </w:rPr>
              <w:t>双杨镇工业集聚区</w:t>
            </w:r>
            <w:r>
              <w:rPr>
                <w:rFonts w:hint="eastAsia"/>
                <w:lang w:eastAsia="zh-CN"/>
              </w:rPr>
              <w:t>总体规划（</w:t>
            </w:r>
            <w:r>
              <w:rPr>
                <w:rFonts w:hint="eastAsia"/>
                <w:lang w:val="en-US" w:eastAsia="zh-CN"/>
              </w:rPr>
              <w:t>2021-2035</w:t>
            </w:r>
            <w:r>
              <w:rPr>
                <w:rFonts w:hint="eastAsia"/>
                <w:lang w:eastAsia="zh-CN"/>
              </w:rPr>
              <w:t>）</w:t>
            </w:r>
            <w:r>
              <w:t>》符合性分 析</w:t>
            </w:r>
          </w:p>
          <w:p>
            <w:pPr>
              <w:keepNext w:val="0"/>
              <w:keepLines w:val="0"/>
              <w:pageBreakBefore w:val="0"/>
              <w:widowControl w:val="0"/>
              <w:kinsoku/>
              <w:wordWrap/>
              <w:overflowPunct/>
              <w:topLinePunct w:val="0"/>
              <w:bidi w:val="0"/>
              <w:spacing w:line="360" w:lineRule="auto"/>
              <w:ind w:left="0" w:right="0" w:firstLine="420" w:firstLineChars="200"/>
              <w:textAlignment w:val="auto"/>
            </w:pPr>
            <w:r>
              <w:t>(1)</w:t>
            </w:r>
            <w:r>
              <w:rPr>
                <w:rFonts w:hint="eastAsia"/>
                <w:lang w:eastAsia="zh-CN"/>
              </w:rPr>
              <w:t>淄川区</w:t>
            </w:r>
            <w:r>
              <w:rPr>
                <w:rFonts w:hint="eastAsia"/>
              </w:rPr>
              <w:t>双杨镇工业集聚区</w:t>
            </w:r>
            <w:r>
              <w:t>总体规划</w:t>
            </w:r>
          </w:p>
          <w:p>
            <w:pPr>
              <w:pStyle w:val="1390"/>
              <w:keepNext w:val="0"/>
              <w:keepLines w:val="0"/>
              <w:widowControl w:val="0"/>
              <w:shd w:val="clear" w:color="auto" w:fill="auto"/>
              <w:bidi w:val="0"/>
              <w:spacing w:before="0" w:after="0" w:line="360" w:lineRule="auto"/>
              <w:ind w:right="0"/>
              <w:jc w:val="both"/>
            </w:pPr>
            <w:r>
              <w:t>①规划范围：东至凤凰路、双罗路至双杨镇边界，西至张博铁路，南至胶王路，北至102省道，面积</w:t>
            </w:r>
            <w:r>
              <w:rPr>
                <w:lang w:val="en-US" w:eastAsia="en-US"/>
              </w:rPr>
              <w:t>988.68</w:t>
            </w:r>
            <w:r>
              <w:t>公顷，重点发展新材料、新医药、装备制造等产业。</w:t>
            </w:r>
          </w:p>
          <w:p>
            <w:pPr>
              <w:keepNext w:val="0"/>
              <w:keepLines w:val="0"/>
              <w:pageBreakBefore w:val="0"/>
              <w:widowControl w:val="0"/>
              <w:kinsoku/>
              <w:wordWrap/>
              <w:overflowPunct/>
              <w:topLinePunct w:val="0"/>
              <w:bidi w:val="0"/>
              <w:spacing w:line="360" w:lineRule="auto"/>
              <w:ind w:left="0" w:right="0" w:firstLine="420" w:firstLineChars="200"/>
              <w:textAlignment w:val="auto"/>
            </w:pPr>
            <w:r>
              <w:t>②主导产业：新材料、新医药、装备制造。</w:t>
            </w:r>
          </w:p>
          <w:p>
            <w:pPr>
              <w:keepNext w:val="0"/>
              <w:keepLines w:val="0"/>
              <w:pageBreakBefore w:val="0"/>
              <w:widowControl w:val="0"/>
              <w:kinsoku/>
              <w:wordWrap/>
              <w:overflowPunct/>
              <w:topLinePunct w:val="0"/>
              <w:bidi w:val="0"/>
              <w:spacing w:line="360" w:lineRule="auto"/>
              <w:ind w:left="0" w:right="0" w:firstLine="420" w:firstLineChars="200"/>
              <w:textAlignment w:val="auto"/>
            </w:pPr>
            <w:r>
              <w:t>(2) 与</w:t>
            </w:r>
            <w:r>
              <w:rPr>
                <w:rFonts w:hint="eastAsia"/>
              </w:rPr>
              <w:t>集聚区</w:t>
            </w:r>
            <w:r>
              <w:t>入区行业符合性分析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2" w:firstLineChars="200"/>
              <w:jc w:val="center"/>
              <w:textAlignment w:val="auto"/>
              <w:rPr>
                <w:rFonts w:hint="eastAsia"/>
                <w:b/>
                <w:bCs/>
              </w:rPr>
            </w:pPr>
            <w:r>
              <w:rPr>
                <w:rFonts w:hint="eastAsia"/>
                <w:b/>
                <w:bCs/>
              </w:rPr>
              <w:t>表 1-</w:t>
            </w:r>
            <w:r>
              <w:rPr>
                <w:rFonts w:hint="eastAsia"/>
                <w:b/>
                <w:bCs/>
                <w:lang w:val="en-US" w:eastAsia="zh-CN"/>
              </w:rPr>
              <w:t>2</w:t>
            </w:r>
            <w:r>
              <w:rPr>
                <w:rFonts w:hint="eastAsia"/>
                <w:b/>
                <w:bCs/>
              </w:rPr>
              <w:t xml:space="preserve">  项目与集聚区行业准入清单符合情况一览表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48"/>
              <w:gridCol w:w="1787"/>
              <w:gridCol w:w="357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产业定位</w:t>
                  </w: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准入行业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准入程度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3" w:hRule="atLeast"/>
                <w:jc w:val="center"/>
              </w:trPr>
              <w:tc>
                <w:tcPr>
                  <w:tcW w:w="1148" w:type="dxa"/>
                  <w:vMerge w:val="restart"/>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特种金属功能材料、先进</w:t>
                  </w:r>
                </w:p>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高分子材料、新型无机非金属材料、高性能复合材料、高端化工新材料</w:t>
                  </w: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C3240</w:t>
                  </w:r>
                  <w:r>
                    <w:rPr>
                      <w:rFonts w:hint="default" w:ascii="Times New Roman" w:hAnsi="Times New Roman" w:cs="Times New Roman"/>
                      <w:sz w:val="18"/>
                      <w:szCs w:val="18"/>
                    </w:rPr>
                    <w:t>有色金属合金制造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C3985</w:t>
                  </w:r>
                  <w:r>
                    <w:rPr>
                      <w:rFonts w:hint="default" w:ascii="Times New Roman" w:hAnsi="Times New Roman" w:cs="Times New Roman"/>
                      <w:sz w:val="18"/>
                      <w:szCs w:val="18"/>
                    </w:rPr>
                    <w:t>电子专用材料制造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C307</w:t>
                  </w:r>
                  <w:r>
                    <w:rPr>
                      <w:rFonts w:hint="default" w:ascii="Times New Roman" w:hAnsi="Times New Roman" w:cs="Times New Roman"/>
                      <w:sz w:val="18"/>
                      <w:szCs w:val="18"/>
                    </w:rPr>
                    <w:t>陶瓷制品制造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pStyle w:val="1391"/>
                    <w:keepNext w:val="0"/>
                    <w:keepLines w:val="0"/>
                    <w:widowControl w:val="0"/>
                    <w:shd w:val="clear" w:color="auto" w:fill="auto"/>
                    <w:bidi w:val="0"/>
                    <w:spacing w:before="0" w:after="0" w:line="240" w:lineRule="auto"/>
                    <w:ind w:left="0" w:right="0" w:firstLine="200"/>
                    <w:jc w:val="center"/>
                    <w:rPr>
                      <w:rFonts w:hint="default" w:ascii="Times New Roman" w:hAnsi="Times New Roman" w:cs="Times New Roman"/>
                      <w:sz w:val="18"/>
                      <w:szCs w:val="18"/>
                    </w:rPr>
                  </w:pPr>
                </w:p>
              </w:tc>
              <w:tc>
                <w:tcPr>
                  <w:tcW w:w="5359" w:type="dxa"/>
                  <w:gridSpan w:val="2"/>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C309</w:t>
                  </w:r>
                  <w:r>
                    <w:rPr>
                      <w:rFonts w:hint="default" w:ascii="Times New Roman" w:hAnsi="Times New Roman" w:cs="Times New Roman"/>
                      <w:sz w:val="18"/>
                      <w:szCs w:val="18"/>
                    </w:rPr>
                    <w:t>石墨及其他非金属矿物制品制造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tabs>
                      <w:tab w:val="left" w:pos="2030"/>
                    </w:tabs>
                    <w:bidi w:val="0"/>
                    <w:spacing w:before="0" w:after="0" w:line="240" w:lineRule="auto"/>
                    <w:ind w:right="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C</w:t>
                  </w:r>
                  <w:r>
                    <w:rPr>
                      <w:rFonts w:hint="default" w:ascii="Times New Roman" w:hAnsi="Times New Roman" w:cs="Times New Roman"/>
                      <w:sz w:val="18"/>
                      <w:szCs w:val="18"/>
                    </w:rPr>
                    <w:t>26</w:t>
                  </w:r>
                  <w:r>
                    <w:rPr>
                      <w:rFonts w:hint="default" w:ascii="Times New Roman" w:hAnsi="Times New Roman" w:cs="Times New Roman"/>
                      <w:sz w:val="18"/>
                      <w:szCs w:val="18"/>
                      <w:lang w:eastAsia="zh-CN"/>
                    </w:rPr>
                    <w:t>化</w:t>
                  </w:r>
                  <w:r>
                    <w:rPr>
                      <w:rFonts w:hint="default" w:ascii="Times New Roman" w:hAnsi="Times New Roman" w:cs="Times New Roman"/>
                      <w:sz w:val="18"/>
                      <w:szCs w:val="18"/>
                    </w:rPr>
                    <w:t>学原料和</w:t>
                  </w:r>
                  <w:r>
                    <w:rPr>
                      <w:rFonts w:hint="default" w:ascii="Times New Roman" w:hAnsi="Times New Roman" w:cs="Times New Roman"/>
                      <w:sz w:val="18"/>
                      <w:szCs w:val="18"/>
                      <w:lang w:eastAsia="zh-CN"/>
                    </w:rPr>
                    <w:t>化学产品制造业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凯盛新材料化工产业链上项目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符合下列情形之一的化工项目，</w:t>
                  </w:r>
                  <w:r>
                    <w:rPr>
                      <w:rFonts w:hint="default" w:ascii="Times New Roman" w:hAnsi="Times New Roman" w:cs="Times New Roman"/>
                      <w:sz w:val="18"/>
                      <w:szCs w:val="18"/>
                      <w:lang w:eastAsia="zh-CN"/>
                    </w:rPr>
                    <w:t>除国</w:t>
                  </w:r>
                  <w:r>
                    <w:rPr>
                      <w:rFonts w:hint="default" w:ascii="Times New Roman" w:hAnsi="Times New Roman" w:cs="Times New Roman"/>
                      <w:sz w:val="18"/>
                      <w:szCs w:val="18"/>
                    </w:rPr>
                    <w:t>家另有规定的外，可以在集聚区实施，且不受投资额限制：</w:t>
                  </w:r>
                </w:p>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1、2625有机肥料及微生物肥料制造、 2682化妆品制造</w:t>
                  </w:r>
                  <w:r>
                    <w:rPr>
                      <w:rFonts w:hint="default" w:ascii="Times New Roman" w:hAnsi="Times New Roman" w:cs="Times New Roman"/>
                      <w:sz w:val="18"/>
                      <w:szCs w:val="18"/>
                      <w:lang w:eastAsia="zh-CN"/>
                    </w:rPr>
                    <w:t>、</w:t>
                  </w:r>
                  <w:r>
                    <w:rPr>
                      <w:rFonts w:hint="default" w:ascii="Times New Roman" w:hAnsi="Times New Roman" w:cs="Times New Roman"/>
                      <w:sz w:val="18"/>
                      <w:szCs w:val="18"/>
                    </w:rPr>
                    <w:t>2683 口腔清洁用品 制造、291橡胶制品业项目；2、列入《建设项目环境影响评价分类管理名 录》的环评类别为报告表、登记表的非危险化学品项目。</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restart"/>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生物制药；生物基材料制 造；装备制 造；铁路运输</w:t>
                  </w: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24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C27</w:t>
                  </w:r>
                  <w:r>
                    <w:rPr>
                      <w:rFonts w:hint="default" w:ascii="Times New Roman" w:hAnsi="Times New Roman" w:cs="Times New Roman"/>
                      <w:sz w:val="18"/>
                      <w:szCs w:val="18"/>
                    </w:rPr>
                    <w:t>医药制造业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生物药品制品制造、卫生材料及医药 用品制造、中药饮片加工、中成药生 产</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C28</w:t>
                  </w:r>
                  <w:r>
                    <w:rPr>
                      <w:rFonts w:hint="default" w:ascii="Times New Roman" w:hAnsi="Times New Roman" w:cs="Times New Roman"/>
                      <w:sz w:val="18"/>
                      <w:szCs w:val="18"/>
                    </w:rPr>
                    <w:t>化学纤维制造业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生物基材料制造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C34</w:t>
                  </w:r>
                  <w:r>
                    <w:rPr>
                      <w:rFonts w:hint="default" w:ascii="Times New Roman" w:hAnsi="Times New Roman" w:cs="Times New Roman"/>
                      <w:sz w:val="18"/>
                      <w:szCs w:val="18"/>
                    </w:rPr>
                    <w:t>通用设备制造业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金属加工机械制造；物料搬运设备制 造；泵、阀门、压缩机及类似机械制 造；通用零部件制造；轴承、齿轮和 传动部件制造：烘炉、风机、衡器、 包装等设备制造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C35</w:t>
                  </w:r>
                  <w:r>
                    <w:rPr>
                      <w:rFonts w:hint="default" w:ascii="Times New Roman" w:hAnsi="Times New Roman" w:cs="Times New Roman"/>
                      <w:sz w:val="18"/>
                      <w:szCs w:val="18"/>
                    </w:rPr>
                    <w:t>专用设备制造业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重点推进石油装备、节能环保装备和 新能源装备制造项目</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C38</w:t>
                  </w:r>
                  <w:r>
                    <w:rPr>
                      <w:rFonts w:hint="default" w:ascii="Times New Roman" w:hAnsi="Times New Roman" w:cs="Times New Roman"/>
                      <w:sz w:val="18"/>
                      <w:szCs w:val="18"/>
                    </w:rPr>
                    <w:t>电气机械和器材制造业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输配电及控制设备制造；家用电力器 具制造；非电力家用器具制造；照明 器具制造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C39</w:t>
                  </w:r>
                  <w:r>
                    <w:rPr>
                      <w:rFonts w:hint="default" w:ascii="Times New Roman" w:hAnsi="Times New Roman" w:cs="Times New Roman"/>
                      <w:sz w:val="18"/>
                      <w:szCs w:val="18"/>
                    </w:rPr>
                    <w:t>计算机、通信和 其他电子设备制造业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计算机制造；通信设备制造；广播电 视设备制造；雷达及配套设备制造； 视听设备制造；电子器件制造；电子</w:t>
                  </w:r>
                </w:p>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元件制造；其他电子设备制造</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8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C40</w:t>
                  </w:r>
                  <w:r>
                    <w:rPr>
                      <w:rFonts w:hint="default" w:ascii="Times New Roman" w:hAnsi="Times New Roman" w:cs="Times New Roman"/>
                      <w:sz w:val="18"/>
                      <w:szCs w:val="18"/>
                    </w:rPr>
                    <w:t>仪器仪表制造业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通用仪器仪表制造；专用仪器仪表制 造；钟表与计时仪器制造；光学仪器 制造；衡器制造；其他仪器仪表制造 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24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G53</w:t>
                  </w:r>
                  <w:r>
                    <w:rPr>
                      <w:rFonts w:hint="default" w:ascii="Times New Roman" w:hAnsi="Times New Roman" w:cs="Times New Roman"/>
                      <w:sz w:val="18"/>
                      <w:szCs w:val="18"/>
                    </w:rPr>
                    <w:t>铁路运输业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依托铁路场站，引导一批生产企业不 断优化物流过程，培育大型物流集团</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restart"/>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以互联网服 务、金融服 务、商务服 务、技术服 务、医疗卫生</w:t>
                  </w:r>
                </w:p>
                <w:p>
                  <w:pPr>
                    <w:pStyle w:val="1391"/>
                    <w:keepNext w:val="0"/>
                    <w:keepLines w:val="0"/>
                    <w:widowControl w:val="0"/>
                    <w:shd w:val="clear" w:color="auto" w:fill="auto"/>
                    <w:bidi w:val="0"/>
                    <w:spacing w:before="0" w:after="0" w:line="240" w:lineRule="auto"/>
                    <w:ind w:left="20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服务等为主 的产业集群</w:t>
                  </w: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164互联网相关服务</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电子商务业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J66</w:t>
                  </w:r>
                  <w:r>
                    <w:rPr>
                      <w:rFonts w:hint="default" w:ascii="Times New Roman" w:hAnsi="Times New Roman" w:cs="Times New Roman"/>
                      <w:sz w:val="18"/>
                      <w:szCs w:val="18"/>
                    </w:rPr>
                    <w:t>货币金融服务</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货币银行服务；非货币银行服务</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J67</w:t>
                  </w:r>
                  <w:r>
                    <w:rPr>
                      <w:rFonts w:hint="default" w:ascii="Times New Roman" w:hAnsi="Times New Roman" w:cs="Times New Roman"/>
                      <w:sz w:val="18"/>
                      <w:szCs w:val="18"/>
                    </w:rPr>
                    <w:t>资本金融服务</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现代金融业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J68</w:t>
                  </w:r>
                  <w:r>
                    <w:rPr>
                      <w:rFonts w:hint="default" w:ascii="Times New Roman" w:hAnsi="Times New Roman" w:cs="Times New Roman"/>
                      <w:sz w:val="18"/>
                      <w:szCs w:val="18"/>
                    </w:rPr>
                    <w:t>保险业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人身保险；财产保险</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24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L72</w:t>
                  </w:r>
                  <w:r>
                    <w:rPr>
                      <w:rFonts w:hint="default" w:ascii="Times New Roman" w:hAnsi="Times New Roman" w:cs="Times New Roman"/>
                      <w:sz w:val="18"/>
                      <w:szCs w:val="18"/>
                    </w:rPr>
                    <w:t>商务服务业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综合管理服务；其他商务服务业等</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M74</w:t>
                  </w:r>
                  <w:r>
                    <w:rPr>
                      <w:rFonts w:hint="default" w:ascii="Times New Roman" w:hAnsi="Times New Roman" w:cs="Times New Roman"/>
                      <w:sz w:val="18"/>
                      <w:szCs w:val="18"/>
                    </w:rPr>
                    <w:t>专业技术服务业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质检技术服务</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M75</w:t>
                  </w:r>
                  <w:r>
                    <w:rPr>
                      <w:rFonts w:hint="default" w:ascii="Times New Roman" w:hAnsi="Times New Roman" w:cs="Times New Roman"/>
                      <w:sz w:val="18"/>
                      <w:szCs w:val="18"/>
                    </w:rPr>
                    <w:t>科技推广和应用服务业</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技术推广服务、知识产权服务、科技 中介服务</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Q84</w:t>
                  </w:r>
                  <w:r>
                    <w:rPr>
                      <w:rFonts w:hint="default" w:ascii="Times New Roman" w:hAnsi="Times New Roman" w:cs="Times New Roman"/>
                      <w:sz w:val="18"/>
                      <w:szCs w:val="18"/>
                    </w:rPr>
                    <w:t>卫生</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基层医疗卫生服务</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48" w:type="dxa"/>
                  <w:vMerge w:val="continue"/>
                  <w:shd w:val="clear" w:color="auto" w:fill="FFFFFF"/>
                  <w:vAlign w:val="center"/>
                </w:tcPr>
                <w:p>
                  <w:pPr>
                    <w:spacing w:line="240" w:lineRule="auto"/>
                    <w:jc w:val="center"/>
                    <w:rPr>
                      <w:rFonts w:hint="default" w:ascii="Times New Roman" w:hAnsi="Times New Roman" w:cs="Times New Roman"/>
                      <w:sz w:val="18"/>
                      <w:szCs w:val="18"/>
                    </w:rPr>
                  </w:pPr>
                </w:p>
              </w:tc>
              <w:tc>
                <w:tcPr>
                  <w:tcW w:w="1787" w:type="dxa"/>
                  <w:shd w:val="clear" w:color="auto" w:fill="FFFFFF"/>
                  <w:vAlign w:val="center"/>
                </w:tcPr>
                <w:p>
                  <w:pPr>
                    <w:pStyle w:val="1391"/>
                    <w:keepNext w:val="0"/>
                    <w:keepLines w:val="0"/>
                    <w:widowControl w:val="0"/>
                    <w:shd w:val="clear" w:color="auto" w:fill="auto"/>
                    <w:bidi w:val="0"/>
                    <w:spacing w:before="8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en-US"/>
                    </w:rPr>
                    <w:t>S94</w:t>
                  </w:r>
                  <w:r>
                    <w:rPr>
                      <w:rFonts w:hint="default" w:ascii="Times New Roman" w:hAnsi="Times New Roman" w:cs="Times New Roman"/>
                      <w:sz w:val="18"/>
                      <w:szCs w:val="18"/>
                    </w:rPr>
                    <w:t>社会保障</w:t>
                  </w:r>
                </w:p>
              </w:tc>
              <w:tc>
                <w:tcPr>
                  <w:tcW w:w="3572"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保险行业</w:t>
                  </w:r>
                </w:p>
              </w:tc>
              <w:tc>
                <w:tcPr>
                  <w:tcW w:w="1246" w:type="dxa"/>
                  <w:shd w:val="clear" w:color="auto" w:fill="FFFFFF"/>
                  <w:vAlign w:val="center"/>
                </w:tcPr>
                <w:p>
                  <w:pPr>
                    <w:pStyle w:val="1391"/>
                    <w:keepNext w:val="0"/>
                    <w:keepLines w:val="0"/>
                    <w:widowControl w:val="0"/>
                    <w:shd w:val="clear" w:color="auto" w:fill="auto"/>
                    <w:bidi w:val="0"/>
                    <w:spacing w:before="0" w:after="0" w:line="240" w:lineRule="auto"/>
                    <w:ind w:left="0" w:right="0" w:firstLine="0"/>
                    <w:jc w:val="center"/>
                    <w:rPr>
                      <w:rFonts w:hint="default" w:ascii="Times New Roman" w:hAnsi="Times New Roman" w:cs="Times New Roman"/>
                      <w:sz w:val="18"/>
                      <w:szCs w:val="18"/>
                    </w:rPr>
                  </w:pPr>
                  <w:r>
                    <w:rPr>
                      <w:rFonts w:hint="default" w:ascii="Times New Roman" w:hAnsi="Times New Roman" w:cs="Times New Roman"/>
                      <w:sz w:val="18"/>
                      <w:szCs w:val="18"/>
                    </w:rPr>
                    <w:t>允许准入</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lang w:eastAsia="zh-CN"/>
              </w:rPr>
            </w:pPr>
            <w:r>
              <w:t>综上，本项目位于山东省淄博市</w:t>
            </w:r>
            <w:r>
              <w:rPr>
                <w:rFonts w:hint="eastAsia"/>
                <w:lang w:eastAsia="zh-CN"/>
              </w:rPr>
              <w:t>双杨镇十里铺村东</w:t>
            </w:r>
            <w:r>
              <w:t>，在</w:t>
            </w:r>
            <w:r>
              <w:rPr>
                <w:rFonts w:hint="eastAsia"/>
                <w:lang w:eastAsia="zh-CN"/>
              </w:rPr>
              <w:t>淄川区双杨镇工业集聚区</w:t>
            </w:r>
            <w:r>
              <w:t>范围内，根据</w:t>
            </w:r>
            <w:r>
              <w:rPr>
                <w:rFonts w:hint="eastAsia"/>
                <w:lang w:eastAsia="zh-CN"/>
              </w:rPr>
              <w:t>《淄川区双杨镇工业集聚区总体规划（</w:t>
            </w:r>
            <w:r>
              <w:rPr>
                <w:rFonts w:hint="eastAsia"/>
                <w:lang w:val="en-US" w:eastAsia="zh-CN"/>
              </w:rPr>
              <w:t>2021-2035</w:t>
            </w:r>
            <w:r>
              <w:rPr>
                <w:rFonts w:hint="eastAsia"/>
                <w:lang w:eastAsia="zh-CN"/>
              </w:rPr>
              <w:t>）》</w:t>
            </w:r>
            <w:r>
              <w:t>，项目厂区用地性质为工业用地；本项目行业类别为C</w:t>
            </w:r>
            <w:r>
              <w:rPr>
                <w:rFonts w:hint="eastAsia"/>
                <w:lang w:val="en-US" w:eastAsia="zh-CN"/>
              </w:rPr>
              <w:t>2231纸和纸板容器制造、C2319包装装潢及其他印刷</w:t>
            </w:r>
            <w:r>
              <w:rPr>
                <w:rFonts w:hint="eastAsia"/>
              </w:rPr>
              <w:t>，</w:t>
            </w:r>
            <w:r>
              <w:rPr>
                <w:rFonts w:hint="eastAsia"/>
                <w:lang w:eastAsia="zh-CN"/>
              </w:rPr>
              <w:t>属于新材料行业配套服务行业，</w:t>
            </w:r>
            <w:r>
              <w:rPr>
                <w:rFonts w:hint="eastAsia"/>
              </w:rPr>
              <w:t>符合工业集聚区重点发展新材料的产业定位</w:t>
            </w:r>
            <w:r>
              <w:rPr>
                <w:rFonts w:hint="eastAsia"/>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rPr>
            </w:pPr>
            <w:r>
              <w:rPr>
                <w:rFonts w:hint="eastAsia"/>
              </w:rPr>
              <w:t>本项目与双杨镇工业集聚区的位置关系见附图1-</w:t>
            </w:r>
            <w:r>
              <w:t>1</w:t>
            </w:r>
            <w:r>
              <w:rPr>
                <w:rFonts w:hint="eastAsia"/>
              </w:rPr>
              <w:t>。</w:t>
            </w:r>
          </w:p>
          <w:p>
            <w:pPr>
              <w:spacing w:line="303" w:lineRule="exact"/>
              <w:ind w:left="584"/>
              <w:rPr>
                <w:sz w:val="21"/>
                <w:szCs w:val="21"/>
              </w:rPr>
            </w:pPr>
            <w:r>
              <w:rPr>
                <w:sz w:val="21"/>
                <w:szCs w:val="21"/>
              </w:rPr>
              <w:t>2 、规划环境影响评价符合性分析</w:t>
            </w:r>
          </w:p>
          <w:p>
            <w:pPr>
              <w:spacing w:before="163" w:line="227" w:lineRule="auto"/>
              <w:ind w:left="592"/>
              <w:rPr>
                <w:sz w:val="21"/>
                <w:szCs w:val="21"/>
              </w:rPr>
            </w:pPr>
            <w:r>
              <w:rPr>
                <w:sz w:val="21"/>
                <w:szCs w:val="21"/>
              </w:rPr>
              <w:t>项目与规划环评结论符合情况详见下表。</w:t>
            </w:r>
          </w:p>
          <w:p>
            <w:pPr>
              <w:spacing w:before="184" w:line="221" w:lineRule="auto"/>
              <w:jc w:val="center"/>
              <w:rPr>
                <w:rFonts w:ascii="宋体" w:hAnsi="宋体" w:eastAsia="宋体" w:cs="宋体"/>
                <w:sz w:val="21"/>
                <w:szCs w:val="21"/>
              </w:rPr>
            </w:pPr>
            <w:r>
              <w:rPr>
                <w:rFonts w:ascii="宋体" w:hAnsi="宋体" w:eastAsia="宋体" w:cs="宋体"/>
                <w:spacing w:val="6"/>
                <w:sz w:val="21"/>
                <w:szCs w:val="21"/>
                <w14:textOutline w14:w="4358" w14:cap="sq" w14:cmpd="sng">
                  <w14:solidFill>
                    <w14:srgbClr w14:val="000000"/>
                  </w14:solidFill>
                  <w14:prstDash w14:val="solid"/>
                  <w14:bevel/>
                </w14:textOutline>
              </w:rPr>
              <w:t>表</w:t>
            </w:r>
            <w:r>
              <w:rPr>
                <w:rFonts w:ascii="宋体" w:hAnsi="宋体" w:eastAsia="宋体" w:cs="宋体"/>
                <w:spacing w:val="6"/>
                <w:sz w:val="21"/>
                <w:szCs w:val="21"/>
              </w:rPr>
              <w:t xml:space="preserve"> </w:t>
            </w:r>
            <w:r>
              <w:rPr>
                <w:rFonts w:ascii="Times New Roman" w:hAnsi="Times New Roman" w:eastAsia="Times New Roman" w:cs="Times New Roman"/>
                <w:b/>
                <w:bCs/>
                <w:spacing w:val="6"/>
                <w:sz w:val="21"/>
                <w:szCs w:val="21"/>
              </w:rPr>
              <w:t>1-</w:t>
            </w:r>
            <w:r>
              <w:rPr>
                <w:rFonts w:hint="eastAsia" w:eastAsia="宋体" w:cs="Times New Roman"/>
                <w:b/>
                <w:bCs/>
                <w:spacing w:val="6"/>
                <w:sz w:val="21"/>
                <w:szCs w:val="21"/>
                <w:lang w:val="en-US" w:eastAsia="zh-CN"/>
              </w:rPr>
              <w:t>3</w:t>
            </w:r>
            <w:r>
              <w:rPr>
                <w:rFonts w:ascii="Times New Roman" w:hAnsi="Times New Roman" w:eastAsia="Times New Roman" w:cs="Times New Roman"/>
                <w:spacing w:val="6"/>
                <w:sz w:val="21"/>
                <w:szCs w:val="21"/>
              </w:rPr>
              <w:t xml:space="preserve">   </w:t>
            </w:r>
            <w:r>
              <w:rPr>
                <w:rFonts w:ascii="宋体" w:hAnsi="宋体" w:eastAsia="宋体" w:cs="宋体"/>
                <w:spacing w:val="6"/>
                <w:sz w:val="21"/>
                <w:szCs w:val="21"/>
                <w14:textOutline w14:w="4358" w14:cap="sq" w14:cmpd="sng">
                  <w14:solidFill>
                    <w14:srgbClr w14:val="000000"/>
                  </w14:solidFill>
                  <w14:prstDash w14:val="solid"/>
                  <w14:bevel/>
                </w14:textOutline>
              </w:rPr>
              <w:t>项目与规划环评结论符合情况一览</w:t>
            </w:r>
            <w:r>
              <w:rPr>
                <w:rFonts w:ascii="宋体" w:hAnsi="宋体" w:eastAsia="宋体" w:cs="宋体"/>
                <w:spacing w:val="1"/>
                <w:sz w:val="21"/>
                <w:szCs w:val="21"/>
                <w14:textOutline w14:w="4358" w14:cap="sq" w14:cmpd="sng">
                  <w14:solidFill>
                    <w14:srgbClr w14:val="000000"/>
                  </w14:solidFill>
                  <w14:prstDash w14:val="solid"/>
                  <w14:bevel/>
                </w14:textOutline>
              </w:rPr>
              <w:t>表</w:t>
            </w:r>
          </w:p>
          <w:tbl>
            <w:tblPr>
              <w:tblStyle w:val="138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03"/>
              <w:gridCol w:w="2397"/>
              <w:gridCol w:w="10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416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18"/>
                      <w:szCs w:val="18"/>
                    </w:rPr>
                  </w:pPr>
                  <w:r>
                    <w:rPr>
                      <w:rFonts w:hint="eastAsia"/>
                      <w:sz w:val="18"/>
                      <w:szCs w:val="18"/>
                      <w:lang w:eastAsia="zh-CN"/>
                    </w:rPr>
                    <w:t>淄博市淄川区双杨镇工业集聚区总体规划（</w:t>
                  </w:r>
                  <w:r>
                    <w:rPr>
                      <w:rFonts w:hint="eastAsia"/>
                      <w:sz w:val="18"/>
                      <w:szCs w:val="18"/>
                      <w:lang w:val="en-US" w:eastAsia="zh-CN"/>
                    </w:rPr>
                    <w:t>2021-2035</w:t>
                  </w:r>
                  <w:r>
                    <w:rPr>
                      <w:rFonts w:hint="eastAsia"/>
                      <w:sz w:val="18"/>
                      <w:szCs w:val="18"/>
                      <w:lang w:eastAsia="zh-CN"/>
                    </w:rPr>
                    <w:t>）</w:t>
                  </w:r>
                  <w:r>
                    <w:rPr>
                      <w:rFonts w:ascii="宋体" w:hAnsi="宋体" w:eastAsia="宋体" w:cs="宋体"/>
                      <w:spacing w:val="9"/>
                      <w:sz w:val="18"/>
                      <w:szCs w:val="18"/>
                    </w:rPr>
                    <w:t>环境影响报告</w:t>
                  </w:r>
                  <w:r>
                    <w:rPr>
                      <w:rFonts w:ascii="宋体" w:hAnsi="宋体" w:eastAsia="宋体" w:cs="宋体"/>
                      <w:spacing w:val="8"/>
                      <w:sz w:val="18"/>
                      <w:szCs w:val="18"/>
                    </w:rPr>
                    <w:t>书结论主要内容</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18"/>
                      <w:szCs w:val="18"/>
                    </w:rPr>
                  </w:pPr>
                  <w:r>
                    <w:rPr>
                      <w:rFonts w:ascii="宋体" w:hAnsi="宋体" w:eastAsia="宋体" w:cs="宋体"/>
                      <w:spacing w:val="9"/>
                      <w:sz w:val="18"/>
                      <w:szCs w:val="18"/>
                    </w:rPr>
                    <w:t>本</w:t>
                  </w:r>
                  <w:r>
                    <w:rPr>
                      <w:rFonts w:ascii="宋体" w:hAnsi="宋体" w:eastAsia="宋体" w:cs="宋体"/>
                      <w:spacing w:val="7"/>
                      <w:sz w:val="18"/>
                      <w:szCs w:val="18"/>
                    </w:rPr>
                    <w:t>项目情况</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18"/>
                      <w:szCs w:val="18"/>
                    </w:rPr>
                  </w:pPr>
                  <w:r>
                    <w:rPr>
                      <w:rFonts w:ascii="宋体" w:hAnsi="宋体" w:eastAsia="宋体" w:cs="宋体"/>
                      <w:spacing w:val="7"/>
                      <w:sz w:val="18"/>
                      <w:szCs w:val="18"/>
                    </w:rPr>
                    <w:t>符</w:t>
                  </w:r>
                  <w:r>
                    <w:rPr>
                      <w:rFonts w:ascii="宋体" w:hAnsi="宋体" w:eastAsia="宋体" w:cs="宋体"/>
                      <w:spacing w:val="6"/>
                      <w:sz w:val="18"/>
                      <w:szCs w:val="18"/>
                    </w:rPr>
                    <w:t>合性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7" w:hRule="atLeast"/>
              </w:trPr>
              <w:tc>
                <w:tcPr>
                  <w:tcW w:w="4169" w:type="dxa"/>
                  <w:vAlign w:val="top"/>
                </w:tcPr>
                <w:p>
                  <w:pPr>
                    <w:rPr>
                      <w:sz w:val="18"/>
                      <w:szCs w:val="18"/>
                    </w:rPr>
                  </w:pPr>
                  <w:r>
                    <w:rPr>
                      <w:rFonts w:hint="eastAsia"/>
                      <w:sz w:val="18"/>
                      <w:szCs w:val="18"/>
                      <w:lang w:val="en-US" w:eastAsia="zh-CN"/>
                    </w:rPr>
                    <w:t>1、环境空气：</w:t>
                  </w:r>
                  <w:r>
                    <w:rPr>
                      <w:sz w:val="18"/>
                      <w:szCs w:val="18"/>
                    </w:rPr>
                    <w:t>双杨镇工业集聚区所在区域为不达标区，目前尚未编制达标规划，区域近期新增污染 源具有替代源的削减方案。后期规划实施过程中，新建排放不达标污染物项目，在具有替 代源的削减方案，区域总量实现减排基础上区域污染源点对大气环境的影响是可以接受 的，区域污染源点的建设是可行的，集聚区规划实施对大气环境的影响是可以接受的。</w:t>
                  </w:r>
                </w:p>
                <w:p>
                  <w:pPr>
                    <w:rPr>
                      <w:sz w:val="18"/>
                      <w:szCs w:val="18"/>
                    </w:rPr>
                  </w:pPr>
                  <w:r>
                    <w:rPr>
                      <w:rFonts w:hint="eastAsia"/>
                      <w:sz w:val="18"/>
                      <w:szCs w:val="18"/>
                      <w:lang w:val="en-US" w:eastAsia="zh-CN"/>
                    </w:rPr>
                    <w:t>2、</w:t>
                  </w:r>
                  <w:r>
                    <w:rPr>
                      <w:sz w:val="18"/>
                      <w:szCs w:val="18"/>
                    </w:rPr>
                    <w:t>水环境</w:t>
                  </w:r>
                  <w:r>
                    <w:rPr>
                      <w:rFonts w:hint="eastAsia"/>
                      <w:sz w:val="18"/>
                      <w:szCs w:val="18"/>
                      <w:lang w:eastAsia="zh-CN"/>
                    </w:rPr>
                    <w:t>：</w:t>
                  </w:r>
                  <w:r>
                    <w:rPr>
                      <w:sz w:val="18"/>
                      <w:szCs w:val="18"/>
                    </w:rPr>
                    <w:t xml:space="preserve">枯水期、丰水期排污口下游孝妇河均能达到《地表水环境质量标准》 </w:t>
                  </w:r>
                  <w:r>
                    <w:rPr>
                      <w:sz w:val="18"/>
                      <w:szCs w:val="18"/>
                      <w:lang w:val="en-US" w:eastAsia="en-US"/>
                    </w:rPr>
                    <w:t>(GB3838-2002)</w:t>
                  </w:r>
                  <w:r>
                    <w:rPr>
                      <w:sz w:val="18"/>
                      <w:szCs w:val="18"/>
                    </w:rPr>
                    <w:t>中IV类水水质标准的目标。由于评价范围内无饮用水水源保护区、饮用 水取水口、涉水的自然保护区及重要湿地等保护目标，因而葛洲坝水务淄博淄川有限公司 排水不会对地表水体产生影响。根据本次地下水预测结论，无论是正常状态还是非正常状态下，污染物运移速度整体 很慢，污染物运移范围不大，对地下水影响有限。因此，预测规划区内各泄漏点的污染物 扩散仅限于园区及周边较小范围内，污染</w:t>
                  </w:r>
                  <w:r>
                    <w:rPr>
                      <w:rFonts w:hint="eastAsia"/>
                      <w:sz w:val="18"/>
                      <w:szCs w:val="18"/>
                      <w:lang w:eastAsia="zh-CN"/>
                    </w:rPr>
                    <w:t>源</w:t>
                  </w:r>
                  <w:r>
                    <w:rPr>
                      <w:sz w:val="18"/>
                      <w:szCs w:val="18"/>
                    </w:rPr>
                    <w:t xml:space="preserve">外边界浓度均在《地下水质量标准》 </w:t>
                  </w:r>
                  <w:r>
                    <w:rPr>
                      <w:sz w:val="18"/>
                      <w:szCs w:val="18"/>
                      <w:lang w:val="en-US" w:eastAsia="en-US"/>
                    </w:rPr>
                    <w:t>(GB/T14848-2017)III</w:t>
                  </w:r>
                  <w:r>
                    <w:rPr>
                      <w:sz w:val="18"/>
                      <w:szCs w:val="18"/>
                    </w:rPr>
                    <w:t>类标准限值以内，对区域地下水水质影响较小。</w:t>
                  </w:r>
                </w:p>
                <w:p>
                  <w:pPr>
                    <w:rPr>
                      <w:sz w:val="18"/>
                      <w:szCs w:val="18"/>
                    </w:rPr>
                  </w:pPr>
                  <w:r>
                    <w:rPr>
                      <w:rFonts w:hint="eastAsia"/>
                      <w:sz w:val="18"/>
                      <w:szCs w:val="18"/>
                      <w:lang w:val="en-US" w:eastAsia="zh-CN"/>
                    </w:rPr>
                    <w:t>3、</w:t>
                  </w:r>
                  <w:r>
                    <w:rPr>
                      <w:sz w:val="18"/>
                      <w:szCs w:val="18"/>
                    </w:rPr>
                    <w:t>声环境</w:t>
                  </w:r>
                  <w:r>
                    <w:rPr>
                      <w:rFonts w:hint="eastAsia"/>
                      <w:sz w:val="18"/>
                      <w:szCs w:val="18"/>
                      <w:lang w:eastAsia="zh-CN"/>
                    </w:rPr>
                    <w:t>：</w:t>
                  </w:r>
                  <w:r>
                    <w:rPr>
                      <w:sz w:val="18"/>
                      <w:szCs w:val="18"/>
                    </w:rPr>
                    <w:t>根据双杨镇工业集聚区总体规划的用地类型，集聚区声功能区为《声环境质量标准》 中划定的2类、3类和4类功能区。集聚区主要噪声源为工业噪声、交通噪声和社会生活 噪声，区外主要的保护目标为规划的居住区等敏感点。根据本次评价期间噪声监测结果，各监测点位昼间噪声满足《声环境质量标准》</w:t>
                  </w:r>
                  <w:r>
                    <w:rPr>
                      <w:sz w:val="18"/>
                      <w:szCs w:val="18"/>
                      <w:lang w:val="en-US" w:eastAsia="en-US"/>
                    </w:rPr>
                    <w:t xml:space="preserve">(GB3096-2008) </w:t>
                  </w:r>
                  <w:r>
                    <w:rPr>
                      <w:sz w:val="18"/>
                      <w:szCs w:val="18"/>
                    </w:rPr>
                    <w:t>2类、3类、4类标准要求。</w:t>
                  </w:r>
                </w:p>
                <w:p>
                  <w:pPr>
                    <w:rPr>
                      <w:sz w:val="18"/>
                      <w:szCs w:val="18"/>
                    </w:rPr>
                  </w:pPr>
                  <w:r>
                    <w:rPr>
                      <w:rFonts w:hint="eastAsia"/>
                      <w:sz w:val="18"/>
                      <w:szCs w:val="18"/>
                      <w:lang w:val="en-US" w:eastAsia="zh-CN"/>
                    </w:rPr>
                    <w:t>4、</w:t>
                  </w:r>
                  <w:r>
                    <w:rPr>
                      <w:sz w:val="18"/>
                      <w:szCs w:val="18"/>
                    </w:rPr>
                    <w:t>土壤环境</w:t>
                  </w:r>
                  <w:r>
                    <w:rPr>
                      <w:rFonts w:hint="eastAsia"/>
                      <w:sz w:val="18"/>
                      <w:szCs w:val="18"/>
                      <w:lang w:eastAsia="zh-CN"/>
                    </w:rPr>
                    <w:t>：</w:t>
                  </w:r>
                  <w:r>
                    <w:rPr>
                      <w:sz w:val="18"/>
                      <w:szCs w:val="18"/>
                    </w:rPr>
                    <w:t>预测结果表明，总的来说，在集聚区企业废气、废水污染防治措施达到设计要求的前 提下，污染物不会对区域土壤环境造成较为明显的影响。但如果不釆取治理措施或治理措 施不能稳定长期运行，集聚区附近土壤中的污染物将会加速积累，从而影响到土壤肥力和 土壤酸碱度。因此，集聚区必须加强工业企业的环境保护工作，监督项目污染防治工作， 保证环保设施的正常运转，尽可能地避免项目建设对区域土壤环境带来影响。</w:t>
                  </w:r>
                </w:p>
                <w:p>
                  <w:pPr>
                    <w:pStyle w:val="1390"/>
                    <w:keepNext w:val="0"/>
                    <w:keepLines w:val="0"/>
                    <w:widowControl w:val="0"/>
                    <w:shd w:val="clear" w:color="auto" w:fill="auto"/>
                    <w:bidi w:val="0"/>
                    <w:spacing w:before="0" w:after="0" w:line="240" w:lineRule="auto"/>
                    <w:ind w:left="0" w:leftChars="0" w:right="0" w:firstLine="0" w:firstLineChars="0"/>
                    <w:jc w:val="both"/>
                    <w:rPr>
                      <w:rFonts w:ascii="Times New Roman" w:hAnsi="Times New Roman" w:eastAsia="宋体" w:cs="Times New Roman"/>
                      <w:kern w:val="2"/>
                      <w:sz w:val="18"/>
                      <w:szCs w:val="18"/>
                      <w:u w:val="none"/>
                      <w:shd w:val="clear"/>
                      <w:lang w:val="en-US" w:eastAsia="zh-CN" w:bidi="ar-SA"/>
                    </w:rPr>
                  </w:pPr>
                  <w:r>
                    <w:rPr>
                      <w:rFonts w:hint="eastAsia" w:ascii="Times New Roman" w:hAnsi="Times New Roman" w:eastAsia="宋体" w:cs="Times New Roman"/>
                      <w:kern w:val="2"/>
                      <w:sz w:val="18"/>
                      <w:szCs w:val="18"/>
                      <w:u w:val="none"/>
                      <w:shd w:val="clear"/>
                      <w:lang w:val="en-US" w:eastAsia="zh-CN" w:bidi="ar-SA"/>
                    </w:rPr>
                    <w:t>5、</w:t>
                  </w:r>
                  <w:r>
                    <w:rPr>
                      <w:rFonts w:ascii="Times New Roman" w:hAnsi="Times New Roman" w:eastAsia="宋体" w:cs="Times New Roman"/>
                      <w:kern w:val="2"/>
                      <w:sz w:val="18"/>
                      <w:szCs w:val="18"/>
                      <w:u w:val="none"/>
                      <w:shd w:val="clear"/>
                      <w:lang w:val="en-US" w:eastAsia="zh-CN" w:bidi="ar-SA"/>
                    </w:rPr>
                    <w:t>环境风险</w:t>
                  </w:r>
                  <w:r>
                    <w:rPr>
                      <w:rFonts w:hint="eastAsia" w:ascii="Times New Roman" w:hAnsi="Times New Roman" w:eastAsia="宋体" w:cs="Times New Roman"/>
                      <w:kern w:val="2"/>
                      <w:sz w:val="18"/>
                      <w:szCs w:val="18"/>
                      <w:u w:val="none"/>
                      <w:shd w:val="clear"/>
                      <w:lang w:val="en-US" w:eastAsia="zh-CN" w:bidi="ar-SA"/>
                    </w:rPr>
                    <w:t>：</w:t>
                  </w:r>
                  <w:r>
                    <w:rPr>
                      <w:rFonts w:ascii="Times New Roman" w:hAnsi="Times New Roman" w:eastAsia="宋体" w:cs="Times New Roman"/>
                      <w:kern w:val="2"/>
                      <w:sz w:val="18"/>
                      <w:szCs w:val="18"/>
                      <w:u w:val="none"/>
                      <w:shd w:val="clear"/>
                      <w:lang w:val="en-US" w:eastAsia="zh-CN" w:bidi="ar-SA"/>
                    </w:rPr>
                    <w:t>区内涉及危险品项目的设计施工、储存、运输、生产使 用等各个环节，必须高度重视安全生产，事故防范和减少环境风险。</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ascii="Times New Roman" w:hAnsi="Times New Roman" w:eastAsia="宋体" w:cs="Times New Roman"/>
                      <w:kern w:val="2"/>
                      <w:sz w:val="18"/>
                      <w:szCs w:val="18"/>
                      <w:u w:val="none"/>
                      <w:shd w:val="clear"/>
                      <w:lang w:val="en-US" w:eastAsia="zh-CN" w:bidi="ar-SA"/>
                    </w:rPr>
                  </w:pPr>
                  <w:r>
                    <w:rPr>
                      <w:rFonts w:ascii="Times New Roman" w:hAnsi="Times New Roman" w:eastAsia="宋体" w:cs="Times New Roman"/>
                      <w:kern w:val="2"/>
                      <w:sz w:val="18"/>
                      <w:szCs w:val="18"/>
                      <w:u w:val="none"/>
                      <w:shd w:val="clear"/>
                      <w:lang w:val="en-US" w:eastAsia="zh-CN" w:bidi="ar-SA"/>
                    </w:rPr>
                    <w:t>集聚区除了需要严格按照国家标准和有关规定引进入区项目外，还应监督各入区项目 严格按照环评要求建设事故应急设施，并保障设施的正常运行。此外，集聚区还应建立风 险事故决策支持系统和事故应急监测技术支持系统，在事故发生时及时釆取应急救援措 施，并与当地形成区域风险安全系统工程，从环境风险控制角度来评价，经釆取小区域一 大区域相互独立并彼此响应的应急措施后，可大大减少事故发生概率，其潜在的事故风险 可以防范。</w:t>
                  </w:r>
                </w:p>
                <w:p>
                  <w:pPr>
                    <w:pStyle w:val="1392"/>
                    <w:keepNext/>
                    <w:keepLines/>
                    <w:widowControl w:val="0"/>
                    <w:shd w:val="clear" w:color="auto" w:fill="auto"/>
                    <w:bidi w:val="0"/>
                    <w:spacing w:before="0" w:after="0" w:line="240" w:lineRule="auto"/>
                    <w:ind w:left="0" w:right="0" w:firstLine="0"/>
                    <w:jc w:val="both"/>
                    <w:rPr>
                      <w:rFonts w:hint="default"/>
                      <w:sz w:val="18"/>
                      <w:szCs w:val="18"/>
                      <w:lang w:val="en-US" w:eastAsia="zh-CN"/>
                    </w:rPr>
                  </w:pPr>
                  <w:r>
                    <w:rPr>
                      <w:rFonts w:hint="eastAsia" w:ascii="Times New Roman" w:hAnsi="Times New Roman" w:eastAsia="宋体" w:cs="Times New Roman"/>
                      <w:kern w:val="2"/>
                      <w:sz w:val="18"/>
                      <w:szCs w:val="18"/>
                      <w:u w:val="none"/>
                      <w:shd w:val="clear"/>
                      <w:lang w:val="en-US" w:eastAsia="zh-CN" w:bidi="ar-SA"/>
                    </w:rPr>
                    <w:t>6、</w:t>
                  </w:r>
                  <w:r>
                    <w:rPr>
                      <w:rFonts w:ascii="Times New Roman" w:hAnsi="Times New Roman" w:eastAsia="宋体" w:cs="Times New Roman"/>
                      <w:kern w:val="2"/>
                      <w:sz w:val="18"/>
                      <w:szCs w:val="18"/>
                      <w:u w:val="none"/>
                      <w:shd w:val="clear"/>
                      <w:lang w:val="en-US" w:eastAsia="zh-CN" w:bidi="ar-SA"/>
                    </w:rPr>
                    <w:t>生态环境影响</w:t>
                  </w:r>
                  <w:r>
                    <w:rPr>
                      <w:rFonts w:hint="eastAsia" w:ascii="Times New Roman" w:hAnsi="Times New Roman" w:eastAsia="宋体" w:cs="Times New Roman"/>
                      <w:kern w:val="2"/>
                      <w:sz w:val="18"/>
                      <w:szCs w:val="18"/>
                      <w:u w:val="none"/>
                      <w:shd w:val="clear"/>
                      <w:lang w:val="en-US" w:eastAsia="zh-CN" w:bidi="ar-SA"/>
                    </w:rPr>
                    <w:t>：</w:t>
                  </w:r>
                  <w:r>
                    <w:rPr>
                      <w:rFonts w:ascii="Times New Roman" w:hAnsi="Times New Roman" w:eastAsia="宋体" w:cs="Times New Roman"/>
                      <w:kern w:val="2"/>
                      <w:sz w:val="18"/>
                      <w:szCs w:val="18"/>
                      <w:u w:val="none"/>
                      <w:shd w:val="clear"/>
                      <w:lang w:val="en-US" w:eastAsia="zh-CN" w:bidi="ar-SA"/>
                    </w:rPr>
                    <w:t>随着开发建设的进行，集聚区范围内的一些植物种类将会消失，绝大部分的植物种类 数量将会大大减少，区域生物多样性受到一定影响。但工业集聚区建设对集聚区所依托的 大区域植被区系、植被类型影响不大，不会导致植物种类和类型的消失灭绝，且随着建设 期的结束，经过绿化建设，植被会得到逐步恢复，将可弥补植物种属多样性的损失。只要集聚区建设者注意区域的绿化建设，并注意绿地建设中的植物搭配，区域陆地生 物多样性并不会有明显的变化。</w:t>
                  </w: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eastAsia="宋体" w:cs="宋体"/>
                      <w:sz w:val="18"/>
                      <w:szCs w:val="18"/>
                    </w:rPr>
                  </w:pPr>
                  <w:r>
                    <w:rPr>
                      <w:rFonts w:ascii="宋体" w:hAnsi="宋体" w:eastAsia="宋体" w:cs="宋体"/>
                      <w:spacing w:val="9"/>
                      <w:sz w:val="18"/>
                      <w:szCs w:val="18"/>
                    </w:rPr>
                    <w:t>本项目建设符合产业</w:t>
                  </w:r>
                  <w:r>
                    <w:rPr>
                      <w:rFonts w:ascii="宋体" w:hAnsi="宋体" w:eastAsia="宋体" w:cs="宋体"/>
                      <w:spacing w:val="7"/>
                      <w:sz w:val="18"/>
                      <w:szCs w:val="18"/>
                    </w:rPr>
                    <w:t>政</w:t>
                  </w:r>
                  <w:r>
                    <w:rPr>
                      <w:rFonts w:ascii="宋体" w:hAnsi="宋体" w:eastAsia="宋体" w:cs="宋体"/>
                      <w:spacing w:val="9"/>
                      <w:sz w:val="18"/>
                      <w:szCs w:val="18"/>
                    </w:rPr>
                    <w:t>策、园区规划，废气</w:t>
                  </w:r>
                  <w:r>
                    <w:rPr>
                      <w:rFonts w:ascii="宋体" w:hAnsi="宋体" w:eastAsia="宋体" w:cs="宋体"/>
                      <w:spacing w:val="7"/>
                      <w:sz w:val="18"/>
                      <w:szCs w:val="18"/>
                    </w:rPr>
                    <w:t>采</w:t>
                  </w:r>
                  <w:r>
                    <w:rPr>
                      <w:rFonts w:ascii="宋体" w:hAnsi="宋体" w:eastAsia="宋体" w:cs="宋体"/>
                      <w:spacing w:val="9"/>
                      <w:sz w:val="18"/>
                      <w:szCs w:val="18"/>
                    </w:rPr>
                    <w:t>取严格的治理措施，</w:t>
                  </w:r>
                  <w:r>
                    <w:rPr>
                      <w:rFonts w:ascii="宋体" w:hAnsi="宋体" w:eastAsia="宋体" w:cs="宋体"/>
                      <w:spacing w:val="7"/>
                      <w:sz w:val="18"/>
                      <w:szCs w:val="18"/>
                    </w:rPr>
                    <w:t>废</w:t>
                  </w:r>
                  <w:r>
                    <w:rPr>
                      <w:rFonts w:ascii="宋体" w:hAnsi="宋体" w:eastAsia="宋体" w:cs="宋体"/>
                      <w:spacing w:val="9"/>
                      <w:sz w:val="18"/>
                      <w:szCs w:val="18"/>
                    </w:rPr>
                    <w:t>水、固废均可以妥善</w:t>
                  </w:r>
                  <w:r>
                    <w:rPr>
                      <w:rFonts w:ascii="宋体" w:hAnsi="宋体" w:eastAsia="宋体" w:cs="宋体"/>
                      <w:spacing w:val="7"/>
                      <w:sz w:val="18"/>
                      <w:szCs w:val="18"/>
                    </w:rPr>
                    <w:t>处</w:t>
                  </w:r>
                  <w:r>
                    <w:rPr>
                      <w:rFonts w:ascii="宋体" w:hAnsi="宋体" w:eastAsia="宋体" w:cs="宋体"/>
                      <w:spacing w:val="9"/>
                      <w:sz w:val="18"/>
                      <w:szCs w:val="18"/>
                    </w:rPr>
                    <w:t>理、处置，噪声可以</w:t>
                  </w:r>
                  <w:r>
                    <w:rPr>
                      <w:rFonts w:ascii="宋体" w:hAnsi="宋体" w:eastAsia="宋体" w:cs="宋体"/>
                      <w:spacing w:val="7"/>
                      <w:sz w:val="18"/>
                      <w:szCs w:val="18"/>
                    </w:rPr>
                    <w:t>达</w:t>
                  </w:r>
                  <w:r>
                    <w:rPr>
                      <w:rFonts w:ascii="宋体" w:hAnsi="宋体" w:eastAsia="宋体" w:cs="宋体"/>
                      <w:spacing w:val="9"/>
                      <w:sz w:val="18"/>
                      <w:szCs w:val="18"/>
                    </w:rPr>
                    <w:t>标排放。事故风险可</w:t>
                  </w:r>
                  <w:r>
                    <w:rPr>
                      <w:rFonts w:ascii="宋体" w:hAnsi="宋体" w:eastAsia="宋体" w:cs="宋体"/>
                      <w:spacing w:val="7"/>
                      <w:sz w:val="18"/>
                      <w:szCs w:val="18"/>
                    </w:rPr>
                    <w:t>以</w:t>
                  </w:r>
                  <w:r>
                    <w:rPr>
                      <w:rFonts w:ascii="宋体" w:hAnsi="宋体" w:eastAsia="宋体" w:cs="宋体"/>
                      <w:sz w:val="18"/>
                      <w:szCs w:val="18"/>
                    </w:rPr>
                    <w:t xml:space="preserve"> </w:t>
                  </w:r>
                  <w:r>
                    <w:rPr>
                      <w:rFonts w:ascii="宋体" w:hAnsi="宋体" w:eastAsia="宋体" w:cs="宋体"/>
                      <w:spacing w:val="9"/>
                      <w:sz w:val="18"/>
                      <w:szCs w:val="18"/>
                    </w:rPr>
                    <w:t>有效控制，符合规划</w:t>
                  </w:r>
                  <w:r>
                    <w:rPr>
                      <w:rFonts w:ascii="宋体" w:hAnsi="宋体" w:eastAsia="宋体" w:cs="宋体"/>
                      <w:spacing w:val="7"/>
                      <w:sz w:val="18"/>
                      <w:szCs w:val="18"/>
                    </w:rPr>
                    <w:t>环</w:t>
                  </w:r>
                  <w:r>
                    <w:rPr>
                      <w:rFonts w:ascii="宋体" w:hAnsi="宋体" w:eastAsia="宋体" w:cs="宋体"/>
                      <w:spacing w:val="10"/>
                      <w:sz w:val="18"/>
                      <w:szCs w:val="18"/>
                    </w:rPr>
                    <w:t>境</w:t>
                  </w:r>
                  <w:r>
                    <w:rPr>
                      <w:rFonts w:ascii="宋体" w:hAnsi="宋体" w:eastAsia="宋体" w:cs="宋体"/>
                      <w:spacing w:val="7"/>
                      <w:sz w:val="18"/>
                      <w:szCs w:val="18"/>
                    </w:rPr>
                    <w:t>影响评价结论。</w:t>
                  </w:r>
                </w:p>
              </w:tc>
              <w:tc>
                <w:tcPr>
                  <w:tcW w:w="102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Arial"/>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ascii="宋体" w:hAnsi="宋体" w:eastAsia="宋体" w:cs="宋体"/>
                      <w:sz w:val="18"/>
                      <w:szCs w:val="18"/>
                    </w:rPr>
                  </w:pPr>
                  <w:r>
                    <w:rPr>
                      <w:rFonts w:ascii="宋体" w:hAnsi="宋体" w:eastAsia="宋体" w:cs="宋体"/>
                      <w:spacing w:val="4"/>
                      <w:sz w:val="18"/>
                      <w:szCs w:val="18"/>
                    </w:rPr>
                    <w:t>符</w:t>
                  </w:r>
                  <w:r>
                    <w:rPr>
                      <w:rFonts w:ascii="宋体" w:hAnsi="宋体" w:eastAsia="宋体" w:cs="宋体"/>
                      <w:spacing w:val="3"/>
                      <w:sz w:val="18"/>
                      <w:szCs w:val="18"/>
                    </w:rPr>
                    <w:t>合</w:t>
                  </w:r>
                </w:p>
              </w:tc>
            </w:tr>
          </w:tbl>
          <w:p>
            <w:pPr>
              <w:spacing w:line="303" w:lineRule="exact"/>
              <w:ind w:firstLine="420" w:firstLineChars="200"/>
            </w:pPr>
            <w:r>
              <w:rPr>
                <w:rFonts w:hint="eastAsia"/>
                <w:lang w:val="en-US" w:eastAsia="zh-CN"/>
              </w:rPr>
              <w:t>3</w:t>
            </w:r>
            <w:r>
              <w:t xml:space="preserve"> 、与规划环评审查意见符合性分析</w:t>
            </w:r>
          </w:p>
          <w:p>
            <w:pPr>
              <w:spacing w:before="165" w:line="227" w:lineRule="auto"/>
              <w:ind w:firstLine="420" w:firstLineChars="200"/>
            </w:pPr>
            <w:r>
              <w:t>项目与规划环评审查意见符合情况详见下表。</w:t>
            </w:r>
          </w:p>
          <w:p>
            <w:pPr>
              <w:pStyle w:val="2"/>
              <w:ind w:left="0" w:leftChars="0" w:firstLine="0" w:firstLineChars="0"/>
              <w:jc w:val="center"/>
              <w:rPr>
                <w:b/>
                <w:bCs/>
              </w:rPr>
            </w:pPr>
            <w:r>
              <w:rPr>
                <w:b/>
                <w:bCs/>
                <w:sz w:val="21"/>
                <w:szCs w:val="21"/>
              </w:rPr>
              <w:t>表1-</w:t>
            </w:r>
            <w:r>
              <w:rPr>
                <w:rFonts w:hint="eastAsia"/>
                <w:b/>
                <w:bCs/>
                <w:sz w:val="21"/>
                <w:szCs w:val="21"/>
                <w:lang w:val="en-US" w:eastAsia="zh-CN"/>
              </w:rPr>
              <w:t>4</w:t>
            </w:r>
            <w:r>
              <w:rPr>
                <w:b/>
                <w:bCs/>
                <w:sz w:val="21"/>
                <w:szCs w:val="21"/>
              </w:rPr>
              <w:t xml:space="preserve">   项目与环评审查意见要求符合情况一览表</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6"/>
              <w:gridCol w:w="2167"/>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66" w:type="dxa"/>
                  <w:vAlign w:val="center"/>
                </w:tcPr>
                <w:p>
                  <w:pPr>
                    <w:jc w:val="center"/>
                    <w:rPr>
                      <w:sz w:val="18"/>
                      <w:szCs w:val="18"/>
                    </w:rPr>
                  </w:pPr>
                  <w:r>
                    <w:rPr>
                      <w:sz w:val="18"/>
                      <w:szCs w:val="18"/>
                    </w:rPr>
                    <w:t>关</w:t>
                  </w:r>
                  <w:r>
                    <w:rPr>
                      <w:rFonts w:ascii="Times New Roman" w:hAnsi="Times New Roman" w:eastAsia="宋体" w:cs="Times New Roman"/>
                      <w:sz w:val="18"/>
                      <w:szCs w:val="18"/>
                    </w:rPr>
                    <w:t>于</w:t>
                  </w:r>
                  <w:r>
                    <w:rPr>
                      <w:rFonts w:hint="eastAsia" w:ascii="Times New Roman" w:hAnsi="Times New Roman" w:eastAsia="宋体" w:cs="Times New Roman"/>
                      <w:sz w:val="18"/>
                      <w:szCs w:val="18"/>
                      <w:lang w:eastAsia="zh-CN"/>
                    </w:rPr>
                    <w:t>淄川区双杨镇工业集聚区总体规划（</w:t>
                  </w:r>
                  <w:r>
                    <w:rPr>
                      <w:rFonts w:hint="eastAsia" w:ascii="Times New Roman" w:hAnsi="Times New Roman" w:eastAsia="宋体" w:cs="Times New Roman"/>
                      <w:sz w:val="18"/>
                      <w:szCs w:val="18"/>
                      <w:lang w:val="en-US" w:eastAsia="zh-CN"/>
                    </w:rPr>
                    <w:t>2021-2035</w:t>
                  </w:r>
                  <w:r>
                    <w:rPr>
                      <w:rFonts w:hint="eastAsia" w:ascii="Times New Roman" w:hAnsi="Times New Roman" w:eastAsia="宋体" w:cs="Times New Roman"/>
                      <w:sz w:val="18"/>
                      <w:szCs w:val="18"/>
                      <w:lang w:eastAsia="zh-CN"/>
                    </w:rPr>
                    <w:t>）</w:t>
                  </w:r>
                  <w:r>
                    <w:rPr>
                      <w:sz w:val="18"/>
                      <w:szCs w:val="18"/>
                    </w:rPr>
                    <w:t>环境影响报告书的审查意见</w:t>
                  </w:r>
                </w:p>
              </w:tc>
              <w:tc>
                <w:tcPr>
                  <w:tcW w:w="2167" w:type="dxa"/>
                  <w:vAlign w:val="center"/>
                </w:tcPr>
                <w:p>
                  <w:pPr>
                    <w:jc w:val="center"/>
                    <w:rPr>
                      <w:sz w:val="18"/>
                      <w:szCs w:val="18"/>
                    </w:rPr>
                  </w:pPr>
                  <w:r>
                    <w:rPr>
                      <w:sz w:val="18"/>
                      <w:szCs w:val="18"/>
                    </w:rPr>
                    <w:t>本项目情况</w:t>
                  </w:r>
                </w:p>
              </w:tc>
              <w:tc>
                <w:tcPr>
                  <w:tcW w:w="920" w:type="dxa"/>
                  <w:vAlign w:val="center"/>
                </w:tcPr>
                <w:p>
                  <w:pPr>
                    <w:jc w:val="center"/>
                    <w:rPr>
                      <w:rFonts w:hint="eastAsia"/>
                      <w:sz w:val="18"/>
                      <w:szCs w:val="18"/>
                      <w:lang w:eastAsia="zh-CN"/>
                    </w:rPr>
                  </w:pPr>
                  <w:r>
                    <w:rPr>
                      <w:sz w:val="18"/>
                      <w:szCs w:val="18"/>
                    </w:rPr>
                    <w:t>符合</w:t>
                  </w:r>
                  <w:r>
                    <w:rPr>
                      <w:rFonts w:hint="eastAsia"/>
                      <w:sz w:val="18"/>
                      <w:szCs w:val="18"/>
                      <w:lang w:eastAsia="zh-CN"/>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4" w:hRule="atLeast"/>
                <w:jc w:val="center"/>
              </w:trPr>
              <w:tc>
                <w:tcPr>
                  <w:tcW w:w="4666" w:type="dxa"/>
                  <w:vAlign w:val="center"/>
                </w:tcPr>
                <w:p>
                  <w:pPr>
                    <w:numPr>
                      <w:ilvl w:val="0"/>
                      <w:numId w:val="17"/>
                    </w:numPr>
                    <w:rPr>
                      <w:rFonts w:hint="eastAsia"/>
                      <w:sz w:val="18"/>
                      <w:szCs w:val="18"/>
                      <w:lang w:eastAsia="zh-CN"/>
                    </w:rPr>
                  </w:pPr>
                  <w:r>
                    <w:rPr>
                      <w:rFonts w:hint="eastAsia"/>
                      <w:sz w:val="18"/>
                      <w:szCs w:val="18"/>
                      <w:lang w:eastAsia="zh-CN"/>
                    </w:rPr>
                    <w:t>总体规划概述</w:t>
                  </w:r>
                </w:p>
                <w:p>
                  <w:pPr>
                    <w:numPr>
                      <w:ilvl w:val="0"/>
                      <w:numId w:val="0"/>
                    </w:numPr>
                    <w:rPr>
                      <w:rFonts w:hint="eastAsia"/>
                      <w:sz w:val="18"/>
                      <w:szCs w:val="18"/>
                      <w:lang w:eastAsia="zh-CN"/>
                    </w:rPr>
                  </w:pPr>
                  <w:r>
                    <w:rPr>
                      <w:rFonts w:hint="eastAsia"/>
                      <w:sz w:val="18"/>
                      <w:szCs w:val="18"/>
                      <w:lang w:eastAsia="zh-CN"/>
                    </w:rPr>
                    <w:t>（</w:t>
                  </w:r>
                  <w:r>
                    <w:rPr>
                      <w:rFonts w:hint="eastAsia"/>
                      <w:sz w:val="18"/>
                      <w:szCs w:val="18"/>
                    </w:rPr>
                    <w:t>一</w:t>
                  </w:r>
                  <w:r>
                    <w:rPr>
                      <w:rFonts w:hint="eastAsia"/>
                      <w:sz w:val="18"/>
                      <w:szCs w:val="18"/>
                      <w:lang w:eastAsia="zh-CN"/>
                    </w:rPr>
                    <w:t>）</w:t>
                  </w:r>
                  <w:r>
                    <w:rPr>
                      <w:rFonts w:hint="eastAsia"/>
                      <w:sz w:val="18"/>
                      <w:szCs w:val="18"/>
                    </w:rPr>
                    <w:t>规划范围。2022年你单位根据淄川区工业和信息化局认定的淄川区双杨镇工业集聚区范围，委托编制了《淄川区双杨镇工业集聚区总体规划(2021-2035)》(以下简称《规划》)，规划面积988.68公顷，四至范围为东至凤凰路、双罗路至双杨镇边界，西至张博铁路，南至胶王路，北至省道102</w:t>
                  </w:r>
                  <w:r>
                    <w:rPr>
                      <w:rFonts w:hint="eastAsia"/>
                      <w:sz w:val="18"/>
                      <w:szCs w:val="18"/>
                      <w:lang w:eastAsia="zh-CN"/>
                    </w:rPr>
                    <w:t>。</w:t>
                  </w:r>
                </w:p>
                <w:p>
                  <w:pPr>
                    <w:jc w:val="both"/>
                    <w:rPr>
                      <w:rFonts w:hint="eastAsia"/>
                      <w:sz w:val="18"/>
                      <w:szCs w:val="18"/>
                    </w:rPr>
                  </w:pPr>
                  <w:r>
                    <w:rPr>
                      <w:rFonts w:hint="eastAsia"/>
                      <w:sz w:val="18"/>
                      <w:szCs w:val="18"/>
                    </w:rPr>
                    <w:t>(二)产业定位。以新材料、新医药、装备制造为主导产业，以高新技术为发展方向，以循环经济为发展重点，以鲁维制药、凯盛新材料、华洋制药等骨干企业为产业载体，延伸产业链条、促进产业集聚，把双杨镇工业集聚区建设成为带动淄川、联系沿海、走向全国的现代化新型工业聚集区。</w:t>
                  </w:r>
                </w:p>
                <w:p>
                  <w:pPr>
                    <w:jc w:val="both"/>
                    <w:rPr>
                      <w:rFonts w:hint="eastAsia"/>
                      <w:sz w:val="18"/>
                      <w:szCs w:val="18"/>
                    </w:rPr>
                  </w:pPr>
                  <w:r>
                    <w:rPr>
                      <w:rFonts w:hint="eastAsia"/>
                      <w:sz w:val="18"/>
                      <w:szCs w:val="18"/>
                    </w:rPr>
                    <w:t>(三)发展目标。近期(至2025年),实现工业总产值达到103亿元，工业增加值30亿元;远期(至2035年)，实现工业总产值达到256亿元，工业增加值77亿元。</w:t>
                  </w:r>
                </w:p>
                <w:p>
                  <w:pPr>
                    <w:jc w:val="both"/>
                    <w:rPr>
                      <w:rFonts w:hint="eastAsia"/>
                      <w:sz w:val="18"/>
                      <w:szCs w:val="18"/>
                    </w:rPr>
                  </w:pPr>
                  <w:r>
                    <w:rPr>
                      <w:rFonts w:hint="eastAsia"/>
                      <w:sz w:val="18"/>
                      <w:szCs w:val="18"/>
                    </w:rPr>
                    <w:t>(四)总体布局。规划形成“一心、两区、三轴”的空间布局结构。</w:t>
                  </w:r>
                </w:p>
                <w:p>
                  <w:pPr>
                    <w:jc w:val="both"/>
                    <w:rPr>
                      <w:sz w:val="18"/>
                      <w:szCs w:val="18"/>
                    </w:rPr>
                  </w:pPr>
                  <w:r>
                    <w:rPr>
                      <w:rFonts w:hint="eastAsia"/>
                      <w:sz w:val="18"/>
                      <w:szCs w:val="18"/>
                    </w:rPr>
                    <w:t>(五)基础设施规划。集聚区污水处理依托葛洲坝水务淄博淄川有限公司处理，目前处理能力为3万m</w:t>
                  </w:r>
                  <w:r>
                    <w:rPr>
                      <w:rFonts w:hint="eastAsia"/>
                      <w:sz w:val="18"/>
                      <w:szCs w:val="18"/>
                      <w:vertAlign w:val="superscript"/>
                      <w:lang w:val="en-US" w:eastAsia="zh-CN"/>
                    </w:rPr>
                    <w:t>3</w:t>
                  </w:r>
                  <w:r>
                    <w:rPr>
                      <w:rFonts w:hint="eastAsia"/>
                      <w:sz w:val="18"/>
                      <w:szCs w:val="18"/>
                    </w:rPr>
                    <w:t>/d</w:t>
                  </w:r>
                  <w:r>
                    <w:rPr>
                      <w:rFonts w:hint="eastAsia"/>
                      <w:sz w:val="18"/>
                      <w:szCs w:val="18"/>
                      <w:lang w:eastAsia="zh-CN"/>
                    </w:rPr>
                    <w:t>，</w:t>
                  </w:r>
                  <w:r>
                    <w:rPr>
                      <w:rFonts w:hint="eastAsia"/>
                      <w:sz w:val="18"/>
                      <w:szCs w:val="18"/>
                    </w:rPr>
                    <w:t>规划近期扩容至6万m</w:t>
                  </w:r>
                  <w:r>
                    <w:rPr>
                      <w:rFonts w:hint="eastAsia"/>
                      <w:sz w:val="18"/>
                      <w:szCs w:val="18"/>
                      <w:vertAlign w:val="superscript"/>
                      <w:lang w:val="en-US" w:eastAsia="zh-CN"/>
                    </w:rPr>
                    <w:t>3</w:t>
                  </w:r>
                  <w:r>
                    <w:rPr>
                      <w:rFonts w:hint="eastAsia"/>
                      <w:sz w:val="18"/>
                      <w:szCs w:val="18"/>
                    </w:rPr>
                    <w:t>/d</w:t>
                  </w:r>
                  <w:r>
                    <w:rPr>
                      <w:rFonts w:hint="eastAsia"/>
                      <w:sz w:val="18"/>
                      <w:szCs w:val="18"/>
                      <w:lang w:val="en-US" w:eastAsia="zh-CN"/>
                    </w:rPr>
                    <w:t>。</w:t>
                  </w:r>
                  <w:r>
                    <w:rPr>
                      <w:rFonts w:hint="eastAsia"/>
                      <w:sz w:val="18"/>
                      <w:szCs w:val="18"/>
                    </w:rPr>
                    <w:t>目前园区尚未实现集中供热，集聚区采暖用热目前由区内的鲁维制药集团有限公司自备热电厂提供。在现状基础上，需同步规划配套建设给排水系统、供热系统。适时对供热、污水处理等设施进行改建、增建。</w:t>
                  </w:r>
                </w:p>
              </w:tc>
              <w:tc>
                <w:tcPr>
                  <w:tcW w:w="2167" w:type="dxa"/>
                  <w:vAlign w:val="center"/>
                </w:tcPr>
                <w:p>
                  <w:pPr>
                    <w:jc w:val="both"/>
                    <w:rPr>
                      <w:rFonts w:hint="eastAsia" w:eastAsia="宋体"/>
                      <w:sz w:val="18"/>
                      <w:szCs w:val="18"/>
                      <w:lang w:eastAsia="zh-CN"/>
                    </w:rPr>
                  </w:pPr>
                  <w:r>
                    <w:rPr>
                      <w:sz w:val="18"/>
                      <w:szCs w:val="18"/>
                    </w:rPr>
                    <w:t>本项目位于山东省淄博市</w:t>
                  </w:r>
                  <w:r>
                    <w:rPr>
                      <w:rFonts w:hint="eastAsia"/>
                      <w:sz w:val="18"/>
                      <w:szCs w:val="18"/>
                      <w:lang w:eastAsia="zh-CN"/>
                    </w:rPr>
                    <w:t>双杨镇十里铺村东</w:t>
                  </w:r>
                  <w:r>
                    <w:rPr>
                      <w:sz w:val="18"/>
                      <w:szCs w:val="18"/>
                    </w:rPr>
                    <w:t>，在</w:t>
                  </w:r>
                  <w:r>
                    <w:rPr>
                      <w:rFonts w:hint="eastAsia"/>
                      <w:sz w:val="18"/>
                      <w:szCs w:val="18"/>
                      <w:lang w:eastAsia="zh-CN"/>
                    </w:rPr>
                    <w:t>淄川区双杨镇工业集聚区</w:t>
                  </w:r>
                  <w:r>
                    <w:rPr>
                      <w:sz w:val="18"/>
                      <w:szCs w:val="18"/>
                    </w:rPr>
                    <w:t>范围内</w:t>
                  </w:r>
                  <w:r>
                    <w:rPr>
                      <w:rFonts w:hint="eastAsia"/>
                      <w:sz w:val="18"/>
                      <w:szCs w:val="18"/>
                      <w:lang w:eastAsia="zh-CN"/>
                    </w:rPr>
                    <w:t>。</w:t>
                  </w:r>
                  <w:r>
                    <w:rPr>
                      <w:sz w:val="18"/>
                      <w:szCs w:val="18"/>
                    </w:rPr>
                    <w:t>行业类别为C</w:t>
                  </w:r>
                  <w:r>
                    <w:rPr>
                      <w:rFonts w:hint="eastAsia"/>
                      <w:sz w:val="18"/>
                      <w:szCs w:val="18"/>
                      <w:lang w:val="en-US" w:eastAsia="zh-CN"/>
                    </w:rPr>
                    <w:t>2231纸和纸板容器制造、C2319包装装潢及其他印刷</w:t>
                  </w:r>
                  <w:r>
                    <w:rPr>
                      <w:rFonts w:hint="eastAsia"/>
                      <w:sz w:val="18"/>
                      <w:szCs w:val="18"/>
                    </w:rPr>
                    <w:t>，</w:t>
                  </w:r>
                  <w:r>
                    <w:rPr>
                      <w:rFonts w:hint="eastAsia"/>
                      <w:sz w:val="18"/>
                      <w:szCs w:val="18"/>
                      <w:lang w:eastAsia="zh-CN"/>
                    </w:rPr>
                    <w:t>属于新材料行业配套服务行业，</w:t>
                  </w:r>
                  <w:r>
                    <w:rPr>
                      <w:rFonts w:hint="eastAsia"/>
                      <w:sz w:val="18"/>
                      <w:szCs w:val="18"/>
                    </w:rPr>
                    <w:t>符合工业集聚区重点发展新材料的产业定位</w:t>
                  </w:r>
                  <w:r>
                    <w:rPr>
                      <w:rFonts w:hint="eastAsia"/>
                      <w:sz w:val="18"/>
                      <w:szCs w:val="18"/>
                      <w:lang w:eastAsia="zh-CN"/>
                    </w:rPr>
                    <w:t>。满足发展目标、总体布局要求。</w:t>
                  </w:r>
                  <w:r>
                    <w:rPr>
                      <w:sz w:val="18"/>
                      <w:szCs w:val="18"/>
                    </w:rPr>
                    <w:t>本项目</w:t>
                  </w:r>
                  <w:r>
                    <w:rPr>
                      <w:rFonts w:hint="eastAsia"/>
                      <w:sz w:val="18"/>
                      <w:szCs w:val="18"/>
                      <w:lang w:eastAsia="zh-CN"/>
                    </w:rPr>
                    <w:t>无废水排放，采暖用热使用空调。满足现有需求。</w:t>
                  </w:r>
                </w:p>
              </w:tc>
              <w:tc>
                <w:tcPr>
                  <w:tcW w:w="920" w:type="dxa"/>
                  <w:vAlign w:val="center"/>
                </w:tcPr>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66" w:type="dxa"/>
                  <w:vAlign w:val="center"/>
                </w:tcPr>
                <w:p>
                  <w:pPr>
                    <w:jc w:val="both"/>
                    <w:rPr>
                      <w:rFonts w:hint="eastAsia"/>
                      <w:sz w:val="18"/>
                      <w:szCs w:val="18"/>
                      <w:lang w:eastAsia="zh-CN"/>
                    </w:rPr>
                  </w:pPr>
                  <w:r>
                    <w:rPr>
                      <w:rFonts w:hint="eastAsia"/>
                      <w:sz w:val="18"/>
                      <w:szCs w:val="18"/>
                      <w:lang w:eastAsia="zh-CN"/>
                    </w:rPr>
                    <w:t>二、对《规划》优化调整或实施过程中的意见</w:t>
                  </w:r>
                </w:p>
                <w:p>
                  <w:pPr>
                    <w:jc w:val="both"/>
                    <w:rPr>
                      <w:rFonts w:hint="eastAsia"/>
                      <w:sz w:val="18"/>
                      <w:szCs w:val="18"/>
                      <w:lang w:eastAsia="zh-CN"/>
                    </w:rPr>
                  </w:pPr>
                  <w:r>
                    <w:rPr>
                      <w:rFonts w:hint="eastAsia"/>
                      <w:sz w:val="18"/>
                      <w:szCs w:val="18"/>
                      <w:lang w:eastAsia="zh-CN"/>
                    </w:rPr>
                    <w:t>(一)《规划》实施范围、适用期限、规模、结构和布局等</w:t>
                  </w:r>
                </w:p>
                <w:p>
                  <w:pPr>
                    <w:jc w:val="both"/>
                    <w:rPr>
                      <w:rFonts w:hint="eastAsia"/>
                      <w:sz w:val="18"/>
                      <w:szCs w:val="18"/>
                      <w:lang w:eastAsia="zh-CN"/>
                    </w:rPr>
                  </w:pPr>
                  <w:r>
                    <w:rPr>
                      <w:rFonts w:hint="eastAsia"/>
                      <w:sz w:val="18"/>
                      <w:szCs w:val="18"/>
                      <w:lang w:eastAsia="zh-CN"/>
                    </w:rPr>
                    <w:t>方面进行重大调整或者修订,应当重新开展环境影响评价。在《规划》实施5年后，应开展环境影响跟踪评价。</w:t>
                  </w:r>
                </w:p>
                <w:p>
                  <w:pPr>
                    <w:jc w:val="both"/>
                    <w:rPr>
                      <w:rFonts w:hint="eastAsia"/>
                      <w:sz w:val="18"/>
                      <w:szCs w:val="18"/>
                    </w:rPr>
                  </w:pPr>
                  <w:r>
                    <w:rPr>
                      <w:rFonts w:hint="eastAsia"/>
                      <w:sz w:val="18"/>
                      <w:szCs w:val="18"/>
                    </w:rPr>
                    <w:t>(二)集聚区规划和建设应符合法定上位规划。《规划》应根据淄川区“三区三线”划定成果进行相应调整，做好与“三区三线”划定成果的衔接和落实，不得占用永久基本农田，城镇建设用地应布置在城镇开发边界之内。</w:t>
                  </w:r>
                </w:p>
                <w:p>
                  <w:pPr>
                    <w:jc w:val="both"/>
                    <w:rPr>
                      <w:rFonts w:hint="eastAsia"/>
                      <w:sz w:val="18"/>
                      <w:szCs w:val="18"/>
                    </w:rPr>
                  </w:pPr>
                  <w:r>
                    <w:rPr>
                      <w:rFonts w:hint="eastAsia"/>
                      <w:sz w:val="18"/>
                      <w:szCs w:val="18"/>
                    </w:rPr>
                    <w:t>(三)加强集聚区空间管控，严格落实“三线一单”生态环境分区管控要求。按照《报告书》提出的环境准入要求筛选入区项目。严格控制“两高”项目入区，确需建设的应按照省有关文件落实相关要求。化工投资项目应按照《山东省化工投资项目管理规定》有关要求实施。</w:t>
                  </w:r>
                </w:p>
                <w:p>
                  <w:pPr>
                    <w:jc w:val="both"/>
                    <w:rPr>
                      <w:rFonts w:hint="eastAsia"/>
                      <w:sz w:val="18"/>
                      <w:szCs w:val="18"/>
                    </w:rPr>
                  </w:pPr>
                  <w:r>
                    <w:rPr>
                      <w:rFonts w:hint="eastAsia"/>
                      <w:sz w:val="18"/>
                      <w:szCs w:val="18"/>
                    </w:rPr>
                    <w:t>(四)完善基础设施规划，落实中水回用要求，鼓励企业在条件允许的情况下优先使用中水。优化集聚区集中供热规划，协调地方政府加快区域集中供热热源点的建设，在具备集中供热条件前，严格控制供热需求大的项目入区。</w:t>
                  </w:r>
                </w:p>
                <w:p>
                  <w:pPr>
                    <w:jc w:val="both"/>
                    <w:rPr>
                      <w:rFonts w:hint="eastAsia"/>
                      <w:sz w:val="18"/>
                      <w:szCs w:val="18"/>
                    </w:rPr>
                  </w:pPr>
                  <w:r>
                    <w:rPr>
                      <w:rFonts w:hint="eastAsia"/>
                      <w:sz w:val="18"/>
                      <w:szCs w:val="18"/>
                    </w:rPr>
                    <w:t>(五)结合环境质量改善目标、污染防治方案、减排任务等，制定集聚区污染物减排方案并认真落实。对涉及新增污染物排放的入区项目，依法依规落实污染物替代要求。严格执行VOCs相关排放标准和产品标准，强化涉VOCs排放企业管理，建立完善全过程控制体系。</w:t>
                  </w:r>
                </w:p>
                <w:p>
                  <w:pPr>
                    <w:jc w:val="both"/>
                    <w:rPr>
                      <w:rFonts w:hint="eastAsia"/>
                      <w:sz w:val="18"/>
                      <w:szCs w:val="18"/>
                    </w:rPr>
                  </w:pPr>
                  <w:r>
                    <w:rPr>
                      <w:rFonts w:hint="eastAsia"/>
                      <w:sz w:val="18"/>
                      <w:szCs w:val="18"/>
                    </w:rPr>
                    <w:t>(六)健全集聚区环境风险防控体系，制定完备有效的突发环境事件应急预案和应急疏散方案。做好企业-政府应急联防联控工作，提升区域环境风险防范能力，有效防控区域环境风险。</w:t>
                  </w:r>
                </w:p>
                <w:p>
                  <w:pPr>
                    <w:jc w:val="both"/>
                    <w:rPr>
                      <w:rFonts w:hint="eastAsia"/>
                      <w:sz w:val="18"/>
                      <w:szCs w:val="18"/>
                    </w:rPr>
                  </w:pPr>
                  <w:r>
                    <w:rPr>
                      <w:rFonts w:hint="eastAsia"/>
                      <w:sz w:val="18"/>
                      <w:szCs w:val="18"/>
                    </w:rPr>
                    <w:t>(七)推动减污降碳协同共治，引导企业不断改进高耗能工艺，持续降低碳排放强度。积极提升集聚区循环化水平，推动公共设施共建共享、能源梯级利用、资源循环利用和污染物集中安全处置等，大力推进清洁生产。</w:t>
                  </w:r>
                </w:p>
                <w:p>
                  <w:pPr>
                    <w:jc w:val="both"/>
                    <w:rPr>
                      <w:rFonts w:hint="eastAsia"/>
                      <w:sz w:val="18"/>
                      <w:szCs w:val="18"/>
                    </w:rPr>
                  </w:pPr>
                  <w:r>
                    <w:rPr>
                      <w:rFonts w:hint="eastAsia"/>
                      <w:sz w:val="18"/>
                      <w:szCs w:val="18"/>
                    </w:rPr>
                    <w:t>(八)加强集聚区环境管理能力建设、提高精细化环境管理水平。强化日常环境监管，发现违法违规问题，及时依法依规处理处置。</w:t>
                  </w:r>
                </w:p>
                <w:p>
                  <w:pPr>
                    <w:jc w:val="both"/>
                    <w:rPr>
                      <w:sz w:val="18"/>
                      <w:szCs w:val="18"/>
                    </w:rPr>
                  </w:pPr>
                  <w:r>
                    <w:rPr>
                      <w:rFonts w:hint="eastAsia"/>
                      <w:sz w:val="18"/>
                      <w:szCs w:val="18"/>
                    </w:rPr>
                    <w:t>(九)落实《报告书》提出的跟踪监测计划，编制年度监测报告并向社会公开，供后续建设项目入驻时共享环境监测成果。</w:t>
                  </w:r>
                </w:p>
              </w:tc>
              <w:tc>
                <w:tcPr>
                  <w:tcW w:w="2167" w:type="dxa"/>
                  <w:vAlign w:val="center"/>
                </w:tcPr>
                <w:p>
                  <w:pPr>
                    <w:jc w:val="both"/>
                    <w:rPr>
                      <w:sz w:val="18"/>
                      <w:szCs w:val="18"/>
                    </w:rPr>
                  </w:pPr>
                  <w:r>
                    <w:rPr>
                      <w:sz w:val="18"/>
                      <w:szCs w:val="18"/>
                    </w:rPr>
                    <w:t>本项目位于山东省淄博市</w:t>
                  </w:r>
                  <w:r>
                    <w:rPr>
                      <w:rFonts w:hint="eastAsia"/>
                      <w:sz w:val="18"/>
                      <w:szCs w:val="18"/>
                      <w:lang w:eastAsia="zh-CN"/>
                    </w:rPr>
                    <w:t>双杨镇十里铺村东</w:t>
                  </w:r>
                  <w:r>
                    <w:rPr>
                      <w:sz w:val="18"/>
                      <w:szCs w:val="18"/>
                    </w:rPr>
                    <w:t>，在</w:t>
                  </w:r>
                  <w:r>
                    <w:rPr>
                      <w:rFonts w:hint="eastAsia"/>
                      <w:sz w:val="18"/>
                      <w:szCs w:val="18"/>
                      <w:lang w:eastAsia="zh-CN"/>
                    </w:rPr>
                    <w:t>淄川区双杨镇工业集聚区</w:t>
                  </w:r>
                  <w:r>
                    <w:rPr>
                      <w:sz w:val="18"/>
                      <w:szCs w:val="18"/>
                    </w:rPr>
                    <w:t>范围内</w:t>
                  </w:r>
                  <w:r>
                    <w:rPr>
                      <w:rFonts w:hint="eastAsia"/>
                      <w:sz w:val="18"/>
                      <w:szCs w:val="18"/>
                      <w:lang w:eastAsia="zh-CN"/>
                    </w:rPr>
                    <w:t>。</w:t>
                  </w:r>
                  <w:r>
                    <w:rPr>
                      <w:sz w:val="18"/>
                      <w:szCs w:val="18"/>
                    </w:rPr>
                    <w:t>行业类别为C</w:t>
                  </w:r>
                  <w:r>
                    <w:rPr>
                      <w:rFonts w:hint="eastAsia"/>
                      <w:sz w:val="18"/>
                      <w:szCs w:val="18"/>
                      <w:lang w:val="en-US" w:eastAsia="zh-CN"/>
                    </w:rPr>
                    <w:t>2231纸和纸板容器制造、C2319包装装潢及其他印刷</w:t>
                  </w:r>
                  <w:r>
                    <w:rPr>
                      <w:rFonts w:hint="eastAsia"/>
                      <w:sz w:val="18"/>
                      <w:szCs w:val="18"/>
                    </w:rPr>
                    <w:t>，</w:t>
                  </w:r>
                  <w:r>
                    <w:rPr>
                      <w:rFonts w:hint="eastAsia"/>
                      <w:sz w:val="18"/>
                      <w:szCs w:val="18"/>
                      <w:lang w:eastAsia="zh-CN"/>
                    </w:rPr>
                    <w:t>属于新材料行业配套服务行业，</w:t>
                  </w:r>
                  <w:r>
                    <w:rPr>
                      <w:rFonts w:hint="eastAsia"/>
                      <w:sz w:val="18"/>
                      <w:szCs w:val="18"/>
                    </w:rPr>
                    <w:t>符合工业集聚区重点发展新材料的产业定位</w:t>
                  </w:r>
                  <w:r>
                    <w:rPr>
                      <w:rFonts w:hint="eastAsia"/>
                      <w:sz w:val="18"/>
                      <w:szCs w:val="18"/>
                      <w:lang w:eastAsia="zh-CN"/>
                    </w:rPr>
                    <w:t>。本项目无废水排放，再严格落实环评中提出的污染防治措施后，能确保废气、噪声均能达标排放，固废均能合理利用、处置。</w:t>
                  </w:r>
                </w:p>
              </w:tc>
              <w:tc>
                <w:tcPr>
                  <w:tcW w:w="920" w:type="dxa"/>
                  <w:vAlign w:val="center"/>
                </w:tcPr>
                <w:p>
                  <w:pPr>
                    <w:jc w:val="center"/>
                    <w:rPr>
                      <w:sz w:val="18"/>
                      <w:szCs w:val="18"/>
                    </w:rPr>
                  </w:pPr>
                </w:p>
                <w:p>
                  <w:pPr>
                    <w:jc w:val="center"/>
                    <w:rPr>
                      <w:sz w:val="18"/>
                      <w:szCs w:val="18"/>
                    </w:rPr>
                  </w:pPr>
                  <w:r>
                    <w:rPr>
                      <w:sz w:val="18"/>
                      <w:szCs w:val="18"/>
                    </w:rPr>
                    <w:t>符合</w:t>
                  </w:r>
                </w:p>
              </w:tc>
            </w:tr>
          </w:tb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92" w:type="dxa"/>
            <w:vAlign w:val="center"/>
          </w:tcPr>
          <w:p>
            <w:pPr>
              <w:autoSpaceDE w:val="0"/>
              <w:autoSpaceDN w:val="0"/>
              <w:adjustRightInd w:val="0"/>
              <w:snapToGrid w:val="0"/>
              <w:spacing w:line="420" w:lineRule="exact"/>
              <w:jc w:val="center"/>
              <w:rPr>
                <w:color w:val="FF0000"/>
                <w:kern w:val="0"/>
              </w:rPr>
            </w:pPr>
            <w:r>
              <w:rPr>
                <w:kern w:val="0"/>
              </w:rPr>
              <w:t>其他符合性分析</w:t>
            </w:r>
          </w:p>
        </w:tc>
        <w:tc>
          <w:tcPr>
            <w:tcW w:w="8378" w:type="dxa"/>
            <w:gridSpan w:val="5"/>
            <w:vAlign w:val="center"/>
          </w:tcPr>
          <w:p>
            <w:pPr>
              <w:autoSpaceDE w:val="0"/>
              <w:autoSpaceDN w:val="0"/>
              <w:adjustRightInd w:val="0"/>
              <w:spacing w:line="420" w:lineRule="exact"/>
              <w:rPr>
                <w:b/>
              </w:rPr>
            </w:pPr>
            <w:r>
              <w:rPr>
                <w:b/>
              </w:rPr>
              <w:t>一、“三线一单”符合性分析</w:t>
            </w:r>
          </w:p>
          <w:p>
            <w:pPr>
              <w:autoSpaceDE w:val="0"/>
              <w:autoSpaceDN w:val="0"/>
              <w:adjustRightInd w:val="0"/>
              <w:snapToGrid w:val="0"/>
              <w:spacing w:line="420" w:lineRule="exact"/>
              <w:ind w:firstLine="420" w:firstLineChars="200"/>
              <w:rPr>
                <w:bCs/>
              </w:rPr>
            </w:pPr>
            <w:r>
              <w:rPr>
                <w:rFonts w:hint="eastAsia" w:ascii="宋体" w:hAnsi="宋体"/>
                <w:kern w:val="0"/>
                <w:szCs w:val="21"/>
                <w:lang w:val="zh-CN"/>
              </w:rPr>
              <w:t>根据</w:t>
            </w:r>
            <w:r>
              <w:rPr>
                <w:bCs/>
                <w:color w:val="auto"/>
              </w:rPr>
              <w:t>《淄博市“三线一单”生态环境准入清单（动态更新版）》</w:t>
            </w:r>
            <w:r>
              <w:rPr>
                <w:rFonts w:hint="eastAsia" w:ascii="宋体" w:hAnsi="宋体"/>
                <w:kern w:val="0"/>
                <w:szCs w:val="21"/>
                <w:lang w:val="zh-CN"/>
              </w:rPr>
              <w:t>，双杨镇环境控制单元编码</w:t>
            </w:r>
            <w:r>
              <w:rPr>
                <w:rFonts w:hint="eastAsia" w:ascii="宋体" w:hAnsi="宋体" w:cs="宋体"/>
                <w:kern w:val="0"/>
                <w:szCs w:val="21"/>
                <w:lang w:bidi="ar"/>
              </w:rPr>
              <w:t>ZH37030220003</w:t>
            </w:r>
            <w:r>
              <w:rPr>
                <w:rFonts w:hint="eastAsia" w:ascii="宋体" w:hAnsi="宋体"/>
                <w:kern w:val="0"/>
                <w:szCs w:val="21"/>
                <w:lang w:val="zh-CN"/>
              </w:rPr>
              <w:t>，属于“重点管控单元”</w:t>
            </w:r>
            <w:r>
              <w:rPr>
                <w:bCs/>
              </w:rPr>
              <w:t>。</w:t>
            </w:r>
          </w:p>
          <w:p>
            <w:pPr>
              <w:autoSpaceDE w:val="0"/>
              <w:autoSpaceDN w:val="0"/>
              <w:adjustRightInd w:val="0"/>
              <w:spacing w:line="420" w:lineRule="exact"/>
              <w:ind w:firstLine="420" w:firstLineChars="200"/>
              <w:rPr>
                <w:bCs/>
              </w:rPr>
            </w:pPr>
            <w:r>
              <w:rPr>
                <w:bCs/>
              </w:rPr>
              <w:t>1、生态保护红线</w:t>
            </w:r>
          </w:p>
          <w:p>
            <w:pPr>
              <w:autoSpaceDE w:val="0"/>
              <w:autoSpaceDN w:val="0"/>
              <w:adjustRightInd w:val="0"/>
              <w:spacing w:line="420" w:lineRule="exact"/>
              <w:ind w:firstLine="420" w:firstLineChars="200"/>
              <w:rPr>
                <w:bCs/>
              </w:rPr>
            </w:pPr>
            <w:r>
              <w:rPr>
                <w:bCs/>
              </w:rPr>
              <w:t>生态红线是指生态空间范围内具有特殊重要生态功能必须实行强制性严格保护的区域。根据《山东省生态保护红线规划》（2016-2020年），淄川区共有7处生态保护红线区分别为：宝山水源涵养生态保护红线区、杨古水源涵养生态保护红线区、青山以东水源涵养生态保护红线区、太河水库水源涵养生态保护红线区、龙藏洞以东土壤保持生态保护红线区、淄川生态公益林北部生物多样性维护生态保护红线区、潭溪山-峨庄生物多样性维护生态保护红线区。淄川区生态保护红线区具体范围见下表1-</w:t>
            </w:r>
            <w:r>
              <w:rPr>
                <w:rFonts w:hint="eastAsia"/>
                <w:bCs/>
                <w:lang w:val="en-US" w:eastAsia="zh-CN"/>
              </w:rPr>
              <w:t>5</w:t>
            </w:r>
            <w:r>
              <w:rPr>
                <w:bCs/>
              </w:rPr>
              <w:t>。</w:t>
            </w:r>
          </w:p>
          <w:p>
            <w:pPr>
              <w:spacing w:line="420" w:lineRule="exact"/>
              <w:jc w:val="center"/>
              <w:rPr>
                <w:b/>
              </w:rPr>
            </w:pPr>
            <w:r>
              <w:rPr>
                <w:b/>
              </w:rPr>
              <w:t>表1-</w:t>
            </w:r>
            <w:r>
              <w:rPr>
                <w:rFonts w:hint="eastAsia"/>
                <w:b/>
                <w:lang w:val="en-US" w:eastAsia="zh-CN"/>
              </w:rPr>
              <w:t>5</w:t>
            </w:r>
            <w:r>
              <w:rPr>
                <w:b/>
              </w:rPr>
              <w:t xml:space="preserve"> 周边生态红线范围一览表</w:t>
            </w:r>
          </w:p>
          <w:tbl>
            <w:tblPr>
              <w:tblStyle w:val="85"/>
              <w:tblW w:w="0" w:type="auto"/>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1798"/>
              <w:gridCol w:w="1016"/>
              <w:gridCol w:w="2249"/>
              <w:gridCol w:w="876"/>
              <w:gridCol w:w="1143"/>
              <w:gridCol w:w="1074"/>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340" w:hRule="atLeast"/>
                <w:jc w:val="center"/>
              </w:trPr>
              <w:tc>
                <w:tcPr>
                  <w:tcW w:w="1798" w:type="dxa"/>
                  <w:tcBorders>
                    <w:top w:val="single" w:color="auto" w:sz="2" w:space="0"/>
                    <w:bottom w:val="single" w:color="auto" w:sz="4" w:space="0"/>
                  </w:tcBorders>
                  <w:vAlign w:val="center"/>
                </w:tcPr>
                <w:p>
                  <w:pPr>
                    <w:autoSpaceDE w:val="0"/>
                    <w:autoSpaceDN w:val="0"/>
                    <w:adjustRightInd w:val="0"/>
                    <w:jc w:val="center"/>
                    <w:rPr>
                      <w:b/>
                      <w:sz w:val="18"/>
                      <w:szCs w:val="18"/>
                      <w:lang w:val="zh-CN"/>
                    </w:rPr>
                  </w:pPr>
                  <w:r>
                    <w:rPr>
                      <w:b/>
                      <w:sz w:val="18"/>
                      <w:szCs w:val="18"/>
                    </w:rPr>
                    <w:t>生态保护红线区名称</w:t>
                  </w:r>
                </w:p>
              </w:tc>
              <w:tc>
                <w:tcPr>
                  <w:tcW w:w="1016" w:type="dxa"/>
                  <w:tcBorders>
                    <w:top w:val="single" w:color="auto" w:sz="2" w:space="0"/>
                    <w:bottom w:val="single" w:color="auto" w:sz="4" w:space="0"/>
                  </w:tcBorders>
                  <w:vAlign w:val="center"/>
                </w:tcPr>
                <w:p>
                  <w:pPr>
                    <w:jc w:val="center"/>
                    <w:rPr>
                      <w:b/>
                      <w:sz w:val="18"/>
                      <w:szCs w:val="18"/>
                      <w:lang w:val="zh-CN"/>
                    </w:rPr>
                  </w:pPr>
                  <w:r>
                    <w:rPr>
                      <w:b/>
                      <w:sz w:val="18"/>
                      <w:szCs w:val="18"/>
                      <w:lang w:val="zh-CN"/>
                    </w:rPr>
                    <w:t>代码</w:t>
                  </w:r>
                </w:p>
              </w:tc>
              <w:tc>
                <w:tcPr>
                  <w:tcW w:w="2249" w:type="dxa"/>
                  <w:tcBorders>
                    <w:top w:val="single" w:color="auto" w:sz="2" w:space="0"/>
                    <w:bottom w:val="single" w:color="auto" w:sz="4" w:space="0"/>
                  </w:tcBorders>
                  <w:vAlign w:val="center"/>
                </w:tcPr>
                <w:p>
                  <w:pPr>
                    <w:jc w:val="center"/>
                    <w:rPr>
                      <w:b/>
                      <w:sz w:val="18"/>
                      <w:szCs w:val="18"/>
                      <w:lang w:val="zh-CN"/>
                    </w:rPr>
                  </w:pPr>
                  <w:r>
                    <w:rPr>
                      <w:b/>
                      <w:sz w:val="18"/>
                      <w:szCs w:val="18"/>
                      <w:lang w:val="zh-CN"/>
                    </w:rPr>
                    <w:t>边界描述</w:t>
                  </w:r>
                </w:p>
              </w:tc>
              <w:tc>
                <w:tcPr>
                  <w:tcW w:w="876" w:type="dxa"/>
                  <w:tcBorders>
                    <w:top w:val="single" w:color="auto" w:sz="2" w:space="0"/>
                    <w:bottom w:val="single" w:color="auto" w:sz="4" w:space="0"/>
                  </w:tcBorders>
                  <w:vAlign w:val="center"/>
                </w:tcPr>
                <w:p>
                  <w:pPr>
                    <w:jc w:val="center"/>
                    <w:rPr>
                      <w:b/>
                      <w:sz w:val="18"/>
                      <w:szCs w:val="18"/>
                      <w:lang w:val="zh-CN"/>
                    </w:rPr>
                  </w:pPr>
                  <w:r>
                    <w:rPr>
                      <w:b/>
                      <w:sz w:val="18"/>
                      <w:szCs w:val="18"/>
                      <w:lang w:val="zh-CN"/>
                    </w:rPr>
                    <w:t>面积</w:t>
                  </w:r>
                </w:p>
              </w:tc>
              <w:tc>
                <w:tcPr>
                  <w:tcW w:w="1143" w:type="dxa"/>
                  <w:tcBorders>
                    <w:top w:val="single" w:color="auto" w:sz="2" w:space="0"/>
                    <w:bottom w:val="single" w:color="auto" w:sz="4" w:space="0"/>
                  </w:tcBorders>
                  <w:vAlign w:val="center"/>
                </w:tcPr>
                <w:p>
                  <w:pPr>
                    <w:jc w:val="center"/>
                    <w:rPr>
                      <w:b/>
                      <w:sz w:val="18"/>
                      <w:szCs w:val="18"/>
                      <w:lang w:val="zh-CN"/>
                    </w:rPr>
                  </w:pPr>
                  <w:r>
                    <w:rPr>
                      <w:b/>
                      <w:sz w:val="18"/>
                      <w:szCs w:val="18"/>
                      <w:lang w:val="zh-CN"/>
                    </w:rPr>
                    <w:t>生态功能</w:t>
                  </w:r>
                </w:p>
              </w:tc>
              <w:tc>
                <w:tcPr>
                  <w:tcW w:w="1074" w:type="dxa"/>
                  <w:tcBorders>
                    <w:top w:val="single" w:color="auto" w:sz="2" w:space="0"/>
                    <w:bottom w:val="single" w:color="auto" w:sz="4" w:space="0"/>
                  </w:tcBorders>
                  <w:vAlign w:val="center"/>
                </w:tcPr>
                <w:p>
                  <w:pPr>
                    <w:jc w:val="center"/>
                    <w:rPr>
                      <w:b/>
                      <w:sz w:val="18"/>
                      <w:szCs w:val="18"/>
                      <w:lang w:val="zh-CN"/>
                    </w:rPr>
                  </w:pPr>
                  <w:r>
                    <w:rPr>
                      <w:b/>
                      <w:sz w:val="18"/>
                      <w:szCs w:val="18"/>
                      <w:lang w:val="zh-CN"/>
                    </w:rPr>
                    <w:t>类型</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tcBorders>
                    <w:top w:val="single" w:color="auto" w:sz="4" w:space="0"/>
                  </w:tcBorders>
                  <w:vAlign w:val="center"/>
                </w:tcPr>
                <w:p>
                  <w:pPr>
                    <w:autoSpaceDE w:val="0"/>
                    <w:autoSpaceDN w:val="0"/>
                    <w:adjustRightInd w:val="0"/>
                    <w:jc w:val="center"/>
                    <w:rPr>
                      <w:sz w:val="18"/>
                      <w:szCs w:val="18"/>
                      <w:lang w:val="zh-CN"/>
                    </w:rPr>
                  </w:pPr>
                  <w:r>
                    <w:rPr>
                      <w:sz w:val="18"/>
                      <w:szCs w:val="18"/>
                      <w:lang w:val="zh-CN"/>
                    </w:rPr>
                    <w:t>青山以东水源涵养生态保护红线区</w:t>
                  </w:r>
                </w:p>
              </w:tc>
              <w:tc>
                <w:tcPr>
                  <w:tcW w:w="1016" w:type="dxa"/>
                  <w:tcBorders>
                    <w:top w:val="single" w:color="auto" w:sz="4" w:space="0"/>
                  </w:tcBorders>
                  <w:vAlign w:val="center"/>
                </w:tcPr>
                <w:p>
                  <w:pPr>
                    <w:jc w:val="center"/>
                    <w:rPr>
                      <w:sz w:val="18"/>
                      <w:szCs w:val="18"/>
                      <w:lang w:val="zh-CN"/>
                    </w:rPr>
                  </w:pPr>
                  <w:r>
                    <w:rPr>
                      <w:sz w:val="18"/>
                      <w:szCs w:val="18"/>
                      <w:lang w:val="zh-CN"/>
                    </w:rPr>
                    <w:t>SD-03-B1-08</w:t>
                  </w:r>
                </w:p>
              </w:tc>
              <w:tc>
                <w:tcPr>
                  <w:tcW w:w="2249" w:type="dxa"/>
                  <w:tcBorders>
                    <w:top w:val="single" w:color="auto" w:sz="4" w:space="0"/>
                  </w:tcBorders>
                  <w:vAlign w:val="center"/>
                </w:tcPr>
                <w:p>
                  <w:pPr>
                    <w:autoSpaceDE w:val="0"/>
                    <w:autoSpaceDN w:val="0"/>
                    <w:adjustRightInd w:val="0"/>
                    <w:jc w:val="center"/>
                    <w:rPr>
                      <w:sz w:val="18"/>
                      <w:szCs w:val="18"/>
                      <w:lang w:val="zh-CN"/>
                    </w:rPr>
                  </w:pPr>
                  <w:r>
                    <w:rPr>
                      <w:sz w:val="18"/>
                      <w:szCs w:val="18"/>
                      <w:lang w:val="zh-CN"/>
                    </w:rPr>
                    <w:t>325省道以南，青山以东，抬头崖村以西，槲林村以北</w:t>
                  </w:r>
                </w:p>
              </w:tc>
              <w:tc>
                <w:tcPr>
                  <w:tcW w:w="876" w:type="dxa"/>
                  <w:tcBorders>
                    <w:top w:val="single" w:color="auto" w:sz="4" w:space="0"/>
                  </w:tcBorders>
                  <w:vAlign w:val="center"/>
                </w:tcPr>
                <w:p>
                  <w:pPr>
                    <w:jc w:val="center"/>
                    <w:rPr>
                      <w:sz w:val="18"/>
                      <w:szCs w:val="18"/>
                      <w:lang w:val="zh-CN"/>
                    </w:rPr>
                  </w:pPr>
                  <w:r>
                    <w:rPr>
                      <w:sz w:val="18"/>
                      <w:szCs w:val="18"/>
                      <w:lang w:val="zh-CN"/>
                    </w:rPr>
                    <w:t>1.89km</w:t>
                  </w:r>
                  <w:r>
                    <w:rPr>
                      <w:sz w:val="18"/>
                      <w:szCs w:val="18"/>
                      <w:vertAlign w:val="superscript"/>
                      <w:lang w:val="zh-CN"/>
                    </w:rPr>
                    <w:t>2</w:t>
                  </w:r>
                </w:p>
              </w:tc>
              <w:tc>
                <w:tcPr>
                  <w:tcW w:w="1143" w:type="dxa"/>
                  <w:tcBorders>
                    <w:top w:val="single" w:color="auto" w:sz="4" w:space="0"/>
                  </w:tcBorders>
                  <w:vAlign w:val="center"/>
                </w:tcPr>
                <w:p>
                  <w:pPr>
                    <w:jc w:val="center"/>
                    <w:rPr>
                      <w:sz w:val="18"/>
                      <w:szCs w:val="18"/>
                    </w:rPr>
                  </w:pPr>
                  <w:r>
                    <w:rPr>
                      <w:sz w:val="18"/>
                      <w:szCs w:val="18"/>
                    </w:rPr>
                    <w:t>水源涵养、生物多样性维护</w:t>
                  </w:r>
                </w:p>
              </w:tc>
              <w:tc>
                <w:tcPr>
                  <w:tcW w:w="1074" w:type="dxa"/>
                  <w:tcBorders>
                    <w:top w:val="single" w:color="auto" w:sz="4" w:space="0"/>
                  </w:tcBorders>
                  <w:vAlign w:val="center"/>
                </w:tcPr>
                <w:p>
                  <w:pPr>
                    <w:jc w:val="center"/>
                    <w:rPr>
                      <w:sz w:val="18"/>
                      <w:szCs w:val="18"/>
                    </w:rPr>
                  </w:pPr>
                  <w:r>
                    <w:rPr>
                      <w:sz w:val="18"/>
                      <w:szCs w:val="18"/>
                    </w:rPr>
                    <w:t>森林、草地、农田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779" w:hRule="atLeast"/>
                <w:jc w:val="center"/>
              </w:trPr>
              <w:tc>
                <w:tcPr>
                  <w:tcW w:w="1798" w:type="dxa"/>
                  <w:vAlign w:val="center"/>
                </w:tcPr>
                <w:p>
                  <w:pPr>
                    <w:jc w:val="center"/>
                    <w:rPr>
                      <w:sz w:val="18"/>
                      <w:szCs w:val="18"/>
                    </w:rPr>
                  </w:pPr>
                  <w:r>
                    <w:rPr>
                      <w:sz w:val="18"/>
                      <w:szCs w:val="18"/>
                    </w:rPr>
                    <w:t>太河水库水源涵养生态保护红线区</w:t>
                  </w:r>
                </w:p>
              </w:tc>
              <w:tc>
                <w:tcPr>
                  <w:tcW w:w="1016" w:type="dxa"/>
                  <w:vAlign w:val="center"/>
                </w:tcPr>
                <w:p>
                  <w:pPr>
                    <w:jc w:val="center"/>
                    <w:rPr>
                      <w:sz w:val="18"/>
                      <w:szCs w:val="18"/>
                    </w:rPr>
                  </w:pPr>
                  <w:r>
                    <w:rPr>
                      <w:sz w:val="18"/>
                      <w:szCs w:val="18"/>
                      <w:lang w:val="zh-CN"/>
                    </w:rPr>
                    <w:t>SD-03-B1-09</w:t>
                  </w:r>
                </w:p>
              </w:tc>
              <w:tc>
                <w:tcPr>
                  <w:tcW w:w="2249" w:type="dxa"/>
                  <w:vAlign w:val="center"/>
                </w:tcPr>
                <w:p>
                  <w:pPr>
                    <w:autoSpaceDE w:val="0"/>
                    <w:autoSpaceDN w:val="0"/>
                    <w:adjustRightInd w:val="0"/>
                    <w:jc w:val="center"/>
                    <w:rPr>
                      <w:sz w:val="18"/>
                      <w:szCs w:val="18"/>
                    </w:rPr>
                  </w:pPr>
                  <w:r>
                    <w:rPr>
                      <w:sz w:val="18"/>
                      <w:szCs w:val="18"/>
                    </w:rPr>
                    <w:t>235省道以东，泉河公园以北，峨庄森林公园以西，北崖村以北</w:t>
                  </w:r>
                </w:p>
              </w:tc>
              <w:tc>
                <w:tcPr>
                  <w:tcW w:w="876" w:type="dxa"/>
                  <w:vAlign w:val="center"/>
                </w:tcPr>
                <w:p>
                  <w:pPr>
                    <w:jc w:val="center"/>
                    <w:rPr>
                      <w:sz w:val="18"/>
                      <w:szCs w:val="18"/>
                      <w:lang w:val="zh-CN"/>
                    </w:rPr>
                  </w:pPr>
                  <w:r>
                    <w:rPr>
                      <w:sz w:val="18"/>
                      <w:szCs w:val="18"/>
                      <w:lang w:val="zh-CN"/>
                    </w:rPr>
                    <w:t>8.74 km</w:t>
                  </w:r>
                  <w:r>
                    <w:rPr>
                      <w:sz w:val="18"/>
                      <w:szCs w:val="18"/>
                      <w:vertAlign w:val="superscript"/>
                      <w:lang w:val="zh-CN"/>
                    </w:rPr>
                    <w:t>2</w:t>
                  </w:r>
                </w:p>
              </w:tc>
              <w:tc>
                <w:tcPr>
                  <w:tcW w:w="1143" w:type="dxa"/>
                  <w:vAlign w:val="center"/>
                </w:tcPr>
                <w:p>
                  <w:pPr>
                    <w:jc w:val="center"/>
                    <w:rPr>
                      <w:sz w:val="18"/>
                      <w:szCs w:val="18"/>
                    </w:rPr>
                  </w:pPr>
                  <w:r>
                    <w:rPr>
                      <w:sz w:val="18"/>
                      <w:szCs w:val="18"/>
                    </w:rPr>
                    <w:t>生物多样性维护、水源涵养</w:t>
                  </w:r>
                </w:p>
              </w:tc>
              <w:tc>
                <w:tcPr>
                  <w:tcW w:w="1074" w:type="dxa"/>
                  <w:vAlign w:val="center"/>
                </w:tcPr>
                <w:p>
                  <w:pPr>
                    <w:jc w:val="center"/>
                    <w:rPr>
                      <w:sz w:val="18"/>
                      <w:szCs w:val="18"/>
                    </w:rPr>
                  </w:pPr>
                  <w:r>
                    <w:rPr>
                      <w:sz w:val="18"/>
                      <w:szCs w:val="18"/>
                    </w:rPr>
                    <w:t>水库、森林、草地、城镇、农田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jc w:val="center"/>
                    <w:rPr>
                      <w:sz w:val="18"/>
                      <w:szCs w:val="18"/>
                    </w:rPr>
                  </w:pPr>
                  <w:r>
                    <w:rPr>
                      <w:sz w:val="18"/>
                      <w:szCs w:val="18"/>
                    </w:rPr>
                    <w:t>杨古水源涵养生态保护红线区</w:t>
                  </w:r>
                </w:p>
              </w:tc>
              <w:tc>
                <w:tcPr>
                  <w:tcW w:w="1016" w:type="dxa"/>
                  <w:vAlign w:val="center"/>
                </w:tcPr>
                <w:p>
                  <w:pPr>
                    <w:jc w:val="center"/>
                    <w:rPr>
                      <w:sz w:val="18"/>
                      <w:szCs w:val="18"/>
                    </w:rPr>
                  </w:pPr>
                  <w:r>
                    <w:rPr>
                      <w:sz w:val="18"/>
                      <w:szCs w:val="18"/>
                    </w:rPr>
                    <w:t>SD-03-B1-07</w:t>
                  </w:r>
                </w:p>
              </w:tc>
              <w:tc>
                <w:tcPr>
                  <w:tcW w:w="2249" w:type="dxa"/>
                  <w:vAlign w:val="center"/>
                </w:tcPr>
                <w:p>
                  <w:pPr>
                    <w:autoSpaceDE w:val="0"/>
                    <w:autoSpaceDN w:val="0"/>
                    <w:adjustRightInd w:val="0"/>
                    <w:jc w:val="center"/>
                    <w:rPr>
                      <w:sz w:val="18"/>
                      <w:szCs w:val="18"/>
                    </w:rPr>
                  </w:pPr>
                  <w:r>
                    <w:rPr>
                      <w:sz w:val="18"/>
                      <w:szCs w:val="18"/>
                    </w:rPr>
                    <w:t>杨古水源地及杨古水源地东侧，岭子镇以北，冲山以西和以南</w:t>
                  </w:r>
                </w:p>
              </w:tc>
              <w:tc>
                <w:tcPr>
                  <w:tcW w:w="876" w:type="dxa"/>
                  <w:vAlign w:val="center"/>
                </w:tcPr>
                <w:p>
                  <w:pPr>
                    <w:jc w:val="center"/>
                    <w:rPr>
                      <w:sz w:val="18"/>
                      <w:szCs w:val="18"/>
                    </w:rPr>
                  </w:pPr>
                  <w:r>
                    <w:rPr>
                      <w:sz w:val="18"/>
                      <w:szCs w:val="18"/>
                    </w:rPr>
                    <w:t>1</w:t>
                  </w:r>
                  <w:r>
                    <w:rPr>
                      <w:sz w:val="18"/>
                      <w:szCs w:val="18"/>
                      <w:lang w:val="zh-CN"/>
                    </w:rPr>
                    <w:t>.80 km</w:t>
                  </w:r>
                  <w:r>
                    <w:rPr>
                      <w:sz w:val="18"/>
                      <w:szCs w:val="18"/>
                      <w:vertAlign w:val="superscript"/>
                      <w:lang w:val="zh-CN"/>
                    </w:rPr>
                    <w:t>2</w:t>
                  </w:r>
                </w:p>
              </w:tc>
              <w:tc>
                <w:tcPr>
                  <w:tcW w:w="1143" w:type="dxa"/>
                  <w:vAlign w:val="center"/>
                </w:tcPr>
                <w:p>
                  <w:pPr>
                    <w:jc w:val="center"/>
                    <w:rPr>
                      <w:sz w:val="18"/>
                      <w:szCs w:val="18"/>
                    </w:rPr>
                  </w:pPr>
                  <w:r>
                    <w:rPr>
                      <w:sz w:val="18"/>
                      <w:szCs w:val="18"/>
                    </w:rPr>
                    <w:t>水源涵养、生物多样性维护</w:t>
                  </w:r>
                </w:p>
              </w:tc>
              <w:tc>
                <w:tcPr>
                  <w:tcW w:w="1074" w:type="dxa"/>
                  <w:vAlign w:val="center"/>
                </w:tcPr>
                <w:p>
                  <w:pPr>
                    <w:jc w:val="center"/>
                    <w:rPr>
                      <w:sz w:val="18"/>
                      <w:szCs w:val="18"/>
                    </w:rPr>
                  </w:pPr>
                  <w:r>
                    <w:rPr>
                      <w:sz w:val="18"/>
                      <w:szCs w:val="18"/>
                    </w:rPr>
                    <w:t>森林、城镇、草地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340" w:hRule="atLeast"/>
                <w:jc w:val="center"/>
              </w:trPr>
              <w:tc>
                <w:tcPr>
                  <w:tcW w:w="1798" w:type="dxa"/>
                  <w:vAlign w:val="center"/>
                </w:tcPr>
                <w:p>
                  <w:pPr>
                    <w:jc w:val="center"/>
                    <w:rPr>
                      <w:sz w:val="18"/>
                      <w:szCs w:val="18"/>
                    </w:rPr>
                  </w:pPr>
                  <w:r>
                    <w:rPr>
                      <w:sz w:val="18"/>
                      <w:szCs w:val="18"/>
                    </w:rPr>
                    <w:t>宝山水源涵养生态保护红线区</w:t>
                  </w:r>
                </w:p>
              </w:tc>
              <w:tc>
                <w:tcPr>
                  <w:tcW w:w="1016" w:type="dxa"/>
                  <w:vAlign w:val="center"/>
                </w:tcPr>
                <w:p>
                  <w:pPr>
                    <w:jc w:val="center"/>
                    <w:rPr>
                      <w:sz w:val="18"/>
                      <w:szCs w:val="18"/>
                    </w:rPr>
                  </w:pPr>
                  <w:r>
                    <w:rPr>
                      <w:sz w:val="18"/>
                      <w:szCs w:val="18"/>
                    </w:rPr>
                    <w:t>SD-03-B1-06</w:t>
                  </w:r>
                </w:p>
              </w:tc>
              <w:tc>
                <w:tcPr>
                  <w:tcW w:w="2249" w:type="dxa"/>
                  <w:vAlign w:val="center"/>
                </w:tcPr>
                <w:p>
                  <w:pPr>
                    <w:autoSpaceDE w:val="0"/>
                    <w:autoSpaceDN w:val="0"/>
                    <w:adjustRightInd w:val="0"/>
                    <w:jc w:val="center"/>
                    <w:rPr>
                      <w:sz w:val="18"/>
                      <w:szCs w:val="18"/>
                    </w:rPr>
                  </w:pPr>
                  <w:r>
                    <w:rPr>
                      <w:sz w:val="18"/>
                      <w:szCs w:val="18"/>
                    </w:rPr>
                    <w:t>309国道以南，东张村以东，刘家河以西，双峪以北</w:t>
                  </w:r>
                </w:p>
              </w:tc>
              <w:tc>
                <w:tcPr>
                  <w:tcW w:w="876" w:type="dxa"/>
                  <w:vAlign w:val="center"/>
                </w:tcPr>
                <w:p>
                  <w:pPr>
                    <w:jc w:val="center"/>
                    <w:rPr>
                      <w:sz w:val="18"/>
                      <w:szCs w:val="18"/>
                    </w:rPr>
                  </w:pPr>
                  <w:r>
                    <w:rPr>
                      <w:sz w:val="18"/>
                      <w:szCs w:val="18"/>
                    </w:rPr>
                    <w:t>1.80</w:t>
                  </w:r>
                  <w:r>
                    <w:rPr>
                      <w:sz w:val="18"/>
                      <w:szCs w:val="18"/>
                      <w:lang w:val="zh-CN"/>
                    </w:rPr>
                    <w:t xml:space="preserve"> km</w:t>
                  </w:r>
                  <w:r>
                    <w:rPr>
                      <w:sz w:val="18"/>
                      <w:szCs w:val="18"/>
                      <w:vertAlign w:val="superscript"/>
                      <w:lang w:val="zh-CN"/>
                    </w:rPr>
                    <w:t>2</w:t>
                  </w:r>
                </w:p>
              </w:tc>
              <w:tc>
                <w:tcPr>
                  <w:tcW w:w="1143" w:type="dxa"/>
                  <w:vAlign w:val="center"/>
                </w:tcPr>
                <w:p>
                  <w:pPr>
                    <w:jc w:val="center"/>
                    <w:rPr>
                      <w:sz w:val="18"/>
                      <w:szCs w:val="18"/>
                    </w:rPr>
                  </w:pPr>
                  <w:r>
                    <w:rPr>
                      <w:sz w:val="18"/>
                      <w:szCs w:val="18"/>
                    </w:rPr>
                    <w:t>生物多样性维护、水源涵养</w:t>
                  </w:r>
                </w:p>
              </w:tc>
              <w:tc>
                <w:tcPr>
                  <w:tcW w:w="1074" w:type="dxa"/>
                  <w:vAlign w:val="center"/>
                </w:tcPr>
                <w:p>
                  <w:pPr>
                    <w:jc w:val="center"/>
                    <w:rPr>
                      <w:sz w:val="18"/>
                      <w:szCs w:val="18"/>
                    </w:rPr>
                  </w:pPr>
                  <w:r>
                    <w:rPr>
                      <w:sz w:val="18"/>
                      <w:szCs w:val="18"/>
                    </w:rPr>
                    <w:t>森林、城镇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jc w:val="center"/>
                    <w:rPr>
                      <w:sz w:val="18"/>
                      <w:szCs w:val="18"/>
                    </w:rPr>
                  </w:pPr>
                  <w:r>
                    <w:rPr>
                      <w:sz w:val="18"/>
                      <w:szCs w:val="18"/>
                    </w:rPr>
                    <w:t>龙藏洞以东土壤保持生态保护红线区</w:t>
                  </w:r>
                </w:p>
              </w:tc>
              <w:tc>
                <w:tcPr>
                  <w:tcW w:w="1016" w:type="dxa"/>
                  <w:vAlign w:val="center"/>
                </w:tcPr>
                <w:p>
                  <w:pPr>
                    <w:jc w:val="center"/>
                    <w:rPr>
                      <w:sz w:val="18"/>
                      <w:szCs w:val="18"/>
                    </w:rPr>
                  </w:pPr>
                  <w:r>
                    <w:rPr>
                      <w:sz w:val="18"/>
                      <w:szCs w:val="18"/>
                    </w:rPr>
                    <w:t>SD-03-B2-02</w:t>
                  </w:r>
                </w:p>
              </w:tc>
              <w:tc>
                <w:tcPr>
                  <w:tcW w:w="2249" w:type="dxa"/>
                  <w:vAlign w:val="center"/>
                </w:tcPr>
                <w:p>
                  <w:pPr>
                    <w:autoSpaceDE w:val="0"/>
                    <w:autoSpaceDN w:val="0"/>
                    <w:adjustRightInd w:val="0"/>
                    <w:jc w:val="center"/>
                    <w:rPr>
                      <w:sz w:val="18"/>
                      <w:szCs w:val="18"/>
                    </w:rPr>
                  </w:pPr>
                  <w:r>
                    <w:rPr>
                      <w:sz w:val="18"/>
                      <w:szCs w:val="18"/>
                    </w:rPr>
                    <w:t>淄博与博山县界以北，龙藏洞生态景区以东，青山以南，车峪口村以西</w:t>
                  </w:r>
                </w:p>
              </w:tc>
              <w:tc>
                <w:tcPr>
                  <w:tcW w:w="876" w:type="dxa"/>
                  <w:vAlign w:val="center"/>
                </w:tcPr>
                <w:p>
                  <w:pPr>
                    <w:jc w:val="center"/>
                    <w:rPr>
                      <w:sz w:val="18"/>
                      <w:szCs w:val="18"/>
                    </w:rPr>
                  </w:pPr>
                  <w:r>
                    <w:rPr>
                      <w:sz w:val="18"/>
                      <w:szCs w:val="18"/>
                    </w:rPr>
                    <w:t>12.25</w:t>
                  </w:r>
                  <w:r>
                    <w:rPr>
                      <w:sz w:val="18"/>
                      <w:szCs w:val="18"/>
                      <w:lang w:val="zh-CN"/>
                    </w:rPr>
                    <w:t xml:space="preserve"> km</w:t>
                  </w:r>
                  <w:r>
                    <w:rPr>
                      <w:sz w:val="18"/>
                      <w:szCs w:val="18"/>
                      <w:vertAlign w:val="superscript"/>
                      <w:lang w:val="zh-CN"/>
                    </w:rPr>
                    <w:t>2</w:t>
                  </w:r>
                </w:p>
              </w:tc>
              <w:tc>
                <w:tcPr>
                  <w:tcW w:w="1143" w:type="dxa"/>
                  <w:vAlign w:val="center"/>
                </w:tcPr>
                <w:p>
                  <w:pPr>
                    <w:jc w:val="center"/>
                    <w:rPr>
                      <w:sz w:val="18"/>
                      <w:szCs w:val="18"/>
                    </w:rPr>
                  </w:pPr>
                  <w:r>
                    <w:rPr>
                      <w:sz w:val="18"/>
                      <w:szCs w:val="18"/>
                    </w:rPr>
                    <w:t>土壤保持、生物多样性维护</w:t>
                  </w:r>
                </w:p>
              </w:tc>
              <w:tc>
                <w:tcPr>
                  <w:tcW w:w="1074" w:type="dxa"/>
                  <w:vAlign w:val="center"/>
                </w:tcPr>
                <w:p>
                  <w:pPr>
                    <w:jc w:val="center"/>
                    <w:rPr>
                      <w:sz w:val="18"/>
                      <w:szCs w:val="18"/>
                    </w:rPr>
                  </w:pPr>
                  <w:r>
                    <w:rPr>
                      <w:sz w:val="18"/>
                      <w:szCs w:val="18"/>
                    </w:rPr>
                    <w:t>森林、草地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spacing w:line="240" w:lineRule="exact"/>
                    <w:ind w:right="80" w:rightChars="38"/>
                    <w:jc w:val="center"/>
                    <w:rPr>
                      <w:sz w:val="18"/>
                      <w:szCs w:val="18"/>
                    </w:rPr>
                  </w:pPr>
                  <w:r>
                    <w:rPr>
                      <w:sz w:val="18"/>
                      <w:szCs w:val="18"/>
                    </w:rPr>
                    <w:t>淄川生态公益林北部生物多样性维护生态保护红线区</w:t>
                  </w:r>
                </w:p>
              </w:tc>
              <w:tc>
                <w:tcPr>
                  <w:tcW w:w="1016" w:type="dxa"/>
                  <w:vAlign w:val="center"/>
                </w:tcPr>
                <w:p>
                  <w:pPr>
                    <w:spacing w:line="240" w:lineRule="exact"/>
                    <w:ind w:right="80" w:rightChars="38"/>
                    <w:jc w:val="center"/>
                    <w:rPr>
                      <w:rFonts w:eastAsia="等线"/>
                      <w:sz w:val="18"/>
                      <w:szCs w:val="18"/>
                    </w:rPr>
                  </w:pPr>
                  <w:r>
                    <w:rPr>
                      <w:rFonts w:eastAsia="等线"/>
                      <w:sz w:val="18"/>
                      <w:szCs w:val="18"/>
                    </w:rPr>
                    <w:t>SD-03-B4-05</w:t>
                  </w:r>
                </w:p>
              </w:tc>
              <w:tc>
                <w:tcPr>
                  <w:tcW w:w="2249" w:type="dxa"/>
                  <w:vAlign w:val="center"/>
                </w:tcPr>
                <w:p>
                  <w:pPr>
                    <w:spacing w:line="240" w:lineRule="exact"/>
                    <w:ind w:right="80" w:rightChars="38"/>
                    <w:jc w:val="center"/>
                    <w:rPr>
                      <w:sz w:val="18"/>
                      <w:szCs w:val="18"/>
                    </w:rPr>
                  </w:pPr>
                  <w:r>
                    <w:rPr>
                      <w:sz w:val="18"/>
                      <w:szCs w:val="18"/>
                    </w:rPr>
                    <w:t>鲁泰文化路以东，淄河以北，淄博与潍坊市界以西，淄川与临淄县界以南</w:t>
                  </w:r>
                </w:p>
              </w:tc>
              <w:tc>
                <w:tcPr>
                  <w:tcW w:w="876" w:type="dxa"/>
                  <w:vAlign w:val="center"/>
                </w:tcPr>
                <w:p>
                  <w:pPr>
                    <w:spacing w:line="240" w:lineRule="exact"/>
                    <w:ind w:right="80" w:rightChars="38"/>
                    <w:jc w:val="center"/>
                    <w:rPr>
                      <w:rFonts w:eastAsia="等线"/>
                      <w:sz w:val="18"/>
                      <w:szCs w:val="18"/>
                    </w:rPr>
                  </w:pPr>
                  <w:r>
                    <w:rPr>
                      <w:rFonts w:eastAsia="等线"/>
                      <w:sz w:val="18"/>
                      <w:szCs w:val="18"/>
                    </w:rPr>
                    <w:t>52.86</w:t>
                  </w:r>
                  <w:r>
                    <w:rPr>
                      <w:sz w:val="18"/>
                      <w:szCs w:val="18"/>
                      <w:lang w:val="zh-CN"/>
                    </w:rPr>
                    <w:t>km</w:t>
                  </w:r>
                  <w:r>
                    <w:rPr>
                      <w:sz w:val="18"/>
                      <w:szCs w:val="18"/>
                      <w:vertAlign w:val="superscript"/>
                      <w:lang w:val="zh-CN"/>
                    </w:rPr>
                    <w:t>2</w:t>
                  </w:r>
                </w:p>
              </w:tc>
              <w:tc>
                <w:tcPr>
                  <w:tcW w:w="1143" w:type="dxa"/>
                  <w:vAlign w:val="center"/>
                </w:tcPr>
                <w:p>
                  <w:pPr>
                    <w:spacing w:line="240" w:lineRule="exact"/>
                    <w:ind w:right="80" w:rightChars="38"/>
                    <w:jc w:val="center"/>
                    <w:rPr>
                      <w:sz w:val="18"/>
                      <w:szCs w:val="18"/>
                    </w:rPr>
                  </w:pPr>
                  <w:r>
                    <w:rPr>
                      <w:sz w:val="18"/>
                      <w:szCs w:val="18"/>
                    </w:rPr>
                    <w:t>生物多样性维护、水源涵养</w:t>
                  </w:r>
                </w:p>
              </w:tc>
              <w:tc>
                <w:tcPr>
                  <w:tcW w:w="1074" w:type="dxa"/>
                  <w:vAlign w:val="center"/>
                </w:tcPr>
                <w:p>
                  <w:pPr>
                    <w:spacing w:line="240" w:lineRule="exact"/>
                    <w:ind w:right="80" w:rightChars="38"/>
                    <w:jc w:val="center"/>
                    <w:rPr>
                      <w:kern w:val="0"/>
                      <w:sz w:val="18"/>
                      <w:szCs w:val="18"/>
                    </w:rPr>
                  </w:pPr>
                  <w:r>
                    <w:rPr>
                      <w:kern w:val="0"/>
                      <w:sz w:val="18"/>
                      <w:szCs w:val="18"/>
                    </w:rPr>
                    <w:t>森林、城镇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98" w:type="dxa"/>
                  <w:vAlign w:val="center"/>
                </w:tcPr>
                <w:p>
                  <w:pPr>
                    <w:spacing w:line="240" w:lineRule="exact"/>
                    <w:ind w:right="80" w:rightChars="38"/>
                    <w:jc w:val="center"/>
                    <w:rPr>
                      <w:sz w:val="18"/>
                      <w:szCs w:val="18"/>
                    </w:rPr>
                  </w:pPr>
                  <w:r>
                    <w:rPr>
                      <w:sz w:val="18"/>
                      <w:szCs w:val="18"/>
                    </w:rPr>
                    <w:t>潭溪山-峨庄生物多样性维护生态保护红线区</w:t>
                  </w:r>
                </w:p>
              </w:tc>
              <w:tc>
                <w:tcPr>
                  <w:tcW w:w="1016" w:type="dxa"/>
                  <w:vAlign w:val="center"/>
                </w:tcPr>
                <w:p>
                  <w:pPr>
                    <w:spacing w:line="240" w:lineRule="exact"/>
                    <w:ind w:right="80" w:rightChars="38"/>
                    <w:jc w:val="center"/>
                    <w:rPr>
                      <w:sz w:val="18"/>
                      <w:szCs w:val="18"/>
                    </w:rPr>
                  </w:pPr>
                  <w:r>
                    <w:rPr>
                      <w:sz w:val="18"/>
                      <w:szCs w:val="18"/>
                    </w:rPr>
                    <w:t>SD-03-B4-06</w:t>
                  </w:r>
                </w:p>
              </w:tc>
              <w:tc>
                <w:tcPr>
                  <w:tcW w:w="2249" w:type="dxa"/>
                  <w:vAlign w:val="center"/>
                </w:tcPr>
                <w:p>
                  <w:pPr>
                    <w:spacing w:line="240" w:lineRule="exact"/>
                    <w:ind w:right="80" w:rightChars="38"/>
                    <w:jc w:val="center"/>
                    <w:rPr>
                      <w:sz w:val="18"/>
                      <w:szCs w:val="18"/>
                    </w:rPr>
                  </w:pPr>
                  <w:r>
                    <w:rPr>
                      <w:sz w:val="18"/>
                      <w:szCs w:val="18"/>
                    </w:rPr>
                    <w:t>太河水库以南，三台山以东，S327 省道以北，淄博与潍坊市界以西</w:t>
                  </w:r>
                </w:p>
              </w:tc>
              <w:tc>
                <w:tcPr>
                  <w:tcW w:w="876" w:type="dxa"/>
                  <w:vAlign w:val="center"/>
                </w:tcPr>
                <w:p>
                  <w:pPr>
                    <w:spacing w:line="240" w:lineRule="exact"/>
                    <w:ind w:right="80" w:rightChars="38"/>
                    <w:jc w:val="center"/>
                    <w:rPr>
                      <w:sz w:val="18"/>
                      <w:szCs w:val="18"/>
                    </w:rPr>
                  </w:pPr>
                  <w:r>
                    <w:rPr>
                      <w:sz w:val="18"/>
                      <w:szCs w:val="18"/>
                    </w:rPr>
                    <w:t>158.33</w:t>
                  </w:r>
                  <w:r>
                    <w:rPr>
                      <w:sz w:val="18"/>
                      <w:szCs w:val="18"/>
                      <w:lang w:val="zh-CN"/>
                    </w:rPr>
                    <w:t>km</w:t>
                  </w:r>
                  <w:r>
                    <w:rPr>
                      <w:sz w:val="18"/>
                      <w:szCs w:val="18"/>
                      <w:vertAlign w:val="superscript"/>
                      <w:lang w:val="zh-CN"/>
                    </w:rPr>
                    <w:t>2</w:t>
                  </w:r>
                </w:p>
              </w:tc>
              <w:tc>
                <w:tcPr>
                  <w:tcW w:w="1143" w:type="dxa"/>
                  <w:vAlign w:val="center"/>
                </w:tcPr>
                <w:p>
                  <w:pPr>
                    <w:jc w:val="center"/>
                    <w:rPr>
                      <w:sz w:val="18"/>
                      <w:szCs w:val="18"/>
                    </w:rPr>
                  </w:pPr>
                  <w:r>
                    <w:rPr>
                      <w:sz w:val="18"/>
                      <w:szCs w:val="18"/>
                    </w:rPr>
                    <w:t>生物多样性维护、水源涵养、土壤保持</w:t>
                  </w:r>
                </w:p>
              </w:tc>
              <w:tc>
                <w:tcPr>
                  <w:tcW w:w="1074" w:type="dxa"/>
                  <w:vAlign w:val="center"/>
                </w:tcPr>
                <w:p>
                  <w:pPr>
                    <w:spacing w:line="240" w:lineRule="exact"/>
                    <w:ind w:right="80" w:rightChars="38"/>
                    <w:jc w:val="center"/>
                    <w:rPr>
                      <w:sz w:val="18"/>
                      <w:szCs w:val="18"/>
                    </w:rPr>
                  </w:pPr>
                  <w:r>
                    <w:rPr>
                      <w:sz w:val="18"/>
                      <w:szCs w:val="18"/>
                    </w:rPr>
                    <w:t>森林、城镇</w:t>
                  </w:r>
                </w:p>
              </w:tc>
            </w:tr>
          </w:tbl>
          <w:p>
            <w:pPr>
              <w:autoSpaceDE w:val="0"/>
              <w:autoSpaceDN w:val="0"/>
              <w:adjustRightInd w:val="0"/>
              <w:spacing w:line="420" w:lineRule="exact"/>
              <w:ind w:firstLine="420" w:firstLineChars="200"/>
              <w:rPr>
                <w:bCs/>
              </w:rPr>
            </w:pPr>
            <w:r>
              <w:rPr>
                <w:bCs/>
              </w:rPr>
              <w:t>本项目位于山东省淄博市</w:t>
            </w:r>
            <w:r>
              <w:rPr>
                <w:rFonts w:hint="eastAsia"/>
                <w:bCs/>
                <w:lang w:eastAsia="zh-CN"/>
              </w:rPr>
              <w:t>淄川区双杨镇十里铺村东</w:t>
            </w:r>
            <w:r>
              <w:rPr>
                <w:bCs/>
              </w:rPr>
              <w:t>（中心地理坐标为东经</w:t>
            </w:r>
            <w:r>
              <w:rPr>
                <w:rFonts w:hint="eastAsia"/>
                <w:bCs/>
                <w:lang w:eastAsia="zh-CN"/>
              </w:rPr>
              <w:t>117</w:t>
            </w:r>
            <w:r>
              <w:rPr>
                <w:rFonts w:hint="eastAsia"/>
                <w:bCs/>
                <w:lang w:val="en-US" w:eastAsia="zh-CN"/>
              </w:rPr>
              <w:t>°</w:t>
            </w:r>
            <w:r>
              <w:rPr>
                <w:rFonts w:hint="eastAsia"/>
                <w:bCs/>
                <w:lang w:eastAsia="zh-CN"/>
              </w:rPr>
              <w:t>59′39.211"</w:t>
            </w:r>
            <w:r>
              <w:rPr>
                <w:bCs/>
              </w:rPr>
              <w:t>、北纬</w:t>
            </w:r>
            <w:r>
              <w:rPr>
                <w:rFonts w:hint="eastAsia"/>
                <w:bCs/>
                <w:lang w:eastAsia="zh-CN"/>
              </w:rPr>
              <w:t>36°40′34.003"</w:t>
            </w:r>
            <w:r>
              <w:rPr>
                <w:bCs/>
              </w:rPr>
              <w:t>），不在生态保护红线区内，本项目的建设对该区域生物多样性影响很小，能够符合《山东省生态保护红线规划（2016—2020年）》相关要求。</w:t>
            </w:r>
            <w:r>
              <w:rPr>
                <w:rFonts w:ascii="宋体" w:hAnsi="宋体"/>
                <w:bCs/>
                <w:szCs w:val="21"/>
              </w:rPr>
              <w:t>项目与</w:t>
            </w:r>
            <w:r>
              <w:rPr>
                <w:rFonts w:hint="eastAsia" w:ascii="宋体" w:hAnsi="宋体"/>
                <w:bCs/>
                <w:szCs w:val="21"/>
              </w:rPr>
              <w:t>生态红线的位置关系见图1-</w:t>
            </w:r>
            <w:r>
              <w:rPr>
                <w:rFonts w:ascii="宋体" w:hAnsi="宋体"/>
                <w:bCs/>
                <w:szCs w:val="21"/>
              </w:rPr>
              <w:t>2</w:t>
            </w:r>
            <w:r>
              <w:rPr>
                <w:rFonts w:hint="eastAsia" w:ascii="宋体" w:hAnsi="宋体"/>
                <w:bCs/>
                <w:szCs w:val="21"/>
              </w:rPr>
              <w:t>，与最近的</w:t>
            </w:r>
            <w:bookmarkStart w:id="2" w:name="_Hlk77860625"/>
            <w:r>
              <w:rPr>
                <w:rFonts w:ascii="宋体" w:hAnsi="宋体"/>
                <w:szCs w:val="21"/>
              </w:rPr>
              <w:t>淄川生态公益林北部生物多样性维护生态保护红线区</w:t>
            </w:r>
            <w:bookmarkEnd w:id="2"/>
            <w:r>
              <w:rPr>
                <w:rFonts w:ascii="宋体" w:hAnsi="宋体"/>
                <w:bCs/>
                <w:szCs w:val="21"/>
              </w:rPr>
              <w:t>关系具体见图1</w:t>
            </w:r>
            <w:r>
              <w:rPr>
                <w:rFonts w:hint="eastAsia" w:ascii="宋体" w:hAnsi="宋体"/>
                <w:bCs/>
                <w:szCs w:val="21"/>
              </w:rPr>
              <w:t>-</w:t>
            </w:r>
            <w:r>
              <w:rPr>
                <w:rFonts w:ascii="宋体" w:hAnsi="宋体"/>
                <w:bCs/>
                <w:szCs w:val="21"/>
              </w:rPr>
              <w:t>3。</w:t>
            </w:r>
          </w:p>
          <w:p>
            <w:pPr>
              <w:autoSpaceDE w:val="0"/>
              <w:autoSpaceDN w:val="0"/>
              <w:adjustRightInd w:val="0"/>
              <w:spacing w:line="420" w:lineRule="exact"/>
              <w:ind w:firstLine="420" w:firstLineChars="200"/>
              <w:rPr>
                <w:bCs/>
              </w:rPr>
            </w:pPr>
            <w:r>
              <w:rPr>
                <w:bCs/>
              </w:rPr>
              <w:t>2、资源利用上线</w:t>
            </w:r>
          </w:p>
          <w:p>
            <w:pPr>
              <w:autoSpaceDE w:val="0"/>
              <w:autoSpaceDN w:val="0"/>
              <w:adjustRightInd w:val="0"/>
              <w:spacing w:line="420" w:lineRule="exact"/>
              <w:ind w:firstLine="420" w:firstLineChars="200"/>
              <w:rPr>
                <w:bCs/>
              </w:rPr>
            </w:pPr>
            <w:r>
              <w:rPr>
                <w:bCs/>
              </w:rPr>
              <w:t>自然资源利用上线也称资源利用红线。资源利用上限是指为促进资源能源节约，保障能源、水、土地等资源安全利</w:t>
            </w:r>
            <w:r>
              <w:rPr>
                <w:bCs/>
                <w:highlight w:val="none"/>
              </w:rPr>
              <w:t>用和高效利用的最高和最低要求。</w:t>
            </w:r>
            <w:r>
              <w:rPr>
                <w:bCs/>
                <w:color w:val="auto"/>
                <w:szCs w:val="21"/>
                <w:highlight w:val="none"/>
              </w:rPr>
              <w:t>本项目</w:t>
            </w:r>
            <w:r>
              <w:rPr>
                <w:rFonts w:hint="eastAsia"/>
                <w:bCs/>
                <w:color w:val="auto"/>
                <w:szCs w:val="21"/>
                <w:highlight w:val="none"/>
                <w:lang w:val="en-US" w:eastAsia="zh-CN"/>
              </w:rPr>
              <w:t>总投资600万元，</w:t>
            </w:r>
            <w:r>
              <w:rPr>
                <w:bCs/>
                <w:highlight w:val="none"/>
              </w:rPr>
              <w:t>本项目运营过程中新增消耗水资源</w:t>
            </w:r>
            <w:r>
              <w:rPr>
                <w:rFonts w:hint="eastAsia"/>
                <w:bCs/>
                <w:highlight w:val="none"/>
                <w:lang w:val="en-US" w:eastAsia="zh-CN"/>
              </w:rPr>
              <w:t>300</w:t>
            </w:r>
            <w:r>
              <w:rPr>
                <w:bCs/>
                <w:highlight w:val="none"/>
              </w:rPr>
              <w:t>m</w:t>
            </w:r>
            <w:r>
              <w:rPr>
                <w:bCs/>
                <w:highlight w:val="none"/>
                <w:vertAlign w:val="superscript"/>
              </w:rPr>
              <w:t>3</w:t>
            </w:r>
            <w:r>
              <w:rPr>
                <w:bCs/>
                <w:highlight w:val="none"/>
              </w:rPr>
              <w:t>/a、电力</w:t>
            </w:r>
            <w:r>
              <w:rPr>
                <w:rFonts w:hint="eastAsia"/>
                <w:bCs/>
                <w:highlight w:val="none"/>
                <w:lang w:val="en-US" w:eastAsia="zh-CN"/>
              </w:rPr>
              <w:t>2</w:t>
            </w:r>
            <w:r>
              <w:rPr>
                <w:bCs/>
                <w:highlight w:val="none"/>
              </w:rPr>
              <w:t>0万kWh/a</w:t>
            </w:r>
            <w:r>
              <w:rPr>
                <w:rFonts w:hint="eastAsia"/>
                <w:bCs/>
                <w:highlight w:val="none"/>
                <w:lang w:eastAsia="zh-CN"/>
              </w:rPr>
              <w:t>、液化石油气</w:t>
            </w:r>
            <w:r>
              <w:rPr>
                <w:rFonts w:hint="eastAsia"/>
                <w:bCs/>
                <w:highlight w:val="none"/>
                <w:lang w:val="en-US" w:eastAsia="zh-CN"/>
              </w:rPr>
              <w:t>84t/a，</w:t>
            </w:r>
            <w:r>
              <w:rPr>
                <w:rFonts w:hint="eastAsia"/>
                <w:color w:val="auto"/>
                <w:highlight w:val="none"/>
              </w:rPr>
              <w:t>万元工业增加值新鲜水耗</w:t>
            </w:r>
            <w:r>
              <w:rPr>
                <w:rFonts w:hint="default" w:ascii="Times New Roman" w:hAnsi="Times New Roman" w:cs="Times New Roman"/>
                <w:color w:val="auto"/>
                <w:highlight w:val="none"/>
                <w:lang w:val="en-US" w:eastAsia="zh-CN"/>
              </w:rPr>
              <w:t>为</w:t>
            </w:r>
            <w:r>
              <w:rPr>
                <w:rFonts w:hint="eastAsia" w:cs="Times New Roman"/>
                <w:color w:val="auto"/>
                <w:highlight w:val="none"/>
                <w:lang w:val="en-US" w:eastAsia="zh-CN"/>
              </w:rPr>
              <w:t>0.5</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vertAlign w:val="baseline"/>
                <w:lang w:val="en-US" w:eastAsia="zh-CN"/>
              </w:rPr>
              <w:t>，</w:t>
            </w:r>
            <w:r>
              <w:rPr>
                <w:rFonts w:hint="eastAsia"/>
                <w:color w:val="auto"/>
                <w:highlight w:val="none"/>
                <w:lang w:val="en-US" w:eastAsia="zh-CN"/>
              </w:rPr>
              <w:t>万元工业增加值综合能耗为0.281tce/万元，</w:t>
            </w:r>
            <w:r>
              <w:rPr>
                <w:bCs/>
                <w:color w:val="auto"/>
                <w:szCs w:val="21"/>
                <w:highlight w:val="none"/>
              </w:rPr>
              <w:t>本项目相对区域资源利用总量较少，符合资源利用上限要求</w:t>
            </w:r>
            <w:r>
              <w:rPr>
                <w:rFonts w:hint="eastAsia"/>
                <w:bCs/>
                <w:color w:val="auto"/>
                <w:szCs w:val="21"/>
                <w:highlight w:val="none"/>
                <w:lang w:eastAsia="zh-CN"/>
              </w:rPr>
              <w:t>（</w:t>
            </w:r>
            <w:r>
              <w:rPr>
                <w:rFonts w:hint="eastAsia"/>
                <w:color w:val="auto"/>
                <w:highlight w:val="none"/>
              </w:rPr>
              <w:t>万元工业增加值新鲜水耗</w:t>
            </w:r>
            <w:r>
              <w:rPr>
                <w:rFonts w:hint="default" w:ascii="Times New Roman" w:hAnsi="Times New Roman" w:cs="Times New Roman"/>
                <w:color w:val="auto"/>
                <w:highlight w:val="none"/>
                <w:lang w:val="en-US" w:eastAsia="zh-CN"/>
              </w:rPr>
              <w:t>为≤8m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，万元工业增加值综合能耗为≤0.5tce/万元</w:t>
            </w:r>
            <w:r>
              <w:rPr>
                <w:rFonts w:hint="default" w:ascii="Times New Roman" w:hAnsi="Times New Roman" w:cs="Times New Roman"/>
                <w:bCs/>
                <w:color w:val="auto"/>
                <w:szCs w:val="21"/>
                <w:highlight w:val="none"/>
                <w:lang w:eastAsia="zh-CN"/>
              </w:rPr>
              <w:t>）</w:t>
            </w:r>
            <w:r>
              <w:rPr>
                <w:bCs/>
                <w:highlight w:val="none"/>
              </w:rPr>
              <w:t>。资</w:t>
            </w:r>
            <w:r>
              <w:rPr>
                <w:bCs/>
              </w:rPr>
              <w:t>源消耗量相对区域资源利用总量较少，符合资源利用上限要求。</w:t>
            </w:r>
          </w:p>
          <w:p>
            <w:pPr>
              <w:autoSpaceDE w:val="0"/>
              <w:autoSpaceDN w:val="0"/>
              <w:adjustRightInd w:val="0"/>
              <w:spacing w:line="420" w:lineRule="exact"/>
              <w:ind w:firstLine="420" w:firstLineChars="200"/>
              <w:rPr>
                <w:bCs/>
              </w:rPr>
            </w:pPr>
            <w:r>
              <w:rPr>
                <w:bCs/>
              </w:rPr>
              <w:t>3、环境质量底线</w:t>
            </w:r>
          </w:p>
          <w:p>
            <w:pPr>
              <w:spacing w:line="420" w:lineRule="exact"/>
              <w:ind w:firstLine="420" w:firstLineChars="200"/>
            </w:pPr>
            <w:r>
              <w:rPr>
                <w:bCs/>
              </w:rPr>
              <w:t>环境质量底线是指国家和地方设置的大气、水和土壤环境质量目标，也是改善环境质量的基准线。本项目所在地淄川区环境空气不满足</w:t>
            </w:r>
            <w:r>
              <w:t>《环境空气质量标准》（GB3095-2012）及修改单中的二级标准</w:t>
            </w:r>
            <w:r>
              <w:rPr>
                <w:bCs/>
              </w:rPr>
              <w:t>，声环境质量满足</w:t>
            </w:r>
            <w:r>
              <w:t>《声环境质量标准》（GB3096-2008）中的2类区标准，</w:t>
            </w:r>
            <w:r>
              <w:rPr>
                <w:bCs/>
              </w:rPr>
              <w:t>地表水质量满足</w:t>
            </w:r>
            <w:r>
              <w:t>《地表水环境质量标准》（GB3838-2002）中</w:t>
            </w:r>
            <w:r>
              <w:rPr>
                <w:lang w:eastAsia="ja-JP"/>
              </w:rPr>
              <w:t>V</w:t>
            </w:r>
            <w:r>
              <w:t>类标准</w:t>
            </w:r>
            <w:r>
              <w:rPr>
                <w:bCs/>
              </w:rPr>
              <w:t>；地下水满足</w:t>
            </w:r>
            <w:r>
              <w:t>《地下水质量标准》（GB/T14848-2017）Ⅲ类标准。</w:t>
            </w:r>
          </w:p>
          <w:p>
            <w:pPr>
              <w:spacing w:line="420" w:lineRule="exact"/>
              <w:ind w:firstLine="420" w:firstLineChars="200"/>
              <w:jc w:val="left"/>
              <w:rPr>
                <w:bCs/>
                <w:color w:val="auto"/>
              </w:rPr>
            </w:pPr>
            <w:r>
              <w:rPr>
                <w:bCs/>
              </w:rPr>
              <w:t>4、</w:t>
            </w:r>
            <w:r>
              <w:rPr>
                <w:bCs/>
                <w:color w:val="auto"/>
              </w:rPr>
              <w:t>生态环境准入清单</w:t>
            </w:r>
          </w:p>
          <w:p>
            <w:pPr>
              <w:autoSpaceDE w:val="0"/>
              <w:autoSpaceDN w:val="0"/>
              <w:adjustRightInd w:val="0"/>
              <w:snapToGrid w:val="0"/>
              <w:spacing w:line="420" w:lineRule="exact"/>
              <w:ind w:firstLine="420" w:firstLineChars="200"/>
              <w:rPr>
                <w:bCs/>
                <w:color w:val="auto"/>
              </w:rPr>
            </w:pPr>
            <w:r>
              <w:rPr>
                <w:rFonts w:hint="default" w:ascii="Times New Roman" w:hAnsi="Times New Roman" w:cs="Times New Roman"/>
                <w:kern w:val="0"/>
                <w:szCs w:val="21"/>
                <w:lang w:val="zh-CN"/>
              </w:rPr>
              <w:t>根据</w:t>
            </w:r>
            <w:r>
              <w:rPr>
                <w:bCs/>
                <w:color w:val="auto"/>
              </w:rPr>
              <w:t>《淄博市“三线一单”生态环境准入清单（动态更新版）》</w:t>
            </w:r>
            <w:r>
              <w:rPr>
                <w:rFonts w:hint="default" w:ascii="Times New Roman" w:hAnsi="Times New Roman" w:cs="Times New Roman"/>
                <w:kern w:val="0"/>
                <w:szCs w:val="21"/>
                <w:lang w:val="zh-CN"/>
              </w:rPr>
              <w:t>，双杨镇环境控制单元编码</w:t>
            </w:r>
            <w:r>
              <w:rPr>
                <w:rFonts w:hint="default" w:ascii="Times New Roman" w:hAnsi="Times New Roman" w:cs="Times New Roman"/>
                <w:kern w:val="0"/>
                <w:szCs w:val="21"/>
                <w:lang w:bidi="ar"/>
              </w:rPr>
              <w:t>ZH37030220003</w:t>
            </w:r>
            <w:r>
              <w:rPr>
                <w:rFonts w:hint="default" w:ascii="Times New Roman" w:hAnsi="Times New Roman" w:cs="Times New Roman"/>
                <w:kern w:val="0"/>
                <w:szCs w:val="21"/>
                <w:lang w:val="zh-CN"/>
              </w:rPr>
              <w:t>，属于“重点管控单元”</w:t>
            </w:r>
            <w:r>
              <w:rPr>
                <w:rFonts w:hint="eastAsia"/>
                <w:bCs/>
                <w:color w:val="auto"/>
              </w:rPr>
              <w:t>，</w:t>
            </w:r>
            <w:r>
              <w:rPr>
                <w:bCs/>
                <w:color w:val="auto"/>
              </w:rPr>
              <w:t>生态环境准入清单要求见下表：</w:t>
            </w:r>
          </w:p>
          <w:p>
            <w:pPr>
              <w:jc w:val="center"/>
              <w:rPr>
                <w:b/>
                <w:bCs/>
                <w:szCs w:val="24"/>
              </w:rPr>
            </w:pPr>
            <w:r>
              <w:rPr>
                <w:b/>
                <w:bCs/>
                <w:szCs w:val="24"/>
              </w:rPr>
              <w:t>表1-</w:t>
            </w:r>
            <w:r>
              <w:rPr>
                <w:rFonts w:hint="eastAsia"/>
                <w:b/>
                <w:bCs/>
                <w:szCs w:val="24"/>
                <w:lang w:val="en-US" w:eastAsia="zh-CN"/>
              </w:rPr>
              <w:t>6</w:t>
            </w:r>
            <w:r>
              <w:rPr>
                <w:b/>
                <w:bCs/>
                <w:szCs w:val="24"/>
              </w:rPr>
              <w:t xml:space="preserve"> 生态环境准入清单要求</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81"/>
              <w:gridCol w:w="488"/>
              <w:gridCol w:w="7"/>
              <w:gridCol w:w="3463"/>
              <w:gridCol w:w="2971"/>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序号</w:t>
                  </w:r>
                </w:p>
              </w:tc>
              <w:tc>
                <w:tcPr>
                  <w:tcW w:w="3958" w:type="dxa"/>
                  <w:gridSpan w:val="3"/>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管控要求</w:t>
                  </w:r>
                </w:p>
              </w:tc>
              <w:tc>
                <w:tcPr>
                  <w:tcW w:w="2971"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符合性分析</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1</w:t>
                  </w:r>
                </w:p>
              </w:tc>
              <w:tc>
                <w:tcPr>
                  <w:tcW w:w="495" w:type="dxa"/>
                  <w:gridSpan w:val="2"/>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空间布局约束</w:t>
                  </w:r>
                </w:p>
              </w:tc>
              <w:tc>
                <w:tcPr>
                  <w:tcW w:w="3463" w:type="dxa"/>
                  <w:noWrap w:val="0"/>
                  <w:vAlign w:val="center"/>
                </w:tcPr>
                <w:p>
                  <w:pPr>
                    <w:spacing w:line="240" w:lineRule="exact"/>
                    <w:rPr>
                      <w:rFonts w:hint="eastAsia" w:ascii="宋体" w:hAnsi="宋体"/>
                      <w:sz w:val="18"/>
                      <w:szCs w:val="18"/>
                      <w:lang w:val="zh-CN"/>
                    </w:rPr>
                  </w:pPr>
                  <w:r>
                    <w:rPr>
                      <w:rFonts w:hint="eastAsia" w:ascii="宋体" w:hAnsi="宋体" w:cs="宋体"/>
                      <w:kern w:val="0"/>
                      <w:sz w:val="18"/>
                      <w:szCs w:val="18"/>
                      <w:lang w:val="en-US" w:eastAsia="zh-CN" w:bidi="ar"/>
                    </w:rPr>
                    <w:t>1.</w:t>
                  </w:r>
                  <w:r>
                    <w:rPr>
                      <w:rFonts w:hint="eastAsia" w:ascii="宋体" w:hAnsi="宋体" w:cs="宋体"/>
                      <w:kern w:val="0"/>
                      <w:sz w:val="18"/>
                      <w:szCs w:val="18"/>
                      <w:lang w:bidi="ar"/>
                    </w:rPr>
                    <w:t>禁止新建、扩建《产业结构调整指导目录》（现行）明确的淘汰类项目和引入《市场准入负面清单》（现行）禁止准入类事项；鼓励对列入《产业结构调整指导目录》的限制类、淘汰类工业项目进行淘汰和提升改造。</w:t>
                  </w:r>
                </w:p>
              </w:tc>
              <w:tc>
                <w:tcPr>
                  <w:tcW w:w="2971" w:type="dxa"/>
                  <w:noWrap w:val="0"/>
                  <w:vAlign w:val="center"/>
                </w:tcPr>
                <w:p>
                  <w:pPr>
                    <w:spacing w:line="240" w:lineRule="exact"/>
                    <w:rPr>
                      <w:rFonts w:hint="eastAsia" w:ascii="宋体" w:hAnsi="宋体" w:eastAsia="宋体"/>
                      <w:sz w:val="18"/>
                      <w:szCs w:val="18"/>
                      <w:lang w:val="zh-CN" w:eastAsia="zh-CN"/>
                    </w:rPr>
                  </w:pPr>
                  <w:r>
                    <w:rPr>
                      <w:rFonts w:hint="eastAsia" w:ascii="宋体" w:hAnsi="宋体"/>
                      <w:sz w:val="18"/>
                      <w:szCs w:val="18"/>
                      <w:lang w:val="zh-CN"/>
                    </w:rPr>
                    <w:t>本项目不属于</w:t>
                  </w:r>
                  <w:r>
                    <w:rPr>
                      <w:rFonts w:hint="eastAsia" w:ascii="宋体" w:hAnsi="宋体" w:cs="宋体"/>
                      <w:kern w:val="0"/>
                      <w:sz w:val="18"/>
                      <w:szCs w:val="18"/>
                      <w:lang w:bidi="ar"/>
                    </w:rPr>
                    <w:t>《产业结构调整指导目录》（现行）明确的淘汰类项目和引入《市场准入负面清单》（现行）禁止准入类事项，本项目已经申请山东省建设项目备案证明，项目代码</w:t>
                  </w:r>
                  <w:r>
                    <w:rPr>
                      <w:rFonts w:hint="default" w:ascii="Times New Roman" w:hAnsi="Times New Roman" w:cs="Times New Roman"/>
                      <w:kern w:val="0"/>
                      <w:sz w:val="18"/>
                      <w:szCs w:val="18"/>
                      <w:lang w:bidi="ar"/>
                    </w:rPr>
                    <w:t>：</w:t>
                  </w:r>
                  <w:r>
                    <w:rPr>
                      <w:rFonts w:hint="default" w:ascii="Times New Roman" w:hAnsi="Times New Roman" w:cs="Times New Roman"/>
                      <w:kern w:val="0"/>
                      <w:sz w:val="18"/>
                      <w:szCs w:val="18"/>
                      <w:lang w:eastAsia="zh-CN" w:bidi="ar"/>
                    </w:rPr>
                    <w:t>2303-370302-89-02-393903</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en-US" w:eastAsia="zh-CN"/>
                    </w:rPr>
                    <w:t>2.</w:t>
                  </w:r>
                  <w:r>
                    <w:rPr>
                      <w:rFonts w:hint="eastAsia" w:ascii="宋体" w:hAnsi="宋体"/>
                      <w:sz w:val="18"/>
                      <w:szCs w:val="18"/>
                      <w:lang w:val="zh-CN"/>
                    </w:rPr>
                    <w:t>按《土壤污染防治行动计划》的要求管理：严格控制在优先保护类耕地集中区域新建有色金属冶炼、石油加工、化工、焦化、电镀、制革等行业企业。对永久基本农田实行严格保护，确保其面积不减少、土壤环境质量不下降，除法律规定的重点建设项目选址确实无法避让外，其他任何建设不得占用。</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本项目属于</w:t>
                  </w:r>
                  <w:r>
                    <w:rPr>
                      <w:sz w:val="18"/>
                      <w:szCs w:val="18"/>
                    </w:rPr>
                    <w:t>C</w:t>
                  </w:r>
                  <w:r>
                    <w:rPr>
                      <w:rFonts w:hint="eastAsia"/>
                      <w:sz w:val="18"/>
                      <w:szCs w:val="18"/>
                      <w:lang w:val="en-US" w:eastAsia="zh-CN"/>
                    </w:rPr>
                    <w:t>2231纸和纸板容器制造</w:t>
                  </w:r>
                  <w:r>
                    <w:rPr>
                      <w:rFonts w:hint="eastAsia" w:ascii="宋体" w:hAnsi="宋体"/>
                      <w:sz w:val="18"/>
                      <w:szCs w:val="18"/>
                      <w:lang w:val="zh-CN"/>
                    </w:rPr>
                    <w:t>，不属于新建有色金属冶炼、石油加工、化工、焦化、电镀、制革等行业企业。本项目租赁已建成车间进行生产，不涉及永久基本农田。</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en-US" w:eastAsia="zh-CN"/>
                    </w:rPr>
                    <w:t>3.</w:t>
                  </w:r>
                  <w:r>
                    <w:rPr>
                      <w:rFonts w:hint="eastAsia" w:ascii="宋体" w:hAnsi="宋体"/>
                      <w:sz w:val="18"/>
                      <w:szCs w:val="18"/>
                      <w:lang w:val="zh-CN"/>
                    </w:rPr>
                    <w:t>污水处理设施不健全、未正常运行或污水管网未覆盖的地区，未配套污水处理设施的项目不得建设。</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w:t>
                  </w:r>
                  <w:r>
                    <w:rPr>
                      <w:rFonts w:hint="eastAsia" w:ascii="宋体" w:hAnsi="宋体"/>
                      <w:sz w:val="18"/>
                      <w:szCs w:val="18"/>
                      <w:highlight w:val="none"/>
                      <w:lang w:val="zh-CN"/>
                    </w:rPr>
                    <w:t>生产过程无废水产生。</w:t>
                  </w:r>
                  <w:r>
                    <w:rPr>
                      <w:rFonts w:hint="eastAsia" w:ascii="宋体" w:hAnsi="宋体"/>
                      <w:sz w:val="18"/>
                      <w:szCs w:val="18"/>
                      <w:lang w:val="zh-CN"/>
                    </w:rPr>
                    <w:t>生活污水经化粪池收集预处理经环卫部门定期清运。</w:t>
                  </w:r>
                </w:p>
              </w:tc>
              <w:tc>
                <w:tcPr>
                  <w:tcW w:w="842" w:type="dxa"/>
                  <w:noWrap w:val="0"/>
                  <w:vAlign w:val="center"/>
                </w:tcPr>
                <w:p>
                  <w:pPr>
                    <w:spacing w:line="240" w:lineRule="exact"/>
                    <w:jc w:val="center"/>
                    <w:rPr>
                      <w:rFonts w:ascii="宋体" w:hAnsi="宋体"/>
                      <w:sz w:val="18"/>
                      <w:szCs w:val="18"/>
                      <w:lang w:val="zh-CN"/>
                    </w:rPr>
                  </w:pPr>
                  <w:r>
                    <w:rPr>
                      <w:rFonts w:hint="eastAsia" w:ascii="宋体" w:hAnsi="宋体"/>
                      <w:sz w:val="18"/>
                      <w:szCs w:val="18"/>
                      <w:lang w:val="zh-CN"/>
                    </w:rPr>
                    <w:t>满足</w:t>
                  </w:r>
                </w:p>
                <w:p>
                  <w:pPr>
                    <w:pStyle w:val="2"/>
                    <w:spacing w:after="0" w:line="240" w:lineRule="exact"/>
                    <w:ind w:left="0" w:leftChars="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eastAsia="宋体" w:cs="Times New Roman"/>
                      <w:sz w:val="18"/>
                      <w:szCs w:val="18"/>
                      <w:lang w:val="zh-CN"/>
                    </w:rPr>
                  </w:pPr>
                  <w:r>
                    <w:rPr>
                      <w:rFonts w:hint="default" w:ascii="宋体" w:hAnsi="宋体" w:eastAsia="宋体" w:cs="Times New Roman"/>
                      <w:sz w:val="18"/>
                      <w:szCs w:val="18"/>
                      <w:lang w:val="en-US" w:eastAsia="zh-CN"/>
                    </w:rPr>
                    <w:t>4.新建有污染物排放的工业项目，除在安全生产等方面有特殊要求的以外，应当进入工业园区或工业聚集区。</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本项目位于</w:t>
                  </w:r>
                  <w:r>
                    <w:rPr>
                      <w:rFonts w:hint="eastAsia"/>
                      <w:sz w:val="18"/>
                      <w:szCs w:val="18"/>
                      <w:lang w:eastAsia="zh-CN"/>
                    </w:rPr>
                    <w:t>淄川区双杨镇工业集聚区</w:t>
                  </w:r>
                  <w:r>
                    <w:rPr>
                      <w:sz w:val="18"/>
                      <w:szCs w:val="18"/>
                    </w:rPr>
                    <w:t>范围内</w:t>
                  </w:r>
                </w:p>
              </w:tc>
              <w:tc>
                <w:tcPr>
                  <w:tcW w:w="842" w:type="dxa"/>
                  <w:noWrap w:val="0"/>
                  <w:vAlign w:val="center"/>
                </w:tcPr>
                <w:p>
                  <w:pPr>
                    <w:pStyle w:val="2"/>
                    <w:spacing w:after="0" w:line="240" w:lineRule="exact"/>
                    <w:ind w:left="0" w:leftChars="0" w:firstLine="0" w:firstLineChars="0"/>
                    <w:jc w:val="center"/>
                    <w:rPr>
                      <w:rFonts w:hint="eastAsia" w:ascii="宋体" w:hAnsi="宋体" w:eastAsia="宋体" w:cs="Times New Roman"/>
                      <w:kern w:val="2"/>
                      <w:sz w:val="18"/>
                      <w:szCs w:val="18"/>
                      <w:lang w:val="zh-CN" w:eastAsia="zh-CN" w:bidi="ar-SA"/>
                    </w:rPr>
                  </w:pPr>
                  <w:r>
                    <w:rPr>
                      <w:rFonts w:hint="eastAsia" w:ascii="宋体" w:hAnsi="宋体" w:eastAsia="宋体" w:cs="Times New Roman"/>
                      <w:kern w:val="2"/>
                      <w:sz w:val="18"/>
                      <w:szCs w:val="18"/>
                      <w:lang w:val="zh-CN" w:eastAsia="zh-CN" w:bidi="ar-SA"/>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eastAsia="宋体" w:cs="Times New Roman"/>
                      <w:sz w:val="18"/>
                      <w:szCs w:val="18"/>
                      <w:lang w:val="zh-CN"/>
                    </w:rPr>
                  </w:pPr>
                  <w:r>
                    <w:rPr>
                      <w:rFonts w:hint="default" w:ascii="宋体" w:hAnsi="宋体" w:eastAsia="宋体" w:cs="Times New Roman"/>
                      <w:sz w:val="18"/>
                      <w:szCs w:val="18"/>
                      <w:lang w:val="en-US" w:eastAsia="zh-CN"/>
                    </w:rPr>
                    <w:t>5.按照省市要求，严格控制“两高”项目，新建“两高”项目实行“五个减量替代”。</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本项目不属于两高项目</w:t>
                  </w:r>
                </w:p>
              </w:tc>
              <w:tc>
                <w:tcPr>
                  <w:tcW w:w="842" w:type="dxa"/>
                  <w:noWrap w:val="0"/>
                  <w:vAlign w:val="center"/>
                </w:tcPr>
                <w:p>
                  <w:pPr>
                    <w:pStyle w:val="2"/>
                    <w:spacing w:after="0" w:line="240" w:lineRule="exact"/>
                    <w:ind w:left="0" w:leftChars="0" w:firstLine="0" w:firstLineChars="0"/>
                    <w:jc w:val="center"/>
                    <w:rPr>
                      <w:rFonts w:hint="eastAsia" w:ascii="宋体" w:hAnsi="宋体" w:eastAsia="宋体" w:cs="Times New Roman"/>
                      <w:kern w:val="2"/>
                      <w:sz w:val="18"/>
                      <w:szCs w:val="18"/>
                      <w:lang w:val="zh-CN" w:eastAsia="zh-CN" w:bidi="ar-SA"/>
                    </w:rPr>
                  </w:pPr>
                  <w:r>
                    <w:rPr>
                      <w:rFonts w:hint="eastAsia" w:ascii="宋体" w:hAnsi="宋体" w:eastAsia="宋体" w:cs="Times New Roman"/>
                      <w:kern w:val="2"/>
                      <w:sz w:val="18"/>
                      <w:szCs w:val="18"/>
                      <w:lang w:val="zh-CN" w:eastAsia="zh-CN" w:bidi="ar-SA"/>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2</w:t>
                  </w:r>
                </w:p>
              </w:tc>
              <w:tc>
                <w:tcPr>
                  <w:tcW w:w="488"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污染物排放管控</w:t>
                  </w:r>
                </w:p>
              </w:tc>
              <w:tc>
                <w:tcPr>
                  <w:tcW w:w="3470" w:type="dxa"/>
                  <w:gridSpan w:val="2"/>
                  <w:noWrap w:val="0"/>
                  <w:vAlign w:val="center"/>
                </w:tcPr>
                <w:p>
                  <w:pPr>
                    <w:spacing w:line="240" w:lineRule="exact"/>
                    <w:rPr>
                      <w:rFonts w:hint="eastAsia" w:ascii="宋体" w:hAnsi="宋体" w:eastAsia="宋体" w:cs="Times New Roman"/>
                      <w:sz w:val="18"/>
                      <w:szCs w:val="18"/>
                      <w:lang w:val="zh-CN"/>
                    </w:rPr>
                  </w:pPr>
                  <w:r>
                    <w:rPr>
                      <w:rFonts w:hint="eastAsia" w:ascii="宋体" w:hAnsi="宋体" w:eastAsia="宋体" w:cs="Times New Roman"/>
                      <w:sz w:val="18"/>
                      <w:szCs w:val="18"/>
                      <w:lang w:val="en-US" w:eastAsia="zh-CN"/>
                    </w:rPr>
                    <w:t>1.</w:t>
                  </w:r>
                  <w:r>
                    <w:rPr>
                      <w:rFonts w:hint="default" w:ascii="宋体" w:hAnsi="宋体" w:eastAsia="宋体" w:cs="Times New Roman"/>
                      <w:sz w:val="18"/>
                      <w:szCs w:val="18"/>
                      <w:lang w:val="en-US" w:eastAsia="zh-CN"/>
                    </w:rPr>
                    <w:t>涉“两高”项目企业应当积极实施节能改造提升，提高能源使用效率，推进节能减排。</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根据</w:t>
                  </w:r>
                  <w:r>
                    <w:rPr>
                      <w:sz w:val="18"/>
                      <w:szCs w:val="18"/>
                    </w:rPr>
                    <w:t>《山东省“两高”项目管理目录》（202</w:t>
                  </w:r>
                  <w:r>
                    <w:rPr>
                      <w:rFonts w:hint="eastAsia"/>
                      <w:sz w:val="18"/>
                      <w:szCs w:val="18"/>
                      <w:lang w:val="en-US" w:eastAsia="zh-CN"/>
                    </w:rPr>
                    <w:t>3</w:t>
                  </w:r>
                  <w:r>
                    <w:rPr>
                      <w:sz w:val="18"/>
                      <w:szCs w:val="18"/>
                    </w:rPr>
                    <w:t>年版）</w:t>
                  </w:r>
                  <w:r>
                    <w:rPr>
                      <w:rFonts w:hint="eastAsia" w:ascii="宋体" w:hAnsi="宋体"/>
                      <w:sz w:val="18"/>
                      <w:szCs w:val="18"/>
                      <w:lang w:val="zh-CN"/>
                    </w:rPr>
                    <w:t>，本项目不属于“两高”行业。</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88" w:type="dxa"/>
                  <w:vMerge w:val="continue"/>
                  <w:noWrap w:val="0"/>
                  <w:vAlign w:val="center"/>
                </w:tcPr>
                <w:p>
                  <w:pPr>
                    <w:spacing w:line="240" w:lineRule="exact"/>
                    <w:jc w:val="center"/>
                    <w:rPr>
                      <w:rFonts w:hint="eastAsia" w:ascii="宋体" w:hAnsi="宋体"/>
                      <w:sz w:val="18"/>
                      <w:szCs w:val="18"/>
                      <w:lang w:val="zh-CN"/>
                    </w:rPr>
                  </w:pPr>
                </w:p>
              </w:tc>
              <w:tc>
                <w:tcPr>
                  <w:tcW w:w="3470" w:type="dxa"/>
                  <w:gridSpan w:val="2"/>
                  <w:noWrap w:val="0"/>
                  <w:vAlign w:val="center"/>
                </w:tcPr>
                <w:p>
                  <w:pPr>
                    <w:spacing w:line="240" w:lineRule="exact"/>
                    <w:rPr>
                      <w:rFonts w:hint="eastAsia" w:ascii="宋体" w:hAnsi="宋体" w:eastAsia="宋体" w:cs="Times New Roman"/>
                      <w:sz w:val="18"/>
                      <w:szCs w:val="18"/>
                      <w:lang w:val="zh-CN"/>
                    </w:rPr>
                  </w:pPr>
                  <w:r>
                    <w:rPr>
                      <w:rFonts w:hint="default" w:ascii="宋体" w:hAnsi="宋体" w:eastAsia="宋体" w:cs="Times New Roman"/>
                      <w:sz w:val="18"/>
                      <w:szCs w:val="18"/>
                      <w:lang w:val="en-US" w:eastAsia="zh-CN"/>
                    </w:rPr>
                    <w:t>2.落实主要污染物总量替代要求，按照山东省生态环境厅《关于印发山东省建设项目主要大气污染物排放总量替代指标核算及管理办法的通知》，实施动态管控替代。</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本项目属于新建项目，目前处于环评阶段，本项目将按照淄环函〔2021〕55号要求落实污染物总量控制和倍量替代要求。</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88" w:type="dxa"/>
                  <w:vMerge w:val="continue"/>
                  <w:noWrap w:val="0"/>
                  <w:vAlign w:val="center"/>
                </w:tcPr>
                <w:p>
                  <w:pPr>
                    <w:spacing w:line="240" w:lineRule="exact"/>
                    <w:jc w:val="center"/>
                    <w:rPr>
                      <w:rFonts w:hint="eastAsia" w:ascii="宋体" w:hAnsi="宋体"/>
                      <w:sz w:val="18"/>
                      <w:szCs w:val="18"/>
                      <w:lang w:val="zh-CN"/>
                    </w:rPr>
                  </w:pPr>
                </w:p>
              </w:tc>
              <w:tc>
                <w:tcPr>
                  <w:tcW w:w="3470" w:type="dxa"/>
                  <w:gridSpan w:val="2"/>
                  <w:noWrap w:val="0"/>
                  <w:vAlign w:val="center"/>
                </w:tcPr>
                <w:p>
                  <w:pPr>
                    <w:spacing w:line="240" w:lineRule="exact"/>
                    <w:rPr>
                      <w:rFonts w:hint="eastAsia" w:ascii="宋体" w:hAnsi="宋体"/>
                      <w:sz w:val="18"/>
                      <w:szCs w:val="18"/>
                      <w:lang w:val="zh-CN"/>
                    </w:rPr>
                  </w:pPr>
                  <w:r>
                    <w:rPr>
                      <w:rFonts w:hint="eastAsia" w:ascii="宋体" w:hAnsi="宋体"/>
                      <w:sz w:val="18"/>
                      <w:szCs w:val="18"/>
                      <w:lang w:val="en-US" w:eastAsia="zh-CN"/>
                    </w:rPr>
                    <w:t>3.</w:t>
                  </w:r>
                  <w:r>
                    <w:rPr>
                      <w:rFonts w:hint="eastAsia" w:ascii="宋体" w:hAnsi="宋体"/>
                      <w:sz w:val="18"/>
                      <w:szCs w:val="18"/>
                      <w:lang w:val="zh-CN"/>
                    </w:rPr>
                    <w:t>废水应当按照分类收集、分质处理的要求进行预处理，达到行业排放标准或是综合排放标准后方可排放。</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w:t>
                  </w:r>
                  <w:r>
                    <w:rPr>
                      <w:rFonts w:hint="eastAsia" w:ascii="宋体" w:hAnsi="宋体"/>
                      <w:sz w:val="18"/>
                      <w:szCs w:val="18"/>
                      <w:highlight w:val="none"/>
                      <w:lang w:val="zh-CN"/>
                    </w:rPr>
                    <w:t>不产生生产废水，生活污水经化粪池预处理后由环卫部门定期清运。</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88" w:type="dxa"/>
                  <w:vMerge w:val="continue"/>
                  <w:noWrap w:val="0"/>
                  <w:vAlign w:val="center"/>
                </w:tcPr>
                <w:p>
                  <w:pPr>
                    <w:spacing w:line="240" w:lineRule="exact"/>
                    <w:jc w:val="center"/>
                    <w:rPr>
                      <w:rFonts w:hint="eastAsia" w:ascii="宋体" w:hAnsi="宋体"/>
                      <w:sz w:val="18"/>
                      <w:szCs w:val="18"/>
                      <w:lang w:val="zh-CN"/>
                    </w:rPr>
                  </w:pPr>
                </w:p>
              </w:tc>
              <w:tc>
                <w:tcPr>
                  <w:tcW w:w="3470" w:type="dxa"/>
                  <w:gridSpan w:val="2"/>
                  <w:noWrap w:val="0"/>
                  <w:vAlign w:val="center"/>
                </w:tcPr>
                <w:p>
                  <w:pPr>
                    <w:spacing w:line="240" w:lineRule="exact"/>
                    <w:rPr>
                      <w:rFonts w:hint="eastAsia" w:ascii="宋体" w:hAnsi="宋体"/>
                      <w:sz w:val="18"/>
                      <w:szCs w:val="18"/>
                      <w:lang w:val="zh-CN"/>
                    </w:rPr>
                  </w:pPr>
                  <w:r>
                    <w:rPr>
                      <w:rFonts w:hint="eastAsia" w:ascii="宋体" w:hAnsi="宋体"/>
                      <w:sz w:val="18"/>
                      <w:szCs w:val="18"/>
                      <w:lang w:val="en-US" w:eastAsia="zh-CN"/>
                    </w:rPr>
                    <w:t>4.</w:t>
                  </w:r>
                  <w:r>
                    <w:rPr>
                      <w:rFonts w:hint="eastAsia" w:ascii="宋体" w:hAnsi="宋体"/>
                      <w:sz w:val="18"/>
                      <w:szCs w:val="18"/>
                      <w:lang w:val="zh-CN"/>
                    </w:rPr>
                    <w:t>禁止工业废水和生活污水未经处理直排环境；原则上除工业污水集中处理设施、城镇污水处理厂外不得新建入河排污口。</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w:t>
                  </w:r>
                  <w:r>
                    <w:rPr>
                      <w:rFonts w:hint="eastAsia" w:ascii="宋体" w:hAnsi="宋体"/>
                      <w:sz w:val="18"/>
                      <w:szCs w:val="18"/>
                      <w:highlight w:val="none"/>
                      <w:lang w:val="zh-CN"/>
                    </w:rPr>
                    <w:t>不产生生产废水，生活污水经化粪池预处理后由环卫部门定期清运。本项目废水不直接外排环境，不新建排污口。</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88" w:type="dxa"/>
                  <w:vMerge w:val="continue"/>
                  <w:noWrap w:val="0"/>
                  <w:vAlign w:val="center"/>
                </w:tcPr>
                <w:p>
                  <w:pPr>
                    <w:spacing w:line="240" w:lineRule="exact"/>
                    <w:jc w:val="center"/>
                    <w:rPr>
                      <w:rFonts w:hint="eastAsia" w:ascii="宋体" w:hAnsi="宋体"/>
                      <w:sz w:val="18"/>
                      <w:szCs w:val="18"/>
                      <w:lang w:val="zh-CN"/>
                    </w:rPr>
                  </w:pPr>
                </w:p>
              </w:tc>
              <w:tc>
                <w:tcPr>
                  <w:tcW w:w="3470" w:type="dxa"/>
                  <w:gridSpan w:val="2"/>
                  <w:noWrap w:val="0"/>
                  <w:vAlign w:val="center"/>
                </w:tcPr>
                <w:p>
                  <w:pPr>
                    <w:spacing w:line="240" w:lineRule="exact"/>
                    <w:rPr>
                      <w:rFonts w:hint="eastAsia" w:ascii="宋体" w:hAnsi="宋体"/>
                      <w:sz w:val="18"/>
                      <w:szCs w:val="18"/>
                      <w:lang w:val="zh-CN"/>
                    </w:rPr>
                  </w:pPr>
                  <w:r>
                    <w:rPr>
                      <w:rFonts w:hint="eastAsia" w:ascii="宋体" w:hAnsi="宋体" w:cs="宋体"/>
                      <w:sz w:val="18"/>
                      <w:szCs w:val="18"/>
                      <w:lang w:val="en-US" w:eastAsia="zh-CN"/>
                    </w:rPr>
                    <w:t>5.</w:t>
                  </w:r>
                  <w:r>
                    <w:rPr>
                      <w:rFonts w:hint="eastAsia" w:ascii="宋体" w:hAnsi="宋体" w:cs="宋体"/>
                      <w:sz w:val="18"/>
                      <w:szCs w:val="18"/>
                    </w:rPr>
                    <w:t>造纸、制药、玻璃、陶瓷、化工、包装印刷、表面涂装、建材、塑料加工等严格按照淄博市行业环境管控要求，实施源头替代，建立健全治理设施，确保污染物稳定达标排放，做到持证排污。</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w:t>
                  </w:r>
                  <w:r>
                    <w:rPr>
                      <w:rFonts w:hint="eastAsia" w:ascii="宋体" w:hAnsi="宋体" w:cs="宋体"/>
                      <w:sz w:val="18"/>
                      <w:szCs w:val="18"/>
                    </w:rPr>
                    <w:t>严格按照淄博市行业环境管控要求，建立健全治理设施，</w:t>
                  </w:r>
                  <w:r>
                    <w:rPr>
                      <w:rFonts w:hint="eastAsia" w:ascii="宋体" w:hAnsi="宋体" w:cs="宋体"/>
                      <w:sz w:val="18"/>
                      <w:szCs w:val="18"/>
                      <w:lang w:eastAsia="zh-CN"/>
                    </w:rPr>
                    <w:t>确保污染物稳定达标排放，项目产生实际排污前，取得排污许可手续。</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88" w:type="dxa"/>
                  <w:vMerge w:val="continue"/>
                  <w:noWrap w:val="0"/>
                  <w:vAlign w:val="center"/>
                </w:tcPr>
                <w:p>
                  <w:pPr>
                    <w:spacing w:line="240" w:lineRule="exact"/>
                    <w:jc w:val="center"/>
                    <w:rPr>
                      <w:rFonts w:hint="eastAsia" w:ascii="宋体" w:hAnsi="宋体"/>
                      <w:sz w:val="18"/>
                      <w:szCs w:val="18"/>
                      <w:lang w:val="zh-CN"/>
                    </w:rPr>
                  </w:pPr>
                </w:p>
              </w:tc>
              <w:tc>
                <w:tcPr>
                  <w:tcW w:w="3470" w:type="dxa"/>
                  <w:gridSpan w:val="2"/>
                  <w:noWrap w:val="0"/>
                  <w:vAlign w:val="center"/>
                </w:tcPr>
                <w:p>
                  <w:pPr>
                    <w:spacing w:line="240" w:lineRule="exact"/>
                    <w:rPr>
                      <w:rFonts w:hint="eastAsia" w:ascii="宋体" w:hAnsi="宋体" w:cs="宋体"/>
                      <w:sz w:val="18"/>
                      <w:szCs w:val="18"/>
                    </w:rPr>
                  </w:pPr>
                  <w:r>
                    <w:rPr>
                      <w:rFonts w:hint="eastAsia" w:ascii="宋体" w:hAnsi="宋体" w:cs="宋体"/>
                      <w:sz w:val="18"/>
                      <w:szCs w:val="18"/>
                      <w:lang w:val="en-US" w:eastAsia="zh-CN"/>
                    </w:rPr>
                    <w:t>6.</w:t>
                  </w:r>
                  <w:r>
                    <w:rPr>
                      <w:rFonts w:hint="eastAsia" w:ascii="宋体" w:hAnsi="宋体" w:cs="宋体"/>
                      <w:sz w:val="18"/>
                      <w:szCs w:val="18"/>
                    </w:rPr>
                    <w:t>规模养殖场（小区）粪污处理设施装备配套率达到100%。通过管网截污、小型污水处理站和氧化塘、人工湿地等方式因地制宜处理处置农村生活污水，解决农村污水直排问题。</w:t>
                  </w:r>
                </w:p>
              </w:tc>
              <w:tc>
                <w:tcPr>
                  <w:tcW w:w="2971" w:type="dxa"/>
                  <w:noWrap w:val="0"/>
                  <w:vAlign w:val="center"/>
                </w:tcPr>
                <w:p>
                  <w:pPr>
                    <w:spacing w:line="240" w:lineRule="exact"/>
                    <w:rPr>
                      <w:rFonts w:hint="eastAsia" w:ascii="宋体" w:hAnsi="宋体" w:cs="宋体"/>
                      <w:sz w:val="18"/>
                      <w:szCs w:val="18"/>
                    </w:rPr>
                  </w:pPr>
                  <w:r>
                    <w:rPr>
                      <w:rFonts w:hint="eastAsia" w:ascii="宋体" w:hAnsi="宋体" w:cs="宋体"/>
                      <w:sz w:val="18"/>
                      <w:szCs w:val="18"/>
                    </w:rPr>
                    <w:t>本项目不属于养殖场（小区）。</w:t>
                  </w:r>
                </w:p>
              </w:tc>
              <w:tc>
                <w:tcPr>
                  <w:tcW w:w="842" w:type="dxa"/>
                  <w:noWrap w:val="0"/>
                  <w:vAlign w:val="center"/>
                </w:tcPr>
                <w:p>
                  <w:pPr>
                    <w:spacing w:line="24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88" w:type="dxa"/>
                  <w:vMerge w:val="continue"/>
                  <w:noWrap w:val="0"/>
                  <w:vAlign w:val="center"/>
                </w:tcPr>
                <w:p>
                  <w:pPr>
                    <w:spacing w:line="240" w:lineRule="exact"/>
                    <w:jc w:val="center"/>
                    <w:rPr>
                      <w:rFonts w:hint="eastAsia" w:ascii="宋体" w:hAnsi="宋体"/>
                      <w:sz w:val="18"/>
                      <w:szCs w:val="18"/>
                      <w:lang w:val="zh-CN"/>
                    </w:rPr>
                  </w:pPr>
                </w:p>
              </w:tc>
              <w:tc>
                <w:tcPr>
                  <w:tcW w:w="3470" w:type="dxa"/>
                  <w:gridSpan w:val="2"/>
                  <w:noWrap w:val="0"/>
                  <w:vAlign w:val="center"/>
                </w:tcPr>
                <w:p>
                  <w:pPr>
                    <w:spacing w:line="240" w:lineRule="exact"/>
                    <w:rPr>
                      <w:rFonts w:hint="eastAsia" w:ascii="宋体" w:hAnsi="宋体"/>
                      <w:sz w:val="18"/>
                      <w:szCs w:val="18"/>
                      <w:lang w:val="zh-CN"/>
                    </w:rPr>
                  </w:pPr>
                  <w:r>
                    <w:rPr>
                      <w:rFonts w:hint="eastAsia" w:ascii="宋体" w:hAnsi="宋体"/>
                      <w:sz w:val="18"/>
                      <w:szCs w:val="18"/>
                      <w:lang w:val="en-US" w:eastAsia="zh-CN"/>
                    </w:rPr>
                    <w:t>7.</w:t>
                  </w:r>
                  <w:r>
                    <w:rPr>
                      <w:rFonts w:hint="eastAsia" w:ascii="宋体" w:hAnsi="宋体"/>
                      <w:sz w:val="18"/>
                      <w:szCs w:val="18"/>
                      <w:lang w:val="zh-CN"/>
                    </w:rPr>
                    <w:t>进一步加强对建设工程施工、建筑物拆除、交通运输、道路保洁、物料运输与堆存、采石取土、养护绿化等活动的扬尘管理。</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本项目租赁已建成车间组织生产，施工期仅进行设备安装，不涉及大型土木施工，危废间的建设可能需要重新破土防渗，本项目将按照要求进行施工作业。</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3</w:t>
                  </w:r>
                </w:p>
              </w:tc>
              <w:tc>
                <w:tcPr>
                  <w:tcW w:w="495" w:type="dxa"/>
                  <w:gridSpan w:val="2"/>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环境风险防控</w:t>
                  </w:r>
                </w:p>
              </w:tc>
              <w:tc>
                <w:tcPr>
                  <w:tcW w:w="3463" w:type="dxa"/>
                  <w:noWrap w:val="0"/>
                  <w:vAlign w:val="center"/>
                </w:tcPr>
                <w:p>
                  <w:pPr>
                    <w:spacing w:line="240" w:lineRule="exact"/>
                    <w:rPr>
                      <w:rFonts w:hint="eastAsia" w:ascii="宋体" w:hAnsi="宋体"/>
                      <w:sz w:val="18"/>
                      <w:szCs w:val="18"/>
                      <w:lang w:val="zh-CN"/>
                    </w:rPr>
                  </w:pPr>
                  <w:r>
                    <w:rPr>
                      <w:rFonts w:hint="default" w:ascii="Times New Roman" w:hAnsi="Times New Roman" w:eastAsia="宋体" w:cs="Times New Roman"/>
                      <w:i w:val="0"/>
                      <w:color w:val="000000"/>
                      <w:kern w:val="0"/>
                      <w:sz w:val="18"/>
                      <w:szCs w:val="18"/>
                      <w:u w:val="none"/>
                      <w:lang w:val="en-US" w:eastAsia="zh-CN" w:bidi="ar"/>
                    </w:rPr>
                    <w:t>1.紧邻居住、科教、医院等环境敏感点的工业用地，禁止新建环境风险潜势等级高的建设项目；现有项目严格落实环评及批复环境风险防控要求。</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本项目距离最近的敏感点为位于项目西北侧</w:t>
                  </w:r>
                  <w:r>
                    <w:rPr>
                      <w:rFonts w:hint="eastAsia" w:ascii="宋体" w:hAnsi="宋体"/>
                      <w:sz w:val="18"/>
                      <w:szCs w:val="18"/>
                      <w:lang w:val="en-US" w:eastAsia="zh-CN"/>
                    </w:rPr>
                    <w:t>70m</w:t>
                  </w:r>
                  <w:r>
                    <w:rPr>
                      <w:rFonts w:hint="eastAsia" w:ascii="宋体" w:hAnsi="宋体"/>
                      <w:sz w:val="18"/>
                      <w:szCs w:val="18"/>
                      <w:lang w:val="zh-CN"/>
                    </w:rPr>
                    <w:t>的孟机村住户，本项目环境风险潜势I，风险等级较低。</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en-US" w:eastAsia="zh-CN"/>
                    </w:rPr>
                    <w:t>2.</w:t>
                  </w:r>
                  <w:r>
                    <w:rPr>
                      <w:rFonts w:ascii="宋体" w:hAnsi="宋体"/>
                      <w:sz w:val="18"/>
                      <w:szCs w:val="18"/>
                      <w:lang w:val="zh-CN"/>
                    </w:rPr>
                    <w:t>加强农田土壤、灌溉水的监测，对周边区域环境风险源进行评估</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本项目的建设不会对土壤、地下水造成影响，将配合地方政府对区域环境风险源进行评估。</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en-US" w:eastAsia="zh-CN"/>
                    </w:rPr>
                    <w:t>3.</w:t>
                  </w:r>
                  <w:r>
                    <w:rPr>
                      <w:rFonts w:ascii="宋体" w:hAnsi="宋体"/>
                      <w:sz w:val="18"/>
                      <w:szCs w:val="18"/>
                      <w:lang w:val="zh-CN"/>
                    </w:rPr>
                    <w:t>企业应按照《企业事业单位突发环境事件应急预案备案管理办法（试行）》等要求，依法依规编制环境应急预案并定期开展演练</w:t>
                  </w:r>
                  <w:r>
                    <w:rPr>
                      <w:rFonts w:hint="eastAsia" w:ascii="宋体" w:hAnsi="宋体"/>
                      <w:sz w:val="18"/>
                      <w:szCs w:val="18"/>
                      <w:lang w:val="zh-CN"/>
                    </w:rPr>
                    <w:t>。</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本项目将按照要求进行突发环境应急预案的编制及备案。</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eastAsia="宋体" w:cs="Times New Roman"/>
                      <w:kern w:val="2"/>
                      <w:sz w:val="18"/>
                      <w:szCs w:val="18"/>
                      <w:lang w:val="zh-CN" w:eastAsia="zh-CN" w:bidi="ar-SA"/>
                    </w:rPr>
                  </w:pPr>
                  <w:r>
                    <w:rPr>
                      <w:rFonts w:hint="default" w:ascii="Times New Roman" w:hAnsi="Times New Roman" w:eastAsia="宋体" w:cs="Times New Roman"/>
                      <w:i w:val="0"/>
                      <w:color w:val="000000"/>
                      <w:kern w:val="0"/>
                      <w:sz w:val="18"/>
                      <w:szCs w:val="18"/>
                      <w:u w:val="none"/>
                      <w:lang w:val="en-US" w:eastAsia="zh-CN" w:bidi="ar"/>
                    </w:rPr>
                    <w:t>4.建立各企业危险废物的贮存、申报、经营许可（无废城市建设豁免的除外）、转移及处置管理制度，并负责对危废相应活动的全程监管和环境安全保障。</w:t>
                  </w:r>
                </w:p>
              </w:tc>
              <w:tc>
                <w:tcPr>
                  <w:tcW w:w="2971" w:type="dxa"/>
                  <w:noWrap w:val="0"/>
                  <w:vAlign w:val="center"/>
                </w:tcPr>
                <w:p>
                  <w:pPr>
                    <w:spacing w:line="240" w:lineRule="exact"/>
                    <w:rPr>
                      <w:rFonts w:hint="eastAsia" w:ascii="宋体" w:hAnsi="宋体" w:eastAsia="宋体" w:cs="Times New Roman"/>
                      <w:kern w:val="2"/>
                      <w:sz w:val="18"/>
                      <w:szCs w:val="18"/>
                      <w:lang w:val="zh-CN" w:eastAsia="zh-CN" w:bidi="ar-SA"/>
                    </w:rPr>
                  </w:pPr>
                  <w:r>
                    <w:rPr>
                      <w:rFonts w:hint="eastAsia" w:ascii="宋体" w:hAnsi="宋体"/>
                      <w:sz w:val="18"/>
                      <w:szCs w:val="18"/>
                      <w:lang w:val="zh-CN"/>
                    </w:rPr>
                    <w:t>本项目生产过程会产生危险废物废活性炭、废机油，本项目将按照要求进行危险废物</w:t>
                  </w:r>
                  <w:r>
                    <w:rPr>
                      <w:rFonts w:ascii="宋体" w:hAnsi="宋体"/>
                      <w:sz w:val="18"/>
                      <w:szCs w:val="18"/>
                      <w:lang w:val="zh-CN"/>
                    </w:rPr>
                    <w:t>贮存、申报、经营许可、转移及处置管理制度</w:t>
                  </w:r>
                  <w:r>
                    <w:rPr>
                      <w:rFonts w:hint="eastAsia" w:ascii="宋体" w:hAnsi="宋体"/>
                      <w:sz w:val="18"/>
                      <w:szCs w:val="18"/>
                      <w:lang w:val="zh-CN"/>
                    </w:rPr>
                    <w:t>，并全程接受主管部门监管。</w:t>
                  </w:r>
                </w:p>
              </w:tc>
              <w:tc>
                <w:tcPr>
                  <w:tcW w:w="842" w:type="dxa"/>
                  <w:noWrap w:val="0"/>
                  <w:vAlign w:val="center"/>
                </w:tcPr>
                <w:p>
                  <w:pPr>
                    <w:spacing w:line="240" w:lineRule="exact"/>
                    <w:jc w:val="center"/>
                    <w:rPr>
                      <w:rFonts w:hint="eastAsia" w:ascii="宋体" w:hAnsi="宋体"/>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sz w:val="18"/>
                      <w:szCs w:val="18"/>
                      <w:lang w:val="zh-CN"/>
                    </w:rPr>
                  </w:pPr>
                  <w:r>
                    <w:rPr>
                      <w:rFonts w:hint="default" w:ascii="Times New Roman" w:hAnsi="Times New Roman" w:eastAsia="宋体" w:cs="Times New Roman"/>
                      <w:i w:val="0"/>
                      <w:color w:val="000000"/>
                      <w:kern w:val="0"/>
                      <w:sz w:val="18"/>
                      <w:szCs w:val="18"/>
                      <w:u w:val="none"/>
                      <w:lang w:val="en-US" w:eastAsia="zh-CN" w:bidi="ar"/>
                    </w:rPr>
                    <w:t>5.按照省市要求，做好清洁取暖改造工作。</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本项目取暖使用空调。</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4</w:t>
                  </w:r>
                </w:p>
              </w:tc>
              <w:tc>
                <w:tcPr>
                  <w:tcW w:w="495" w:type="dxa"/>
                  <w:gridSpan w:val="2"/>
                  <w:vMerge w:val="restart"/>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资源开放效率要求</w:t>
                  </w:r>
                </w:p>
              </w:tc>
              <w:tc>
                <w:tcPr>
                  <w:tcW w:w="3463" w:type="dxa"/>
                  <w:noWrap w:val="0"/>
                  <w:vAlign w:val="center"/>
                </w:tcPr>
                <w:p>
                  <w:pPr>
                    <w:spacing w:line="240" w:lineRule="exact"/>
                    <w:rPr>
                      <w:rFonts w:hint="eastAsia" w:ascii="宋体" w:hAnsi="宋体"/>
                      <w:sz w:val="18"/>
                      <w:szCs w:val="18"/>
                      <w:lang w:val="zh-CN"/>
                    </w:rPr>
                  </w:pPr>
                  <w:r>
                    <w:rPr>
                      <w:rFonts w:hint="default" w:ascii="Times New Roman" w:hAnsi="Times New Roman" w:eastAsia="宋体" w:cs="Times New Roman"/>
                      <w:i w:val="0"/>
                      <w:color w:val="000000"/>
                      <w:kern w:val="0"/>
                      <w:sz w:val="18"/>
                      <w:szCs w:val="18"/>
                      <w:u w:val="none"/>
                      <w:lang w:val="en-US" w:eastAsia="zh-CN" w:bidi="ar"/>
                    </w:rPr>
                    <w:t>1.高污染燃料禁燃区内执行淄博市高污染燃料禁燃区划定文件的管控要求。</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本项目燃料使用液化石油气，不属于高污染燃料。</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sz w:val="18"/>
                      <w:szCs w:val="18"/>
                      <w:lang w:val="zh-CN"/>
                    </w:rPr>
                  </w:pPr>
                  <w:r>
                    <w:rPr>
                      <w:rFonts w:hint="eastAsia" w:ascii="宋体" w:hAnsi="宋体" w:cs="宋体"/>
                      <w:kern w:val="0"/>
                      <w:sz w:val="18"/>
                      <w:szCs w:val="18"/>
                      <w:lang w:val="en-US" w:eastAsia="zh-CN" w:bidi="ar"/>
                    </w:rPr>
                    <w:t>2.</w:t>
                  </w:r>
                  <w:r>
                    <w:rPr>
                      <w:rFonts w:hint="eastAsia" w:ascii="宋体" w:hAnsi="宋体" w:cs="宋体"/>
                      <w:kern w:val="0"/>
                      <w:sz w:val="18"/>
                      <w:szCs w:val="18"/>
                      <w:lang w:bidi="ar"/>
                    </w:rPr>
                    <w:t>加强农业节水，提高水资源使用效率。</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本项目不涉及农业项目。</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en-US" w:eastAsia="zh-CN"/>
                    </w:rPr>
                    <w:t>3.</w:t>
                  </w:r>
                  <w:r>
                    <w:rPr>
                      <w:rFonts w:ascii="宋体" w:hAnsi="宋体"/>
                      <w:sz w:val="18"/>
                      <w:szCs w:val="18"/>
                      <w:lang w:val="zh-CN"/>
                    </w:rPr>
                    <w:t>提升土地集约化水平。</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本项目租赁已建成车间进行生产，不新征占地。</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81" w:type="dxa"/>
                  <w:vMerge w:val="continue"/>
                  <w:noWrap w:val="0"/>
                  <w:vAlign w:val="center"/>
                </w:tcPr>
                <w:p>
                  <w:pPr>
                    <w:spacing w:line="240" w:lineRule="exact"/>
                    <w:jc w:val="center"/>
                    <w:rPr>
                      <w:rFonts w:hint="eastAsia" w:ascii="宋体" w:hAnsi="宋体"/>
                      <w:sz w:val="18"/>
                      <w:szCs w:val="18"/>
                      <w:lang w:val="zh-CN"/>
                    </w:rPr>
                  </w:pPr>
                </w:p>
              </w:tc>
              <w:tc>
                <w:tcPr>
                  <w:tcW w:w="495" w:type="dxa"/>
                  <w:gridSpan w:val="2"/>
                  <w:vMerge w:val="continue"/>
                  <w:noWrap w:val="0"/>
                  <w:vAlign w:val="center"/>
                </w:tcPr>
                <w:p>
                  <w:pPr>
                    <w:spacing w:line="240" w:lineRule="exact"/>
                    <w:jc w:val="center"/>
                    <w:rPr>
                      <w:rFonts w:hint="eastAsia" w:ascii="宋体" w:hAnsi="宋体"/>
                      <w:sz w:val="18"/>
                      <w:szCs w:val="18"/>
                      <w:lang w:val="zh-CN"/>
                    </w:rPr>
                  </w:pPr>
                </w:p>
              </w:tc>
              <w:tc>
                <w:tcPr>
                  <w:tcW w:w="3463" w:type="dxa"/>
                  <w:noWrap w:val="0"/>
                  <w:vAlign w:val="center"/>
                </w:tcPr>
                <w:p>
                  <w:pPr>
                    <w:spacing w:line="240" w:lineRule="exact"/>
                    <w:rPr>
                      <w:rFonts w:hint="eastAsia" w:ascii="宋体" w:hAnsi="宋体"/>
                      <w:sz w:val="18"/>
                      <w:szCs w:val="18"/>
                      <w:lang w:val="zh-CN"/>
                    </w:rPr>
                  </w:pPr>
                  <w:r>
                    <w:rPr>
                      <w:rFonts w:hint="default" w:ascii="Times New Roman" w:hAnsi="Times New Roman" w:eastAsia="宋体" w:cs="Times New Roman"/>
                      <w:i w:val="0"/>
                      <w:color w:val="000000"/>
                      <w:kern w:val="0"/>
                      <w:sz w:val="18"/>
                      <w:szCs w:val="18"/>
                      <w:u w:val="none"/>
                      <w:lang w:val="en-US" w:eastAsia="zh-CN" w:bidi="ar"/>
                    </w:rPr>
                    <w:t>4.调整能源利用结构，控制煤炭消费量，实现减量化，鼓励使用清洁能源、新能源和可再生能源。</w:t>
                  </w:r>
                </w:p>
              </w:tc>
              <w:tc>
                <w:tcPr>
                  <w:tcW w:w="2971" w:type="dxa"/>
                  <w:noWrap w:val="0"/>
                  <w:vAlign w:val="center"/>
                </w:tcPr>
                <w:p>
                  <w:pPr>
                    <w:spacing w:line="240" w:lineRule="exact"/>
                    <w:rPr>
                      <w:rFonts w:hint="eastAsia" w:ascii="宋体" w:hAnsi="宋体"/>
                      <w:sz w:val="18"/>
                      <w:szCs w:val="18"/>
                      <w:lang w:val="zh-CN"/>
                    </w:rPr>
                  </w:pPr>
                  <w:r>
                    <w:rPr>
                      <w:rFonts w:hint="eastAsia" w:ascii="宋体" w:hAnsi="宋体"/>
                      <w:sz w:val="18"/>
                      <w:szCs w:val="18"/>
                      <w:lang w:val="zh-CN"/>
                    </w:rPr>
                    <w:t>本项目不使用煤炭，使用清洁能源液化石油气、电。</w:t>
                  </w:r>
                </w:p>
              </w:tc>
              <w:tc>
                <w:tcPr>
                  <w:tcW w:w="842" w:type="dxa"/>
                  <w:noWrap w:val="0"/>
                  <w:vAlign w:val="center"/>
                </w:tcPr>
                <w:p>
                  <w:pPr>
                    <w:spacing w:line="240" w:lineRule="exact"/>
                    <w:jc w:val="center"/>
                    <w:rPr>
                      <w:rFonts w:hint="eastAsia" w:ascii="宋体" w:hAnsi="宋体"/>
                      <w:sz w:val="18"/>
                      <w:szCs w:val="18"/>
                      <w:lang w:val="zh-CN"/>
                    </w:rPr>
                  </w:pPr>
                  <w:r>
                    <w:rPr>
                      <w:rFonts w:hint="eastAsia" w:ascii="宋体" w:hAnsi="宋体"/>
                      <w:sz w:val="18"/>
                      <w:szCs w:val="18"/>
                      <w:lang w:val="zh-CN"/>
                    </w:rPr>
                    <w:t>满足</w:t>
                  </w:r>
                </w:p>
              </w:tc>
            </w:tr>
          </w:tbl>
          <w:p>
            <w:pPr>
              <w:autoSpaceDE w:val="0"/>
              <w:autoSpaceDN w:val="0"/>
              <w:adjustRightInd w:val="0"/>
              <w:snapToGrid w:val="0"/>
              <w:spacing w:line="360" w:lineRule="auto"/>
              <w:ind w:firstLine="422" w:firstLineChars="200"/>
              <w:rPr>
                <w:kern w:val="0"/>
              </w:rPr>
            </w:pPr>
            <w:r>
              <w:rPr>
                <w:b/>
                <w:kern w:val="0"/>
              </w:rPr>
              <w:t>二、</w:t>
            </w:r>
            <w:r>
              <w:rPr>
                <w:b/>
              </w:rPr>
              <w:t>项目政策符合性分析</w:t>
            </w:r>
          </w:p>
          <w:p>
            <w:pPr>
              <w:adjustRightInd w:val="0"/>
              <w:snapToGrid w:val="0"/>
              <w:spacing w:line="360" w:lineRule="auto"/>
              <w:ind w:firstLine="420" w:firstLineChars="200"/>
            </w:pPr>
            <w:r>
              <w:t>1、产业政策符合性</w:t>
            </w:r>
          </w:p>
          <w:p>
            <w:pPr>
              <w:adjustRightInd w:val="0"/>
              <w:snapToGrid w:val="0"/>
              <w:spacing w:line="360" w:lineRule="auto"/>
              <w:ind w:firstLine="420" w:firstLineChars="200"/>
            </w:pPr>
            <w:r>
              <w:rPr>
                <w:kern w:val="0"/>
              </w:rPr>
              <w:t>项目的规模、产品、工艺以及采用的生产设备均不属于《产业结构调整指导目录（2019年本）》和淄政办发[2011]35号文件《淄博市人民政府办公厅关于印发淄博市产业结构调整指导意见和指导目录的通知》中的</w:t>
            </w:r>
            <w:r>
              <w:rPr>
                <w:rFonts w:hint="eastAsia"/>
                <w:kern w:val="0"/>
                <w:lang w:eastAsia="zh-CN"/>
              </w:rPr>
              <w:t>鼓励类、</w:t>
            </w:r>
            <w:r>
              <w:rPr>
                <w:kern w:val="0"/>
              </w:rPr>
              <w:t>限制类和淘汰类项目</w:t>
            </w:r>
            <w:r>
              <w:rPr>
                <w:rFonts w:hint="eastAsia"/>
                <w:kern w:val="0"/>
                <w:lang w:eastAsia="zh-CN"/>
              </w:rPr>
              <w:t>，属于允许类项目</w:t>
            </w:r>
            <w:r>
              <w:rPr>
                <w:kern w:val="0"/>
              </w:rPr>
              <w:t>。根据</w:t>
            </w:r>
            <w:r>
              <w:rPr>
                <w:rFonts w:hint="eastAsia"/>
                <w:kern w:val="0"/>
                <w:lang w:eastAsia="zh-CN"/>
              </w:rPr>
              <w:t>淄博艺嘉源纸制品加工厂</w:t>
            </w:r>
            <w:r>
              <w:rPr>
                <w:kern w:val="0"/>
              </w:rPr>
              <w:t>申请的《山东省建设项目登记备案证明》（项目代码：</w:t>
            </w:r>
            <w:r>
              <w:rPr>
                <w:rFonts w:hint="eastAsia"/>
                <w:lang w:eastAsia="zh-CN"/>
              </w:rPr>
              <w:t>2303-370302-89-02-393903</w:t>
            </w:r>
            <w:r>
              <w:rPr>
                <w:kern w:val="0"/>
              </w:rPr>
              <w:t>），本项目符合国家和淄博市产业政策。</w:t>
            </w:r>
          </w:p>
          <w:p>
            <w:pPr>
              <w:adjustRightInd w:val="0"/>
              <w:snapToGrid w:val="0"/>
              <w:spacing w:line="360" w:lineRule="auto"/>
              <w:ind w:firstLine="420" w:firstLineChars="200"/>
            </w:pPr>
            <w:r>
              <w:t>2、土地政策符合性</w:t>
            </w:r>
          </w:p>
          <w:p>
            <w:pPr>
              <w:adjustRightInd w:val="0"/>
              <w:snapToGrid w:val="0"/>
              <w:spacing w:line="360" w:lineRule="auto"/>
              <w:ind w:firstLine="420" w:firstLineChars="200"/>
            </w:pPr>
            <w:r>
              <w:rPr>
                <w:kern w:val="0"/>
              </w:rPr>
              <w:t>对照《限制用地项目目录（2012年本）》和《禁止用地项目目录（2012年本）》，本项目不属于其规定的限制用地和禁止用地项目范畴，</w:t>
            </w:r>
            <w:r>
              <w:rPr>
                <w:rFonts w:hint="eastAsia"/>
                <w:kern w:val="0"/>
                <w:lang w:eastAsia="zh-CN"/>
              </w:rPr>
              <w:t>且用地属于工业用地，符合《淄博市淄川区双杨镇总体规划（</w:t>
            </w:r>
            <w:r>
              <w:rPr>
                <w:rFonts w:hint="eastAsia"/>
                <w:kern w:val="0"/>
                <w:lang w:val="en-US" w:eastAsia="zh-CN"/>
              </w:rPr>
              <w:t>2017-2035</w:t>
            </w:r>
            <w:r>
              <w:rPr>
                <w:rFonts w:hint="eastAsia"/>
                <w:kern w:val="0"/>
                <w:lang w:eastAsia="zh-CN"/>
              </w:rPr>
              <w:t>）》要求，</w:t>
            </w:r>
            <w:r>
              <w:rPr>
                <w:kern w:val="0"/>
              </w:rPr>
              <w:t>可视为允许建设项目。</w:t>
            </w:r>
          </w:p>
          <w:p>
            <w:pPr>
              <w:pStyle w:val="80"/>
              <w:adjustRightInd w:val="0"/>
              <w:snapToGrid w:val="0"/>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3、环保政策符合性分析</w:t>
            </w:r>
          </w:p>
          <w:p>
            <w:pPr>
              <w:tabs>
                <w:tab w:val="left" w:pos="5427"/>
              </w:tabs>
              <w:adjustRightInd w:val="0"/>
              <w:snapToGrid w:val="0"/>
              <w:spacing w:line="360" w:lineRule="auto"/>
              <w:ind w:firstLine="420" w:firstLineChars="200"/>
            </w:pPr>
            <w:r>
              <w:rPr>
                <w:bCs/>
              </w:rPr>
              <w:t>（1）</w:t>
            </w:r>
            <w:r>
              <w:t>与《关于做好环境影响评价制度与排污许可制衔接相关工作的通知》（环办环评[2017]84号）的符合性分析</w:t>
            </w:r>
          </w:p>
          <w:p>
            <w:pPr>
              <w:adjustRightInd w:val="0"/>
              <w:snapToGrid w:val="0"/>
              <w:spacing w:line="360" w:lineRule="auto"/>
              <w:jc w:val="center"/>
              <w:rPr>
                <w:b/>
              </w:rPr>
            </w:pPr>
            <w:r>
              <w:rPr>
                <w:b/>
              </w:rPr>
              <w:t>表1-</w:t>
            </w:r>
            <w:r>
              <w:rPr>
                <w:rFonts w:hint="eastAsia"/>
                <w:b/>
                <w:lang w:val="en-US" w:eastAsia="zh-CN"/>
              </w:rPr>
              <w:t>7</w:t>
            </w:r>
            <w:r>
              <w:rPr>
                <w:b/>
              </w:rPr>
              <w:t>项目与环办环评[2017]84号文件符合性分析</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1"/>
              <w:gridCol w:w="2847"/>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2" w:type="dxa"/>
                  <w:vAlign w:val="center"/>
                </w:tcPr>
                <w:p>
                  <w:pPr>
                    <w:pStyle w:val="198"/>
                    <w:spacing w:before="24" w:after="24"/>
                    <w:rPr>
                      <w:rFonts w:ascii="Times New Roman"/>
                      <w:b/>
                      <w:bCs/>
                      <w:color w:val="auto"/>
                      <w:sz w:val="18"/>
                      <w:szCs w:val="18"/>
                    </w:rPr>
                  </w:pPr>
                  <w:r>
                    <w:rPr>
                      <w:rFonts w:ascii="Times New Roman"/>
                      <w:b/>
                      <w:bCs/>
                      <w:color w:val="auto"/>
                      <w:sz w:val="18"/>
                      <w:szCs w:val="18"/>
                    </w:rPr>
                    <w:t>文件要求</w:t>
                  </w:r>
                </w:p>
              </w:tc>
              <w:tc>
                <w:tcPr>
                  <w:tcW w:w="2847" w:type="dxa"/>
                  <w:vAlign w:val="center"/>
                </w:tcPr>
                <w:p>
                  <w:pPr>
                    <w:pStyle w:val="198"/>
                    <w:spacing w:before="24" w:after="24"/>
                    <w:rPr>
                      <w:rFonts w:ascii="Times New Roman"/>
                      <w:b/>
                      <w:bCs/>
                      <w:color w:val="auto"/>
                      <w:sz w:val="18"/>
                      <w:szCs w:val="18"/>
                    </w:rPr>
                  </w:pPr>
                  <w:r>
                    <w:rPr>
                      <w:rFonts w:ascii="Times New Roman"/>
                      <w:b/>
                      <w:bCs/>
                      <w:color w:val="auto"/>
                      <w:sz w:val="18"/>
                      <w:szCs w:val="18"/>
                    </w:rPr>
                    <w:t>项目情况</w:t>
                  </w:r>
                </w:p>
              </w:tc>
              <w:tc>
                <w:tcPr>
                  <w:tcW w:w="644" w:type="dxa"/>
                  <w:tcMar>
                    <w:left w:w="28" w:type="dxa"/>
                    <w:right w:w="28" w:type="dxa"/>
                  </w:tcMar>
                  <w:vAlign w:val="center"/>
                </w:tcPr>
                <w:p>
                  <w:pPr>
                    <w:pStyle w:val="198"/>
                    <w:spacing w:before="24" w:after="24"/>
                    <w:rPr>
                      <w:rFonts w:ascii="Times New Roman"/>
                      <w:b/>
                      <w:bCs/>
                      <w:color w:val="auto"/>
                      <w:sz w:val="18"/>
                      <w:szCs w:val="18"/>
                    </w:rPr>
                  </w:pPr>
                  <w:r>
                    <w:rPr>
                      <w:rFonts w:ascii="Times New Roman"/>
                      <w:b/>
                      <w:bCs/>
                      <w:color w:val="auto"/>
                      <w:sz w:val="18"/>
                      <w:szCs w:val="18"/>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2" w:type="dxa"/>
                  <w:vAlign w:val="center"/>
                </w:tcPr>
                <w:p>
                  <w:pPr>
                    <w:pStyle w:val="198"/>
                    <w:spacing w:before="24" w:after="24"/>
                    <w:rPr>
                      <w:rFonts w:ascii="Times New Roman"/>
                      <w:color w:val="auto"/>
                      <w:sz w:val="18"/>
                      <w:szCs w:val="18"/>
                    </w:rPr>
                  </w:pPr>
                  <w:r>
                    <w:rPr>
                      <w:rFonts w:ascii="Times New Roman"/>
                      <w:color w:val="auto"/>
                      <w:sz w:val="18"/>
                      <w:szCs w:val="18"/>
                    </w:rPr>
                    <w:t>环境影响评价审批部门要做好建设项目环境影响报告书(表)的审查，结合排污许可证申请与核发技术规范，核定建设项目的产排污环节、污染物种类及污染防治设施和措施等基本信息；依据国家或地方污染物排放标准、环境质量标准和总量控制要求等管理规定，按照污染源源强核算技术指南、环境影响评价要素导则等技术文件，严格核定排放口数量、位置以及每个排放口的污染物种类、允许排放浓度和允许排放量、排放方式、排放去向、自行监测计划等与污染物排放相关的主要内容。</w:t>
                  </w:r>
                </w:p>
              </w:tc>
              <w:tc>
                <w:tcPr>
                  <w:tcW w:w="2847" w:type="dxa"/>
                  <w:vAlign w:val="center"/>
                </w:tcPr>
                <w:p>
                  <w:pPr>
                    <w:pStyle w:val="198"/>
                    <w:spacing w:before="24" w:after="24"/>
                    <w:rPr>
                      <w:rFonts w:ascii="Times New Roman"/>
                      <w:color w:val="auto"/>
                      <w:sz w:val="18"/>
                      <w:szCs w:val="18"/>
                      <w:highlight w:val="yellow"/>
                    </w:rPr>
                  </w:pPr>
                  <w:r>
                    <w:rPr>
                      <w:rFonts w:ascii="Times New Roman"/>
                      <w:color w:val="auto"/>
                      <w:sz w:val="18"/>
                      <w:szCs w:val="18"/>
                    </w:rPr>
                    <w:t>本次环评根据环境影响评价要素导则严格核定了产排污环节、污染物种类及污染防治设施和措施、排放口数量、位置以及每个排放口的污染物种类、允许排放浓度和允许排放量、排放方式、排放去向、自行监测计划等与污染物排放相关的主要内容；污染物排放均依据国家相应标准要求进行核算。</w:t>
                  </w:r>
                </w:p>
              </w:tc>
              <w:tc>
                <w:tcPr>
                  <w:tcW w:w="644" w:type="dxa"/>
                  <w:vAlign w:val="center"/>
                </w:tcPr>
                <w:p>
                  <w:pPr>
                    <w:pStyle w:val="198"/>
                    <w:spacing w:before="24" w:after="24"/>
                    <w:rPr>
                      <w:rFonts w:ascii="Times New Roman"/>
                      <w:color w:val="auto"/>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2" w:type="dxa"/>
                  <w:vAlign w:val="center"/>
                </w:tcPr>
                <w:p>
                  <w:pPr>
                    <w:pStyle w:val="198"/>
                    <w:spacing w:before="24" w:after="24"/>
                    <w:rPr>
                      <w:rFonts w:ascii="Times New Roman"/>
                      <w:color w:val="auto"/>
                      <w:sz w:val="18"/>
                      <w:szCs w:val="18"/>
                    </w:rPr>
                  </w:pPr>
                  <w:r>
                    <w:rPr>
                      <w:rFonts w:ascii="Times New Roman"/>
                      <w:color w:val="auto"/>
                      <w:sz w:val="18"/>
                      <w:szCs w:val="18"/>
                    </w:rPr>
                    <w:t>建设项目发生实际排污行为之前，排污单位应当按照国家环境保护相关法律法规以及排污许可证申请与核发技术规范要求申请排污许可证，不得无证排污或不按证排污。环境影响报告书（表）2015年1月1日（含）后获得批准的建设项目，其环境影响报告书（表）以及审批文件中与污染物排放相关的主要内容应当纳入排污许可证。建设项目无证排污或不按证排污的，建设单位不得出具该项目验收合格的意见，验收报告中与污染物排放相关的主要内容应当纳入该项目验收完成当年排污许可证执行年报。排污许可证执行报告、台账记录以及自行监测执行情况等应作为开展建设项目环境影响后评价的重要依据。</w:t>
                  </w:r>
                </w:p>
              </w:tc>
              <w:tc>
                <w:tcPr>
                  <w:tcW w:w="2847" w:type="dxa"/>
                  <w:vAlign w:val="center"/>
                </w:tcPr>
                <w:p>
                  <w:pPr>
                    <w:pStyle w:val="198"/>
                    <w:spacing w:before="24" w:after="24"/>
                    <w:rPr>
                      <w:rFonts w:ascii="Times New Roman"/>
                      <w:color w:val="auto"/>
                      <w:sz w:val="18"/>
                      <w:szCs w:val="18"/>
                    </w:rPr>
                  </w:pPr>
                  <w:r>
                    <w:rPr>
                      <w:rFonts w:ascii="Times New Roman"/>
                      <w:color w:val="auto"/>
                      <w:sz w:val="18"/>
                      <w:szCs w:val="18"/>
                    </w:rPr>
                    <w:t>本项目应当按照国家环境保护相关法律法规以及排污许可证申请与核发技术规范要求进行排污许可证的申请。建设项目未取得排污证，建设单位不得出具该项目验收合格的意见。</w:t>
                  </w:r>
                </w:p>
              </w:tc>
              <w:tc>
                <w:tcPr>
                  <w:tcW w:w="644" w:type="dxa"/>
                  <w:vAlign w:val="center"/>
                </w:tcPr>
                <w:p>
                  <w:pPr>
                    <w:pStyle w:val="198"/>
                    <w:spacing w:before="24" w:after="24"/>
                    <w:rPr>
                      <w:rFonts w:ascii="Times New Roman"/>
                      <w:color w:val="auto"/>
                      <w:sz w:val="18"/>
                      <w:szCs w:val="18"/>
                    </w:rPr>
                  </w:pPr>
                  <w:r>
                    <w:rPr>
                      <w:rFonts w:ascii="Times New Roman"/>
                      <w:color w:val="auto"/>
                      <w:sz w:val="18"/>
                      <w:szCs w:val="18"/>
                    </w:rPr>
                    <w:t>符合</w:t>
                  </w:r>
                </w:p>
              </w:tc>
            </w:tr>
          </w:tbl>
          <w:p>
            <w:pPr>
              <w:tabs>
                <w:tab w:val="left" w:pos="5427"/>
              </w:tabs>
              <w:spacing w:line="360" w:lineRule="auto"/>
              <w:ind w:firstLine="420" w:firstLineChars="200"/>
              <w:rPr>
                <w:bCs/>
              </w:rPr>
            </w:pPr>
            <w:r>
              <w:t>（2）</w:t>
            </w:r>
            <w:r>
              <w:rPr>
                <w:bCs/>
              </w:rPr>
              <w:t>与鲁环办函[2016]141号的相关符合性分析</w:t>
            </w:r>
          </w:p>
          <w:p>
            <w:pPr>
              <w:tabs>
                <w:tab w:val="left" w:pos="5427"/>
              </w:tabs>
              <w:spacing w:line="360" w:lineRule="auto"/>
              <w:ind w:firstLine="420" w:firstLineChars="200"/>
              <w:rPr>
                <w:bCs/>
              </w:rPr>
            </w:pPr>
            <w:r>
              <w:rPr>
                <w:bCs/>
              </w:rPr>
              <w:t>山东省环保厅于2016年9月印发了《关于进一步加强建设项目固体废物环境管理的通知》（鲁环办函[2016]141号）。项目与该文件的符合性见下表。</w:t>
            </w:r>
          </w:p>
          <w:p>
            <w:pPr>
              <w:spacing w:line="360" w:lineRule="auto"/>
              <w:jc w:val="center"/>
              <w:rPr>
                <w:b/>
                <w:sz w:val="18"/>
                <w:szCs w:val="18"/>
              </w:rPr>
            </w:pPr>
            <w:r>
              <w:rPr>
                <w:b/>
              </w:rPr>
              <w:t>表1-</w:t>
            </w:r>
            <w:r>
              <w:rPr>
                <w:rFonts w:hint="eastAsia"/>
                <w:b/>
                <w:lang w:val="en-US" w:eastAsia="zh-CN"/>
              </w:rPr>
              <w:t>8</w:t>
            </w:r>
            <w:r>
              <w:rPr>
                <w:b/>
              </w:rPr>
              <w:t>项目建设与鲁环办函[2016]141号文符合性分析</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5334"/>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 w:type="dxa"/>
                  <w:vAlign w:val="center"/>
                </w:tcPr>
                <w:p>
                  <w:pPr>
                    <w:pStyle w:val="198"/>
                    <w:spacing w:before="24" w:after="24"/>
                    <w:rPr>
                      <w:rFonts w:ascii="Times New Roman"/>
                      <w:b/>
                      <w:bCs/>
                      <w:color w:val="auto"/>
                      <w:sz w:val="18"/>
                      <w:szCs w:val="18"/>
                    </w:rPr>
                  </w:pPr>
                  <w:r>
                    <w:rPr>
                      <w:rFonts w:ascii="Times New Roman"/>
                      <w:b/>
                      <w:bCs/>
                      <w:color w:val="auto"/>
                      <w:sz w:val="18"/>
                      <w:szCs w:val="18"/>
                    </w:rPr>
                    <w:t>序号</w:t>
                  </w:r>
                </w:p>
              </w:tc>
              <w:tc>
                <w:tcPr>
                  <w:tcW w:w="5334" w:type="dxa"/>
                  <w:vAlign w:val="center"/>
                </w:tcPr>
                <w:p>
                  <w:pPr>
                    <w:pStyle w:val="198"/>
                    <w:spacing w:before="24" w:after="24"/>
                    <w:rPr>
                      <w:rFonts w:ascii="Times New Roman"/>
                      <w:b/>
                      <w:bCs/>
                      <w:color w:val="auto"/>
                      <w:sz w:val="18"/>
                      <w:szCs w:val="18"/>
                    </w:rPr>
                  </w:pPr>
                  <w:r>
                    <w:rPr>
                      <w:rFonts w:ascii="Times New Roman"/>
                      <w:b/>
                      <w:bCs/>
                      <w:color w:val="auto"/>
                      <w:sz w:val="18"/>
                      <w:szCs w:val="18"/>
                    </w:rPr>
                    <w:t>文件内容</w:t>
                  </w:r>
                </w:p>
              </w:tc>
              <w:tc>
                <w:tcPr>
                  <w:tcW w:w="2166" w:type="dxa"/>
                  <w:vAlign w:val="center"/>
                </w:tcPr>
                <w:p>
                  <w:pPr>
                    <w:pStyle w:val="198"/>
                    <w:spacing w:before="24" w:after="24"/>
                    <w:rPr>
                      <w:rFonts w:ascii="Times New Roman"/>
                      <w:b/>
                      <w:bCs/>
                      <w:color w:val="auto"/>
                      <w:sz w:val="18"/>
                      <w:szCs w:val="18"/>
                    </w:rPr>
                  </w:pPr>
                  <w:r>
                    <w:rPr>
                      <w:rFonts w:ascii="Times New Roman"/>
                      <w:b/>
                      <w:bCs/>
                      <w:color w:val="auto"/>
                      <w:sz w:val="18"/>
                      <w:szCs w:val="18"/>
                    </w:rPr>
                    <w:t>项目符合性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 w:type="dxa"/>
                  <w:vAlign w:val="center"/>
                </w:tcPr>
                <w:p>
                  <w:pPr>
                    <w:pStyle w:val="198"/>
                    <w:spacing w:before="24" w:after="24"/>
                    <w:rPr>
                      <w:rFonts w:ascii="Times New Roman"/>
                      <w:color w:val="auto"/>
                      <w:sz w:val="18"/>
                      <w:szCs w:val="18"/>
                    </w:rPr>
                  </w:pPr>
                  <w:r>
                    <w:rPr>
                      <w:rFonts w:ascii="Times New Roman"/>
                      <w:color w:val="auto"/>
                      <w:sz w:val="18"/>
                      <w:szCs w:val="18"/>
                    </w:rPr>
                    <w:t>1</w:t>
                  </w:r>
                </w:p>
              </w:tc>
              <w:tc>
                <w:tcPr>
                  <w:tcW w:w="5334" w:type="dxa"/>
                  <w:vAlign w:val="center"/>
                </w:tcPr>
                <w:p>
                  <w:pPr>
                    <w:pStyle w:val="322"/>
                    <w:jc w:val="both"/>
                    <w:rPr>
                      <w:sz w:val="18"/>
                      <w:szCs w:val="18"/>
                    </w:rPr>
                  </w:pPr>
                  <w:r>
                    <w:rPr>
                      <w:sz w:val="18"/>
                      <w:szCs w:val="18"/>
                    </w:rPr>
                    <w:t>环境影响评价机构在编制建设项目环境影响评价文件时，要依据原辅料、工艺设计和物料平衡，深入分析固体废物的产生环节、种类、性质及危害特性，科学预测产生量，评价其综合利用和无害化处置方式的环境影响，并提出相应的对策措施：一要结合建设项目的工艺过程，梳理说明各类固体废物(固态、半固态及高浓度液体)的产生环节、主要成分和理化特性；二要根据《固体废物鉴别导则(试行)》(国家环保总局公告2006年11号)的规定，对建设项目产生的各类副产物是否属于固体废物进行判断，属于固体废物的，应依据《国家危险废物名录》(以下简称《名录》)判断其是否属于危险废物，凡列入《名录》的，属于危险废物，不需再进行危险特性鉴别；未列入《名录》、但疑似危险废物的，应根据产生环节和主要成分进行分析，对可能含有危险组分的，应明确在项目试生产阶段，对其作危险特性鉴别要求，并提出鉴别指标选取的建议方案；三要对分析结果进行汇总，以列表形式说明建设项目产生的固体废物的名称、类别、属性和数量等情况。在评价建设项目固体废物的环境影响时，要逐项评价建设项目业主单位提出的固体废物利用处置方案是否符合环保要求，并对其可行性进行论证。环评机构要根据建设项目固体废物工程分析和环境影响预测结果，提出废物分类收集、安全贮存、综合利用和无害化处置的合理建议，按照《环境影响评价技术导则》的有关要求，编写环境影响报告固体废物污染防治章节。</w:t>
                  </w:r>
                </w:p>
              </w:tc>
              <w:tc>
                <w:tcPr>
                  <w:tcW w:w="2166" w:type="dxa"/>
                  <w:vAlign w:val="center"/>
                </w:tcPr>
                <w:p>
                  <w:pPr>
                    <w:pStyle w:val="322"/>
                    <w:jc w:val="both"/>
                    <w:rPr>
                      <w:color w:val="FF0000"/>
                      <w:sz w:val="18"/>
                      <w:szCs w:val="18"/>
                    </w:rPr>
                  </w:pPr>
                  <w:r>
                    <w:rPr>
                      <w:sz w:val="18"/>
                      <w:szCs w:val="18"/>
                    </w:rPr>
                    <w:t>本次评价环评编制期间，深入分析了固体废物的产生环节、种类、性质及危害特性，根据项目实际运行情况统计了相应固废产生量，并核实了相应处置措施的可行性，报告表提出废物分类收集、安全贮存、综合利用和无害化处置的合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 w:type="dxa"/>
                  <w:vAlign w:val="center"/>
                </w:tcPr>
                <w:p>
                  <w:pPr>
                    <w:pStyle w:val="198"/>
                    <w:spacing w:before="24" w:after="24"/>
                    <w:rPr>
                      <w:rFonts w:ascii="Times New Roman"/>
                      <w:color w:val="auto"/>
                      <w:sz w:val="18"/>
                      <w:szCs w:val="18"/>
                    </w:rPr>
                  </w:pPr>
                  <w:r>
                    <w:rPr>
                      <w:rFonts w:ascii="Times New Roman"/>
                      <w:color w:val="auto"/>
                      <w:sz w:val="18"/>
                      <w:szCs w:val="18"/>
                    </w:rPr>
                    <w:t>2</w:t>
                  </w:r>
                </w:p>
              </w:tc>
              <w:tc>
                <w:tcPr>
                  <w:tcW w:w="5334" w:type="dxa"/>
                  <w:vAlign w:val="center"/>
                </w:tcPr>
                <w:p>
                  <w:pPr>
                    <w:pStyle w:val="198"/>
                    <w:spacing w:before="24" w:after="24"/>
                    <w:jc w:val="both"/>
                    <w:rPr>
                      <w:rFonts w:ascii="Times New Roman"/>
                      <w:color w:val="auto"/>
                      <w:sz w:val="18"/>
                      <w:szCs w:val="18"/>
                    </w:rPr>
                  </w:pPr>
                  <w:r>
                    <w:rPr>
                      <w:rFonts w:ascii="Times New Roman"/>
                      <w:color w:val="auto"/>
                      <w:sz w:val="18"/>
                      <w:szCs w:val="18"/>
                    </w:rPr>
                    <w:t>核实固体废物的产生环节、种类和数量：验收监测机构应在正常工况下，选择一到两个生产周期，统计产生环节、种类和数量，并按废物类别和生产负荷(75%以上)，将生产周期内的产生量折算成年均产生量。建设项目的一个生产周期超过一个月的，则建设项目固体废物的种类和数量按一个月统计；生产周期在两周以内的，应统计两个生产周期的数量和种类。对于在试生产阶段尚未产生的固体废物，如废水处理设施的污泥、废催化剂和报废吸附脱色材料等，验收监测机构可通过同行业类比调查或者环评报告预测结果，估算固体废物的种类和产生量，同等条件下，优先采用环评预测量。建设项目在竣工环保验收前发现危险废物实际产生种类、数量或利用、处置方式发生重大变化的，应编制环境影响补充报告，报有审批权环保部门的环评科(处)备案。不属于重大变化的，验收监测报告中应将变化情况予以说明。建设项目在通过竣工环保验收后，发现危险废物实际产生种类、数量或利用、处置方式发生重大变化的，应编制固废环境影响专题报告，报有审批权环保部门的环评、固废管理科(处)和项目所在地环境监察、固废管理机构备案。</w:t>
                  </w:r>
                </w:p>
              </w:tc>
              <w:tc>
                <w:tcPr>
                  <w:tcW w:w="2166" w:type="dxa"/>
                  <w:vAlign w:val="center"/>
                </w:tcPr>
                <w:p>
                  <w:pPr>
                    <w:pStyle w:val="198"/>
                    <w:spacing w:before="24" w:after="24"/>
                    <w:jc w:val="center"/>
                    <w:rPr>
                      <w:rFonts w:ascii="Times New Roman"/>
                      <w:color w:val="FF0000"/>
                      <w:sz w:val="18"/>
                      <w:szCs w:val="18"/>
                    </w:rPr>
                  </w:pPr>
                  <w:r>
                    <w:rPr>
                      <w:rFonts w:ascii="Times New Roman"/>
                      <w:color w:val="auto"/>
                      <w:sz w:val="18"/>
                      <w:szCs w:val="18"/>
                    </w:rPr>
                    <w:t>本项目现处于环评阶段。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652" w:type="dxa"/>
                  <w:vAlign w:val="center"/>
                </w:tcPr>
                <w:p>
                  <w:pPr>
                    <w:pStyle w:val="198"/>
                    <w:spacing w:before="24" w:after="24"/>
                    <w:rPr>
                      <w:rFonts w:ascii="Times New Roman"/>
                      <w:color w:val="auto"/>
                      <w:sz w:val="18"/>
                      <w:szCs w:val="18"/>
                    </w:rPr>
                  </w:pPr>
                  <w:r>
                    <w:rPr>
                      <w:rFonts w:ascii="Times New Roman"/>
                      <w:color w:val="auto"/>
                      <w:sz w:val="18"/>
                      <w:szCs w:val="18"/>
                    </w:rPr>
                    <w:t>3</w:t>
                  </w:r>
                </w:p>
              </w:tc>
              <w:tc>
                <w:tcPr>
                  <w:tcW w:w="5334" w:type="dxa"/>
                  <w:vAlign w:val="center"/>
                </w:tcPr>
                <w:p>
                  <w:pPr>
                    <w:pStyle w:val="198"/>
                    <w:spacing w:before="24" w:after="24"/>
                    <w:jc w:val="both"/>
                    <w:rPr>
                      <w:rFonts w:ascii="Times New Roman"/>
                      <w:color w:val="auto"/>
                      <w:sz w:val="18"/>
                      <w:szCs w:val="18"/>
                    </w:rPr>
                  </w:pPr>
                  <w:r>
                    <w:rPr>
                      <w:rFonts w:ascii="Times New Roman"/>
                      <w:color w:val="auto"/>
                      <w:sz w:val="18"/>
                      <w:szCs w:val="18"/>
                    </w:rPr>
                    <w:t>核实配套工程落实情况：建有固体废物或危险废物贮存设施的，分别按一般工业固体废物和危险废物贮存有关技术标准检查，重点检查贮存设施的标志标识、防渗、污水导排、包装容器和分类存放等内容。建有固体废物填埋、焚烧等处置设施的，要对试生产期间设施的运行和污染物排放情况分析和监测。</w:t>
                  </w:r>
                </w:p>
              </w:tc>
              <w:tc>
                <w:tcPr>
                  <w:tcW w:w="2166" w:type="dxa"/>
                  <w:vAlign w:val="center"/>
                </w:tcPr>
                <w:p>
                  <w:pPr>
                    <w:pStyle w:val="198"/>
                    <w:spacing w:before="24" w:after="24"/>
                    <w:jc w:val="both"/>
                    <w:rPr>
                      <w:rFonts w:hint="eastAsia" w:ascii="Times New Roman" w:eastAsia="宋体"/>
                      <w:color w:val="auto"/>
                      <w:sz w:val="18"/>
                      <w:szCs w:val="18"/>
                      <w:lang w:eastAsia="zh-CN"/>
                    </w:rPr>
                  </w:pPr>
                  <w:r>
                    <w:rPr>
                      <w:rFonts w:ascii="Times New Roman"/>
                      <w:color w:val="auto"/>
                      <w:sz w:val="18"/>
                      <w:szCs w:val="18"/>
                    </w:rPr>
                    <w:t>企业一般固废暂存处严格按照《一般工业固体废物贮存和填埋污染控制标准》中的相关要求进行设置；拟设置一</w:t>
                  </w:r>
                  <w:r>
                    <w:rPr>
                      <w:rFonts w:hint="eastAsia" w:ascii="Times New Roman"/>
                      <w:color w:val="auto"/>
                      <w:sz w:val="18"/>
                      <w:szCs w:val="18"/>
                      <w:lang w:eastAsia="zh-CN"/>
                    </w:rPr>
                    <w:t>座</w:t>
                  </w:r>
                  <w:r>
                    <w:rPr>
                      <w:rFonts w:ascii="Times New Roman"/>
                      <w:color w:val="auto"/>
                      <w:sz w:val="18"/>
                      <w:szCs w:val="18"/>
                    </w:rPr>
                    <w:t>危废暂存间，根据要求设置贮存设施的标志标识、防渗和污水导排等设施，分类存放，定期进行检查</w:t>
                  </w:r>
                  <w:r>
                    <w:rPr>
                      <w:rFonts w:hint="eastAsia" w:ascii="Times New Roman"/>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52" w:type="dxa"/>
                  <w:vAlign w:val="center"/>
                </w:tcPr>
                <w:p>
                  <w:pPr>
                    <w:pStyle w:val="198"/>
                    <w:spacing w:before="24" w:after="24"/>
                    <w:rPr>
                      <w:rFonts w:ascii="Times New Roman"/>
                      <w:color w:val="auto"/>
                      <w:sz w:val="18"/>
                      <w:szCs w:val="18"/>
                    </w:rPr>
                  </w:pPr>
                  <w:r>
                    <w:rPr>
                      <w:rFonts w:ascii="Times New Roman"/>
                      <w:color w:val="auto"/>
                      <w:sz w:val="18"/>
                      <w:szCs w:val="18"/>
                    </w:rPr>
                    <w:t>4</w:t>
                  </w:r>
                </w:p>
              </w:tc>
              <w:tc>
                <w:tcPr>
                  <w:tcW w:w="5334" w:type="dxa"/>
                  <w:vAlign w:val="center"/>
                </w:tcPr>
                <w:p>
                  <w:pPr>
                    <w:pStyle w:val="198"/>
                    <w:spacing w:before="24" w:after="24"/>
                    <w:jc w:val="both"/>
                    <w:rPr>
                      <w:rFonts w:ascii="Times New Roman"/>
                      <w:color w:val="auto"/>
                      <w:sz w:val="18"/>
                      <w:szCs w:val="18"/>
                    </w:rPr>
                  </w:pPr>
                  <w:r>
                    <w:rPr>
                      <w:rFonts w:ascii="Times New Roman"/>
                      <w:color w:val="auto"/>
                      <w:sz w:val="18"/>
                      <w:szCs w:val="18"/>
                    </w:rPr>
                    <w:t>检查固体废物利用处置方案和管理制度落实情况：应与环评报告提出的利用处置方案、污染事故应急预案和相关管理制度等进行对比，特别是对固体废物综合利用和无害化处置的情况要跟踪落实。利用处置工艺或接受单位发生变更的，要说明原因。属危险废物委托利用处置的，要核实接受单位资质情况，检查委托利用处置等协议合同，并说明试生产期间转移联单执行情况。</w:t>
                  </w:r>
                </w:p>
              </w:tc>
              <w:tc>
                <w:tcPr>
                  <w:tcW w:w="2166" w:type="dxa"/>
                  <w:vAlign w:val="center"/>
                </w:tcPr>
                <w:p>
                  <w:pPr>
                    <w:pStyle w:val="198"/>
                    <w:spacing w:before="24" w:after="24"/>
                    <w:jc w:val="both"/>
                    <w:rPr>
                      <w:rFonts w:ascii="Times New Roman"/>
                      <w:color w:val="auto"/>
                      <w:sz w:val="18"/>
                      <w:szCs w:val="18"/>
                    </w:rPr>
                  </w:pPr>
                  <w:r>
                    <w:rPr>
                      <w:rFonts w:ascii="Times New Roman"/>
                      <w:color w:val="auto"/>
                      <w:sz w:val="18"/>
                      <w:szCs w:val="18"/>
                    </w:rPr>
                    <w:t>本项目废</w:t>
                  </w:r>
                  <w:r>
                    <w:rPr>
                      <w:rFonts w:hint="eastAsia" w:ascii="Times New Roman"/>
                      <w:color w:val="auto"/>
                      <w:sz w:val="18"/>
                      <w:szCs w:val="18"/>
                      <w:lang w:eastAsia="zh-CN"/>
                    </w:rPr>
                    <w:t>纸下脚料</w:t>
                  </w:r>
                  <w:r>
                    <w:rPr>
                      <w:rFonts w:ascii="Times New Roman"/>
                      <w:color w:val="auto"/>
                      <w:sz w:val="18"/>
                      <w:szCs w:val="18"/>
                    </w:rPr>
                    <w:t>收集后外卖，生活垃圾由环卫部门定期清运；废活性炭委托有资质单位</w:t>
                  </w:r>
                  <w:r>
                    <w:rPr>
                      <w:rFonts w:hint="eastAsia" w:ascii="Times New Roman"/>
                      <w:color w:val="auto"/>
                      <w:sz w:val="18"/>
                      <w:szCs w:val="18"/>
                      <w:lang w:eastAsia="zh-CN"/>
                    </w:rPr>
                    <w:t>定期</w:t>
                  </w:r>
                  <w:r>
                    <w:rPr>
                      <w:rFonts w:ascii="Times New Roman"/>
                      <w:color w:val="auto"/>
                      <w:sz w:val="18"/>
                      <w:szCs w:val="18"/>
                    </w:rPr>
                    <w:t>进行</w:t>
                  </w:r>
                  <w:r>
                    <w:rPr>
                      <w:rFonts w:hint="eastAsia" w:ascii="Times New Roman"/>
                      <w:color w:val="auto"/>
                      <w:sz w:val="18"/>
                      <w:szCs w:val="18"/>
                      <w:lang w:eastAsia="zh-CN"/>
                    </w:rPr>
                    <w:t>处置</w:t>
                  </w:r>
                  <w:r>
                    <w:rPr>
                      <w:rFonts w:ascii="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2" w:type="dxa"/>
                  <w:vAlign w:val="center"/>
                </w:tcPr>
                <w:p>
                  <w:pPr>
                    <w:pStyle w:val="198"/>
                    <w:spacing w:before="24" w:after="24"/>
                    <w:rPr>
                      <w:rFonts w:ascii="Times New Roman"/>
                      <w:color w:val="auto"/>
                      <w:sz w:val="18"/>
                      <w:szCs w:val="18"/>
                    </w:rPr>
                  </w:pPr>
                  <w:r>
                    <w:rPr>
                      <w:rFonts w:ascii="Times New Roman"/>
                      <w:color w:val="auto"/>
                      <w:sz w:val="18"/>
                      <w:szCs w:val="18"/>
                    </w:rPr>
                    <w:t>5</w:t>
                  </w:r>
                </w:p>
              </w:tc>
              <w:tc>
                <w:tcPr>
                  <w:tcW w:w="5334" w:type="dxa"/>
                  <w:vAlign w:val="center"/>
                </w:tcPr>
                <w:p>
                  <w:pPr>
                    <w:pStyle w:val="198"/>
                    <w:spacing w:before="24" w:after="24"/>
                    <w:jc w:val="both"/>
                    <w:rPr>
                      <w:rFonts w:ascii="Times New Roman"/>
                      <w:color w:val="auto"/>
                      <w:sz w:val="18"/>
                      <w:szCs w:val="18"/>
                    </w:rPr>
                  </w:pPr>
                  <w:r>
                    <w:rPr>
                      <w:rFonts w:ascii="Times New Roman"/>
                      <w:color w:val="auto"/>
                      <w:sz w:val="18"/>
                      <w:szCs w:val="18"/>
                    </w:rPr>
                    <w:t>建设项目的业主或负有管理责任的单位(以下统称“产生者”)对其产生的固体废物，应承担污染防治主体责任。在建设项目正式投入生产前，产生者应当如实提供建设项目的生产工艺、设备和原辅材料种类、性质和数量，分析可能产生固体废物的环节、数量和性质以及固体废物贮存、处置的方法和途径，供有关评价或验收监测机构参考。产生者应按国家有关法规要求，妥善利用处置产生的固体废物。属委托利用处置危险废物的，在委托前，产生者应对被委托方的处置资格、能力等进行调查核实，在此基础上，产生者应与被委托方签订书面委托协议，明确拟交与危险废物的种类、性质、数量、交付方式、运输和利用处置要求与标准等事项。处置时，产生者应主动了解、核实处置情况，保证委托协议得到实施，确保危险废物得到妥善、安全和无害化利用或处置。</w:t>
                  </w:r>
                </w:p>
              </w:tc>
              <w:tc>
                <w:tcPr>
                  <w:tcW w:w="2166" w:type="dxa"/>
                  <w:vAlign w:val="center"/>
                </w:tcPr>
                <w:p>
                  <w:pPr>
                    <w:pStyle w:val="198"/>
                    <w:spacing w:before="24" w:after="24"/>
                    <w:jc w:val="both"/>
                    <w:rPr>
                      <w:rFonts w:ascii="Times New Roman"/>
                      <w:color w:val="auto"/>
                      <w:sz w:val="18"/>
                      <w:szCs w:val="18"/>
                    </w:rPr>
                  </w:pPr>
                  <w:r>
                    <w:rPr>
                      <w:rFonts w:ascii="Times New Roman"/>
                      <w:color w:val="auto"/>
                      <w:sz w:val="18"/>
                      <w:szCs w:val="18"/>
                    </w:rPr>
                    <w:t>本项目废</w:t>
                  </w:r>
                  <w:r>
                    <w:rPr>
                      <w:rFonts w:hint="eastAsia" w:ascii="Times New Roman"/>
                      <w:color w:val="auto"/>
                      <w:sz w:val="18"/>
                      <w:szCs w:val="18"/>
                      <w:lang w:eastAsia="zh-CN"/>
                    </w:rPr>
                    <w:t>纸下脚料</w:t>
                  </w:r>
                  <w:r>
                    <w:rPr>
                      <w:rFonts w:ascii="Times New Roman"/>
                      <w:color w:val="auto"/>
                      <w:sz w:val="18"/>
                      <w:szCs w:val="18"/>
                    </w:rPr>
                    <w:t>收集后外卖，生活垃圾由环卫部门定期清运；废活性炭委托有资质单位</w:t>
                  </w:r>
                  <w:r>
                    <w:rPr>
                      <w:rFonts w:hint="eastAsia" w:ascii="Times New Roman"/>
                      <w:color w:val="auto"/>
                      <w:sz w:val="18"/>
                      <w:szCs w:val="18"/>
                      <w:lang w:eastAsia="zh-CN"/>
                    </w:rPr>
                    <w:t>定期</w:t>
                  </w:r>
                  <w:r>
                    <w:rPr>
                      <w:rFonts w:ascii="Times New Roman"/>
                      <w:color w:val="auto"/>
                      <w:sz w:val="18"/>
                      <w:szCs w:val="18"/>
                    </w:rPr>
                    <w:t>进行</w:t>
                  </w:r>
                  <w:r>
                    <w:rPr>
                      <w:rFonts w:hint="eastAsia" w:ascii="Times New Roman"/>
                      <w:color w:val="auto"/>
                      <w:sz w:val="18"/>
                      <w:szCs w:val="18"/>
                      <w:lang w:eastAsia="zh-CN"/>
                    </w:rPr>
                    <w:t>处置</w:t>
                  </w:r>
                  <w:r>
                    <w:rPr>
                      <w:rFonts w:ascii="Times New Roman"/>
                      <w:color w:val="auto"/>
                      <w:sz w:val="18"/>
                      <w:szCs w:val="18"/>
                    </w:rPr>
                    <w:t>。</w:t>
                  </w:r>
                </w:p>
              </w:tc>
            </w:tr>
          </w:tbl>
          <w:p>
            <w:pPr>
              <w:pStyle w:val="2"/>
              <w:spacing w:line="420" w:lineRule="exact"/>
              <w:rPr>
                <w:sz w:val="21"/>
                <w:szCs w:val="21"/>
              </w:rPr>
            </w:pPr>
            <w:r>
              <w:rPr>
                <w:bCs/>
                <w:sz w:val="21"/>
                <w:szCs w:val="21"/>
              </w:rPr>
              <w:t>由上表可知，项目符合《关于进一步加强建设项目固体废物环境管理的通知》（鲁环办函[2016]141号）的要求。</w:t>
            </w:r>
          </w:p>
          <w:p>
            <w:pPr>
              <w:tabs>
                <w:tab w:val="left" w:pos="5427"/>
              </w:tabs>
              <w:spacing w:line="360" w:lineRule="auto"/>
              <w:ind w:firstLine="420" w:firstLineChars="200"/>
              <w:rPr>
                <w:bCs/>
              </w:rPr>
            </w:pPr>
            <w:r>
              <w:t>（3）</w:t>
            </w:r>
            <w:r>
              <w:rPr>
                <w:bCs/>
              </w:rPr>
              <w:t xml:space="preserve">与《山东省大气污染防治条例》的相关符合性分析 </w:t>
            </w:r>
          </w:p>
          <w:p>
            <w:pPr>
              <w:tabs>
                <w:tab w:val="left" w:pos="5427"/>
              </w:tabs>
              <w:spacing w:line="360" w:lineRule="auto"/>
              <w:ind w:firstLine="420" w:firstLineChars="200"/>
              <w:rPr>
                <w:bCs/>
              </w:rPr>
            </w:pPr>
            <w:r>
              <w:rPr>
                <w:bCs/>
              </w:rPr>
              <w:t>本项目与《山东省大气污染防治条例》的符合性见下表：</w:t>
            </w:r>
          </w:p>
          <w:p>
            <w:pPr>
              <w:spacing w:line="360" w:lineRule="auto"/>
              <w:jc w:val="center"/>
              <w:rPr>
                <w:b/>
              </w:rPr>
            </w:pPr>
            <w:r>
              <w:rPr>
                <w:b/>
              </w:rPr>
              <w:t>表1-</w:t>
            </w:r>
            <w:r>
              <w:rPr>
                <w:rFonts w:hint="eastAsia"/>
                <w:b/>
                <w:lang w:val="en-US" w:eastAsia="zh-CN"/>
              </w:rPr>
              <w:t>9</w:t>
            </w:r>
            <w:r>
              <w:rPr>
                <w:b/>
              </w:rPr>
              <w:t>项目与山东省大气污染防治条例符合情况分析</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2"/>
              <w:gridCol w:w="5358"/>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exact"/>
                <w:jc w:val="center"/>
              </w:trPr>
              <w:tc>
                <w:tcPr>
                  <w:tcW w:w="582" w:type="dxa"/>
                  <w:vAlign w:val="center"/>
                </w:tcPr>
                <w:p>
                  <w:pPr>
                    <w:pStyle w:val="1312"/>
                    <w:ind w:right="62"/>
                    <w:jc w:val="center"/>
                    <w:textAlignment w:val="baseline"/>
                    <w:rPr>
                      <w:rFonts w:ascii="Times New Roman" w:hAnsi="Times New Roman" w:cs="Times New Roman"/>
                      <w:b/>
                      <w:bCs/>
                      <w:sz w:val="18"/>
                      <w:szCs w:val="21"/>
                    </w:rPr>
                  </w:pPr>
                  <w:r>
                    <w:rPr>
                      <w:rFonts w:ascii="Times New Roman" w:hAnsi="Times New Roman" w:cs="Times New Roman"/>
                      <w:b/>
                      <w:bCs/>
                      <w:sz w:val="18"/>
                      <w:szCs w:val="16"/>
                    </w:rPr>
                    <w:t>序号</w:t>
                  </w:r>
                </w:p>
              </w:tc>
              <w:tc>
                <w:tcPr>
                  <w:tcW w:w="5358" w:type="dxa"/>
                  <w:vAlign w:val="center"/>
                </w:tcPr>
                <w:p>
                  <w:pPr>
                    <w:pStyle w:val="1312"/>
                    <w:ind w:left="19"/>
                    <w:jc w:val="center"/>
                    <w:textAlignment w:val="baseline"/>
                    <w:rPr>
                      <w:rFonts w:ascii="Times New Roman" w:hAnsi="Times New Roman" w:cs="Times New Roman"/>
                      <w:b/>
                      <w:bCs/>
                      <w:sz w:val="18"/>
                      <w:szCs w:val="21"/>
                    </w:rPr>
                  </w:pPr>
                  <w:r>
                    <w:rPr>
                      <w:rFonts w:ascii="Times New Roman" w:hAnsi="Times New Roman" w:cs="Times New Roman"/>
                      <w:b/>
                      <w:bCs/>
                      <w:sz w:val="18"/>
                      <w:szCs w:val="16"/>
                    </w:rPr>
                    <w:t xml:space="preserve">规划要求 </w:t>
                  </w:r>
                </w:p>
              </w:tc>
              <w:tc>
                <w:tcPr>
                  <w:tcW w:w="2212" w:type="dxa"/>
                  <w:vAlign w:val="center"/>
                </w:tcPr>
                <w:p>
                  <w:pPr>
                    <w:pStyle w:val="1312"/>
                    <w:ind w:left="57"/>
                    <w:jc w:val="center"/>
                    <w:textAlignment w:val="baseline"/>
                    <w:rPr>
                      <w:rFonts w:ascii="Times New Roman" w:hAnsi="Times New Roman" w:cs="Times New Roman"/>
                      <w:b/>
                      <w:bCs/>
                      <w:sz w:val="18"/>
                      <w:szCs w:val="21"/>
                    </w:rPr>
                  </w:pPr>
                  <w:r>
                    <w:rPr>
                      <w:rFonts w:ascii="Times New Roman" w:hAnsi="Times New Roman" w:cs="Times New Roman"/>
                      <w:b/>
                      <w:bCs/>
                      <w:sz w:val="18"/>
                      <w:szCs w:val="16"/>
                    </w:rPr>
                    <w:t>项目符合性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9" w:hRule="atLeast"/>
                <w:jc w:val="center"/>
              </w:trPr>
              <w:tc>
                <w:tcPr>
                  <w:tcW w:w="58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1</w:t>
                  </w:r>
                </w:p>
              </w:tc>
              <w:tc>
                <w:tcPr>
                  <w:tcW w:w="5358" w:type="dxa"/>
                  <w:vAlign w:val="center"/>
                </w:tcPr>
                <w:p>
                  <w:pPr>
                    <w:pStyle w:val="1312"/>
                    <w:ind w:left="129"/>
                    <w:jc w:val="both"/>
                    <w:textAlignment w:val="baseline"/>
                    <w:rPr>
                      <w:rFonts w:ascii="Times New Roman" w:hAnsi="Times New Roman" w:cs="Times New Roman"/>
                      <w:sz w:val="18"/>
                      <w:szCs w:val="21"/>
                    </w:rPr>
                  </w:pPr>
                  <w:r>
                    <w:rPr>
                      <w:rFonts w:ascii="Times New Roman" w:hAnsi="Times New Roman" w:cs="Times New Roman"/>
                      <w:sz w:val="18"/>
                      <w:szCs w:val="21"/>
                    </w:rPr>
                    <w:t>设区的市、县（市、区）人民政府应当制定本行政区域锅炉整治计划，按照国家和省有关规定要求淘汰、拆除燃煤小锅炉、分散燃煤锅炉和不能达标排放的其他燃煤锅炉，并对现有的燃煤锅炉进行超低排放改造。除国家和省另有规定外，在城市建成区、开发区、工业园区内不得新建额定蒸发量二十吨以下的直接燃煤、重油、渣油锅炉以及直接燃用生物质的锅炉。</w:t>
                  </w:r>
                </w:p>
              </w:tc>
              <w:tc>
                <w:tcPr>
                  <w:tcW w:w="2212" w:type="dxa"/>
                  <w:vAlign w:val="center"/>
                </w:tcPr>
                <w:p>
                  <w:pPr>
                    <w:pStyle w:val="1312"/>
                    <w:jc w:val="center"/>
                    <w:textAlignment w:val="baseline"/>
                    <w:rPr>
                      <w:rFonts w:hint="default" w:ascii="Times New Roman" w:hAnsi="Times New Roman" w:eastAsia="宋体" w:cs="Times New Roman"/>
                      <w:sz w:val="18"/>
                      <w:szCs w:val="21"/>
                      <w:lang w:val="en-US" w:eastAsia="zh-CN"/>
                    </w:rPr>
                  </w:pPr>
                  <w:r>
                    <w:rPr>
                      <w:rFonts w:ascii="Times New Roman" w:hAnsi="Times New Roman" w:cs="Times New Roman"/>
                      <w:sz w:val="18"/>
                      <w:szCs w:val="16"/>
                    </w:rPr>
                    <w:t>项目</w:t>
                  </w:r>
                  <w:r>
                    <w:rPr>
                      <w:rFonts w:hint="eastAsia" w:ascii="Times New Roman" w:hAnsi="Times New Roman" w:cs="Times New Roman"/>
                      <w:sz w:val="18"/>
                      <w:szCs w:val="16"/>
                      <w:lang w:eastAsia="zh-CN"/>
                    </w:rPr>
                    <w:t>使用的医用级电气两用蒸汽发生器，燃料使用液化石油气，满足相关要求。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8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2</w:t>
                  </w:r>
                </w:p>
              </w:tc>
              <w:tc>
                <w:tcPr>
                  <w:tcW w:w="5358" w:type="dxa"/>
                  <w:vAlign w:val="center"/>
                </w:tcPr>
                <w:p>
                  <w:pPr>
                    <w:pStyle w:val="1312"/>
                    <w:ind w:left="129"/>
                    <w:jc w:val="both"/>
                    <w:textAlignment w:val="baseline"/>
                    <w:rPr>
                      <w:rFonts w:ascii="Times New Roman" w:hAnsi="Times New Roman" w:cs="Times New Roman"/>
                      <w:sz w:val="18"/>
                      <w:szCs w:val="21"/>
                    </w:rPr>
                  </w:pPr>
                  <w:r>
                    <w:rPr>
                      <w:rFonts w:ascii="Times New Roman" w:hAnsi="Times New Roman" w:cs="Times New Roman"/>
                      <w:sz w:val="18"/>
                      <w:szCs w:val="21"/>
                    </w:rPr>
                    <w:t>县级以上人民政府供热主管部门应当组织编制供热专项规划，发展分布式能源，统筹热源和管网建设，逐步扩大城乡集中供热范围。在集中供热管网覆盖区域内，禁止新建、扩建分散燃煤供热锅炉；已建成的分散燃煤供热锅炉应当在县级以上人民政府环境保护主管部门规定的期限内停止使用。</w:t>
                  </w:r>
                </w:p>
              </w:tc>
              <w:tc>
                <w:tcPr>
                  <w:tcW w:w="221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企业办公用热使用空调供热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82" w:type="dxa"/>
                  <w:vAlign w:val="center"/>
                </w:tcPr>
                <w:p>
                  <w:pPr>
                    <w:pStyle w:val="1312"/>
                    <w:ind w:right="62"/>
                    <w:jc w:val="center"/>
                    <w:textAlignment w:val="baseline"/>
                    <w:rPr>
                      <w:rFonts w:ascii="Times New Roman" w:hAnsi="Times New Roman" w:cs="Times New Roman"/>
                      <w:sz w:val="18"/>
                      <w:szCs w:val="21"/>
                    </w:rPr>
                  </w:pPr>
                  <w:r>
                    <w:rPr>
                      <w:rFonts w:ascii="Times New Roman" w:hAnsi="Times New Roman" w:cs="Times New Roman"/>
                      <w:sz w:val="18"/>
                      <w:szCs w:val="21"/>
                    </w:rPr>
                    <w:t>3</w:t>
                  </w:r>
                </w:p>
              </w:tc>
              <w:tc>
                <w:tcPr>
                  <w:tcW w:w="5358" w:type="dxa"/>
                  <w:vAlign w:val="center"/>
                </w:tcPr>
                <w:p>
                  <w:pPr>
                    <w:pStyle w:val="1312"/>
                    <w:ind w:left="129"/>
                    <w:jc w:val="both"/>
                    <w:textAlignment w:val="baseline"/>
                    <w:rPr>
                      <w:rFonts w:ascii="Times New Roman" w:hAnsi="Times New Roman" w:cs="Times New Roman"/>
                      <w:sz w:val="18"/>
                      <w:szCs w:val="21"/>
                    </w:rPr>
                  </w:pPr>
                  <w:r>
                    <w:rPr>
                      <w:rFonts w:ascii="Times New Roman" w:hAnsi="Times New Roman" w:cs="Times New Roman"/>
                      <w:sz w:val="18"/>
                      <w:szCs w:val="16"/>
                    </w:rPr>
                    <w:t xml:space="preserve">燃煤机组应当实现超低排放，使大气污染物排放浓度符合规定限值。 </w:t>
                  </w:r>
                </w:p>
              </w:tc>
              <w:tc>
                <w:tcPr>
                  <w:tcW w:w="2212" w:type="dxa"/>
                  <w:vAlign w:val="center"/>
                </w:tcPr>
                <w:p>
                  <w:pPr>
                    <w:pStyle w:val="1312"/>
                    <w:ind w:left="57"/>
                    <w:jc w:val="center"/>
                    <w:textAlignment w:val="baseline"/>
                    <w:rPr>
                      <w:rFonts w:ascii="Times New Roman" w:hAnsi="Times New Roman" w:cs="Times New Roman"/>
                      <w:sz w:val="18"/>
                      <w:szCs w:val="21"/>
                    </w:rPr>
                  </w:pPr>
                  <w:r>
                    <w:rPr>
                      <w:rFonts w:ascii="Times New Roman" w:hAnsi="Times New Roman" w:cs="Times New Roman"/>
                      <w:sz w:val="18"/>
                      <w:szCs w:val="16"/>
                    </w:rPr>
                    <w:t>项目不涉及燃煤机组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58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4</w:t>
                  </w:r>
                </w:p>
              </w:tc>
              <w:tc>
                <w:tcPr>
                  <w:tcW w:w="5358" w:type="dxa"/>
                  <w:vAlign w:val="center"/>
                </w:tcPr>
                <w:p>
                  <w:pPr>
                    <w:pStyle w:val="1312"/>
                    <w:ind w:left="129"/>
                    <w:jc w:val="both"/>
                    <w:textAlignment w:val="baseline"/>
                    <w:rPr>
                      <w:rFonts w:ascii="Times New Roman" w:hAnsi="Times New Roman" w:cs="Times New Roman"/>
                      <w:sz w:val="18"/>
                      <w:szCs w:val="21"/>
                    </w:rPr>
                  </w:pPr>
                  <w:r>
                    <w:rPr>
                      <w:rFonts w:ascii="Times New Roman" w:hAnsi="Times New Roman" w:cs="Times New Roman"/>
                      <w:sz w:val="18"/>
                      <w:szCs w:val="21"/>
                    </w:rPr>
                    <w:t>使用燃煤炉窑、煤气发生炉等设施的单位应当采用清洁生产工艺，配套建设除尘、脱硫、脱硝等装置，或者采取技术改造等其他控制大气污染物排放的措施。</w:t>
                  </w:r>
                </w:p>
              </w:tc>
              <w:tc>
                <w:tcPr>
                  <w:tcW w:w="2212" w:type="dxa"/>
                  <w:vAlign w:val="center"/>
                </w:tcPr>
                <w:p>
                  <w:pPr>
                    <w:pStyle w:val="1312"/>
                    <w:ind w:left="57"/>
                    <w:jc w:val="center"/>
                    <w:textAlignment w:val="baseline"/>
                    <w:rPr>
                      <w:rFonts w:ascii="Times New Roman" w:hAnsi="Times New Roman" w:cs="Times New Roman"/>
                      <w:sz w:val="18"/>
                      <w:szCs w:val="21"/>
                    </w:rPr>
                  </w:pPr>
                  <w:r>
                    <w:rPr>
                      <w:rFonts w:ascii="Times New Roman" w:hAnsi="Times New Roman" w:cs="Times New Roman"/>
                      <w:sz w:val="18"/>
                      <w:szCs w:val="21"/>
                    </w:rPr>
                    <w:t>项目不涉及燃煤炉窑、煤气发生炉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8" w:hRule="atLeast"/>
                <w:jc w:val="center"/>
              </w:trPr>
              <w:tc>
                <w:tcPr>
                  <w:tcW w:w="58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5</w:t>
                  </w:r>
                </w:p>
              </w:tc>
              <w:tc>
                <w:tcPr>
                  <w:tcW w:w="5358" w:type="dxa"/>
                  <w:vAlign w:val="center"/>
                </w:tcPr>
                <w:p>
                  <w:pPr>
                    <w:pStyle w:val="1312"/>
                    <w:ind w:left="129"/>
                    <w:jc w:val="both"/>
                    <w:textAlignment w:val="baseline"/>
                    <w:rPr>
                      <w:rFonts w:ascii="Times New Roman" w:hAnsi="Times New Roman" w:cs="Times New Roman"/>
                      <w:sz w:val="18"/>
                      <w:szCs w:val="21"/>
                    </w:rPr>
                  </w:pPr>
                  <w:r>
                    <w:rPr>
                      <w:rFonts w:ascii="Times New Roman" w:hAnsi="Times New Roman" w:cs="Times New Roman"/>
                      <w:sz w:val="18"/>
                      <w:szCs w:val="21"/>
                    </w:rPr>
                    <w:t>县级以上人民政府应当合理确定产业布局和发展规模，制定产业投资项目负面清单，严格控制新建、扩建钢铁、石化、化工、有色金属冶炼、水泥、平板玻璃、建筑陶瓷等工业项目，鼓励、支持现有的工业企业进行技术升级改造。在城市建成区及其周边的重污染企业，应当逐步进行搬迁改造或者转型退出。</w:t>
                  </w:r>
                </w:p>
              </w:tc>
              <w:tc>
                <w:tcPr>
                  <w:tcW w:w="2212" w:type="dxa"/>
                  <w:vAlign w:val="center"/>
                </w:tcPr>
                <w:p>
                  <w:pPr>
                    <w:pStyle w:val="1312"/>
                    <w:jc w:val="center"/>
                    <w:textAlignment w:val="baseline"/>
                    <w:rPr>
                      <w:rFonts w:ascii="Times New Roman" w:hAnsi="Times New Roman" w:cs="Times New Roman"/>
                      <w:sz w:val="18"/>
                      <w:szCs w:val="21"/>
                      <w:lang w:val="en-US"/>
                    </w:rPr>
                  </w:pPr>
                  <w:r>
                    <w:rPr>
                      <w:rFonts w:ascii="Times New Roman" w:hAnsi="Times New Roman" w:cs="Times New Roman"/>
                      <w:sz w:val="18"/>
                      <w:szCs w:val="21"/>
                    </w:rPr>
                    <w:t>项目</w:t>
                  </w:r>
                  <w:r>
                    <w:rPr>
                      <w:rFonts w:ascii="Times New Roman" w:hAnsi="Times New Roman" w:cs="Times New Roman"/>
                      <w:sz w:val="18"/>
                      <w:szCs w:val="21"/>
                      <w:lang w:val="en-US"/>
                    </w:rPr>
                    <w:t>不涉及钢铁、石化、化工、有色金属冶炼、水泥、平板玻璃、建筑陶瓷等工业项目。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8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6</w:t>
                  </w:r>
                </w:p>
              </w:tc>
              <w:tc>
                <w:tcPr>
                  <w:tcW w:w="5358" w:type="dxa"/>
                  <w:vAlign w:val="center"/>
                </w:tcPr>
                <w:p>
                  <w:pPr>
                    <w:pStyle w:val="1312"/>
                    <w:ind w:left="129"/>
                    <w:jc w:val="both"/>
                    <w:textAlignment w:val="baseline"/>
                    <w:rPr>
                      <w:rFonts w:ascii="Times New Roman" w:hAnsi="Times New Roman" w:cs="Times New Roman"/>
                      <w:sz w:val="18"/>
                      <w:szCs w:val="21"/>
                    </w:rPr>
                  </w:pPr>
                  <w:r>
                    <w:rPr>
                      <w:rFonts w:ascii="Times New Roman" w:hAnsi="Times New Roman" w:cs="Times New Roman"/>
                      <w:sz w:val="18"/>
                      <w:szCs w:val="21"/>
                    </w:rPr>
                    <w:t>对不经过排气筒集中排放的大气污染物，排污单位应当采取密闭、封闭、集中收集、吸附、分解等处理措施，严格控制生产过程以及内部物料堆存、传输、装卸等环节产生的粉尘和气态污染物的排放。</w:t>
                  </w:r>
                </w:p>
              </w:tc>
              <w:tc>
                <w:tcPr>
                  <w:tcW w:w="2212" w:type="dxa"/>
                  <w:vAlign w:val="center"/>
                </w:tcPr>
                <w:p>
                  <w:pPr>
                    <w:pStyle w:val="1312"/>
                    <w:jc w:val="center"/>
                    <w:textAlignment w:val="baseline"/>
                    <w:rPr>
                      <w:rFonts w:ascii="Times New Roman" w:hAnsi="Times New Roman" w:cs="Times New Roman"/>
                      <w:sz w:val="18"/>
                      <w:szCs w:val="21"/>
                      <w:lang w:val="en-US"/>
                    </w:rPr>
                  </w:pPr>
                  <w:r>
                    <w:rPr>
                      <w:rFonts w:ascii="Times New Roman" w:hAnsi="Times New Roman" w:cs="Times New Roman"/>
                      <w:sz w:val="18"/>
                      <w:szCs w:val="21"/>
                    </w:rPr>
                    <w:t>本项目所有产污工序均进行密闭、局部封闭、集中收集，通过</w:t>
                  </w:r>
                  <w:r>
                    <w:rPr>
                      <w:rFonts w:ascii="Times New Roman" w:hAnsi="Times New Roman" w:cs="Times New Roman"/>
                      <w:sz w:val="18"/>
                      <w:szCs w:val="21"/>
                      <w:lang w:val="en-US"/>
                    </w:rPr>
                    <w:t>环保设施</w:t>
                  </w:r>
                  <w:r>
                    <w:rPr>
                      <w:rFonts w:ascii="Times New Roman" w:hAnsi="Times New Roman" w:cs="Times New Roman"/>
                      <w:sz w:val="18"/>
                      <w:szCs w:val="21"/>
                    </w:rPr>
                    <w:t>处理后有组织排放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8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7</w:t>
                  </w:r>
                </w:p>
              </w:tc>
              <w:tc>
                <w:tcPr>
                  <w:tcW w:w="5358"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石化、重点有机化工等工业企业应当建立泄漏检测与修复体系，对管道、设备等进行日常检修、维护，及时收集处理泄漏物料。</w:t>
                  </w:r>
                </w:p>
              </w:tc>
              <w:tc>
                <w:tcPr>
                  <w:tcW w:w="2212" w:type="dxa"/>
                  <w:vAlign w:val="center"/>
                </w:tcPr>
                <w:p>
                  <w:pPr>
                    <w:pStyle w:val="1312"/>
                    <w:ind w:left="57"/>
                    <w:jc w:val="center"/>
                    <w:textAlignment w:val="baseline"/>
                    <w:rPr>
                      <w:rFonts w:ascii="Times New Roman" w:hAnsi="Times New Roman" w:cs="Times New Roman"/>
                      <w:sz w:val="18"/>
                      <w:szCs w:val="21"/>
                      <w:lang w:val="en-US"/>
                    </w:rPr>
                  </w:pPr>
                  <w:r>
                    <w:rPr>
                      <w:rFonts w:ascii="Times New Roman" w:hAnsi="Times New Roman" w:cs="Times New Roman"/>
                      <w:sz w:val="18"/>
                      <w:szCs w:val="21"/>
                    </w:rPr>
                    <w:t>项目不涉及石化、重点有机化工</w:t>
                  </w:r>
                  <w:r>
                    <w:rPr>
                      <w:rFonts w:ascii="Times New Roman" w:hAnsi="Times New Roman" w:cs="Times New Roman"/>
                      <w:sz w:val="18"/>
                      <w:szCs w:val="21"/>
                      <w:lang w:val="en-US"/>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8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8</w:t>
                  </w:r>
                </w:p>
              </w:tc>
              <w:tc>
                <w:tcPr>
                  <w:tcW w:w="5358" w:type="dxa"/>
                  <w:vAlign w:val="center"/>
                </w:tcPr>
                <w:p>
                  <w:pPr>
                    <w:pStyle w:val="1312"/>
                    <w:ind w:left="129"/>
                    <w:jc w:val="both"/>
                    <w:textAlignment w:val="baseline"/>
                    <w:rPr>
                      <w:rFonts w:ascii="Times New Roman" w:hAnsi="Times New Roman" w:cs="Times New Roman"/>
                      <w:sz w:val="18"/>
                      <w:szCs w:val="21"/>
                    </w:rPr>
                  </w:pPr>
                  <w:r>
                    <w:rPr>
                      <w:rFonts w:ascii="Times New Roman" w:hAnsi="Times New Roman" w:cs="Times New Roman"/>
                      <w:sz w:val="18"/>
                      <w:szCs w:val="21"/>
                    </w:rPr>
                    <w:t>生产、销售、使用含挥发性有机物的原材料和产品的，其挥发性有机物含量应当符合质量标准或者要求。省人民政府质量技术监督部门应当会同环境保护等部门，定期制定、调整低挥发性有机物含量产品目录和高挥发性有机物含量产品目录并向社会公布。列入高挥发性有机物含量产品目录的产品，应当在其包装或者说明中予以标注。</w:t>
                  </w:r>
                </w:p>
              </w:tc>
              <w:tc>
                <w:tcPr>
                  <w:tcW w:w="2212" w:type="dxa"/>
                  <w:vAlign w:val="center"/>
                </w:tcPr>
                <w:p>
                  <w:pPr>
                    <w:pStyle w:val="1312"/>
                    <w:jc w:val="center"/>
                    <w:textAlignment w:val="baseline"/>
                    <w:rPr>
                      <w:rFonts w:ascii="Times New Roman" w:hAnsi="Times New Roman" w:eastAsia="等线" w:cs="Times New Roman"/>
                      <w:sz w:val="18"/>
                      <w:szCs w:val="21"/>
                    </w:rPr>
                  </w:pPr>
                  <w:r>
                    <w:rPr>
                      <w:rFonts w:hint="eastAsia" w:ascii="宋体" w:hAnsi="宋体"/>
                      <w:sz w:val="18"/>
                      <w:szCs w:val="18"/>
                      <w:lang w:val="zh-CN"/>
                    </w:rPr>
                    <w:t>本项目使用的预涂膜</w:t>
                  </w:r>
                  <w:r>
                    <w:rPr>
                      <w:rFonts w:hint="eastAsia" w:ascii="宋体" w:hAnsi="宋体"/>
                      <w:sz w:val="18"/>
                      <w:szCs w:val="18"/>
                      <w:lang w:val="en-US" w:eastAsia="zh-CN"/>
                    </w:rPr>
                    <w:t>VOCs含量较低,常温下无VOCs产生,仅覆膜工序产生VOCs,项目配套建设两级活性炭吸附装置,用来处理覆膜工序产生的VOCs。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82"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9</w:t>
                  </w:r>
                </w:p>
              </w:tc>
              <w:tc>
                <w:tcPr>
                  <w:tcW w:w="5358" w:type="dxa"/>
                  <w:vAlign w:val="center"/>
                </w:tcPr>
                <w:p>
                  <w:pPr>
                    <w:pStyle w:val="1312"/>
                    <w:ind w:left="129"/>
                    <w:jc w:val="both"/>
                    <w:textAlignment w:val="baseline"/>
                    <w:rPr>
                      <w:rFonts w:ascii="Times New Roman" w:hAnsi="Times New Roman" w:cs="Times New Roman"/>
                      <w:color w:val="auto"/>
                      <w:sz w:val="18"/>
                      <w:szCs w:val="21"/>
                    </w:rPr>
                  </w:pPr>
                  <w:r>
                    <w:rPr>
                      <w:rFonts w:ascii="Times New Roman" w:hAnsi="Times New Roman" w:cs="Times New Roman"/>
                      <w:color w:val="auto"/>
                      <w:sz w:val="18"/>
                      <w:szCs w:val="21"/>
                    </w:rPr>
                    <w:t>向大气排放恶臭气体的排污单位以及垃圾处置场、污水处理厂，应当按照规定设置合理的防护距离，安装净化装置或者采取其他措施减少恶臭气体排放。</w:t>
                  </w:r>
                </w:p>
              </w:tc>
              <w:tc>
                <w:tcPr>
                  <w:tcW w:w="2212" w:type="dxa"/>
                  <w:vAlign w:val="center"/>
                </w:tcPr>
                <w:p>
                  <w:pPr>
                    <w:pStyle w:val="1312"/>
                    <w:ind w:right="57"/>
                    <w:jc w:val="center"/>
                    <w:textAlignment w:val="baseline"/>
                    <w:rPr>
                      <w:rFonts w:ascii="Times New Roman" w:hAnsi="Times New Roman" w:cs="Times New Roman"/>
                      <w:color w:val="auto"/>
                      <w:sz w:val="18"/>
                      <w:szCs w:val="21"/>
                      <w:lang w:val="en-US"/>
                    </w:rPr>
                  </w:pPr>
                  <w:r>
                    <w:rPr>
                      <w:rFonts w:ascii="Times New Roman" w:hAnsi="Times New Roman" w:cs="Times New Roman"/>
                      <w:color w:val="auto"/>
                      <w:sz w:val="18"/>
                      <w:szCs w:val="21"/>
                    </w:rPr>
                    <w:t>项目</w:t>
                  </w:r>
                  <w:r>
                    <w:rPr>
                      <w:rFonts w:hint="eastAsia" w:ascii="Times New Roman" w:hAnsi="Times New Roman" w:cs="Times New Roman"/>
                      <w:color w:val="auto"/>
                      <w:sz w:val="18"/>
                      <w:szCs w:val="21"/>
                      <w:lang w:val="en-US"/>
                    </w:rPr>
                    <w:t>不涉及</w:t>
                  </w:r>
                  <w:r>
                    <w:rPr>
                      <w:rFonts w:ascii="Times New Roman" w:hAnsi="Times New Roman" w:cs="Times New Roman"/>
                      <w:color w:val="auto"/>
                      <w:sz w:val="18"/>
                      <w:szCs w:val="21"/>
                    </w:rPr>
                    <w:t>垃圾处置场、污水处理厂</w:t>
                  </w:r>
                  <w:r>
                    <w:rPr>
                      <w:rFonts w:hint="eastAsia" w:ascii="Times New Roman" w:hAnsi="Times New Roman" w:cs="Times New Roman"/>
                      <w:color w:val="auto"/>
                      <w:sz w:val="18"/>
                      <w:szCs w:val="21"/>
                      <w:lang w:val="en-US"/>
                    </w:rPr>
                    <w:t>，</w:t>
                  </w:r>
                  <w:r>
                    <w:rPr>
                      <w:rFonts w:hint="eastAsia" w:ascii="Times New Roman" w:hAnsi="Times New Roman" w:cs="Times New Roman"/>
                      <w:color w:val="auto"/>
                      <w:sz w:val="18"/>
                      <w:szCs w:val="21"/>
                      <w:lang w:val="en-US" w:eastAsia="zh-CN"/>
                    </w:rPr>
                    <w:t>不涉及</w:t>
                  </w:r>
                  <w:r>
                    <w:rPr>
                      <w:rFonts w:hint="eastAsia" w:ascii="Times New Roman" w:hAnsi="Times New Roman" w:cs="Times New Roman"/>
                      <w:color w:val="auto"/>
                      <w:sz w:val="18"/>
                      <w:szCs w:val="21"/>
                      <w:lang w:val="en-US"/>
                    </w:rPr>
                    <w:t>恶臭气体排放</w:t>
                  </w:r>
                </w:p>
              </w:tc>
            </w:tr>
          </w:tbl>
          <w:p>
            <w:pPr>
              <w:tabs>
                <w:tab w:val="left" w:pos="5427"/>
              </w:tabs>
              <w:spacing w:line="360" w:lineRule="auto"/>
              <w:ind w:firstLine="420" w:firstLineChars="200"/>
              <w:rPr>
                <w:bCs/>
              </w:rPr>
            </w:pPr>
            <w:r>
              <w:rPr>
                <w:bCs/>
              </w:rPr>
              <w:t>由上表可知，项目符合《山东省大气污染防治条例》的要求。</w:t>
            </w:r>
          </w:p>
          <w:p>
            <w:pPr>
              <w:tabs>
                <w:tab w:val="left" w:pos="5427"/>
              </w:tabs>
              <w:spacing w:line="360" w:lineRule="auto"/>
              <w:ind w:firstLine="420" w:firstLineChars="200"/>
              <w:rPr>
                <w:bCs/>
                <w:highlight w:val="none"/>
              </w:rPr>
            </w:pPr>
            <w:r>
              <w:rPr>
                <w:bCs/>
                <w:highlight w:val="none"/>
              </w:rPr>
              <w:t>（4）《山东省工业企业无组织排放分行业管控指导意见》鲁环发[2020]30 号的符合性分析</w:t>
            </w:r>
          </w:p>
          <w:p>
            <w:pPr>
              <w:tabs>
                <w:tab w:val="left" w:pos="5427"/>
              </w:tabs>
              <w:spacing w:line="360" w:lineRule="auto"/>
              <w:ind w:firstLine="420" w:firstLineChars="200"/>
              <w:rPr>
                <w:bCs/>
              </w:rPr>
            </w:pPr>
            <w:r>
              <w:rPr>
                <w:bCs/>
              </w:rPr>
              <w:t>本项目与鲁环发[2020]30 号的符合性分析见下表。</w:t>
            </w:r>
          </w:p>
          <w:p>
            <w:pPr>
              <w:pStyle w:val="12"/>
              <w:spacing w:line="360" w:lineRule="auto"/>
              <w:ind w:firstLine="422"/>
              <w:jc w:val="center"/>
              <w:rPr>
                <w:lang w:eastAsia="zh"/>
              </w:rPr>
            </w:pPr>
            <w:r>
              <w:rPr>
                <w:b/>
              </w:rPr>
              <w:t>表1-</w:t>
            </w:r>
            <w:r>
              <w:rPr>
                <w:rFonts w:hint="eastAsia"/>
                <w:b/>
                <w:lang w:val="en-US" w:eastAsia="zh-CN"/>
              </w:rPr>
              <w:t>10</w:t>
            </w:r>
            <w:r>
              <w:rPr>
                <w:b/>
              </w:rPr>
              <w:t>项目与鲁环发[2020]30 号符合情况分析</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6"/>
              <w:gridCol w:w="4453"/>
              <w:gridCol w:w="2515"/>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6" w:type="dxa"/>
                  <w:vAlign w:val="center"/>
                </w:tcPr>
                <w:p>
                  <w:pPr>
                    <w:pStyle w:val="1312"/>
                    <w:ind w:right="24"/>
                    <w:jc w:val="center"/>
                    <w:textAlignment w:val="baseline"/>
                    <w:rPr>
                      <w:rFonts w:ascii="Times New Roman" w:hAnsi="Times New Roman" w:cs="Times New Roman"/>
                      <w:b/>
                      <w:bCs/>
                      <w:sz w:val="18"/>
                      <w:szCs w:val="21"/>
                    </w:rPr>
                  </w:pPr>
                  <w:r>
                    <w:rPr>
                      <w:rFonts w:ascii="Times New Roman" w:hAnsi="Times New Roman" w:cs="Times New Roman"/>
                      <w:b/>
                      <w:bCs/>
                      <w:sz w:val="18"/>
                      <w:szCs w:val="21"/>
                    </w:rPr>
                    <w:t>分类</w:t>
                  </w:r>
                </w:p>
              </w:tc>
              <w:tc>
                <w:tcPr>
                  <w:tcW w:w="4453" w:type="dxa"/>
                  <w:vAlign w:val="center"/>
                </w:tcPr>
                <w:p>
                  <w:pPr>
                    <w:pStyle w:val="1312"/>
                    <w:ind w:left="19"/>
                    <w:jc w:val="center"/>
                    <w:textAlignment w:val="baseline"/>
                    <w:rPr>
                      <w:rFonts w:ascii="Times New Roman" w:hAnsi="Times New Roman" w:cs="Times New Roman"/>
                      <w:b/>
                      <w:bCs/>
                      <w:sz w:val="18"/>
                      <w:szCs w:val="21"/>
                    </w:rPr>
                  </w:pPr>
                  <w:r>
                    <w:rPr>
                      <w:rFonts w:ascii="Times New Roman" w:hAnsi="Times New Roman" w:cs="Times New Roman"/>
                      <w:b/>
                      <w:bCs/>
                      <w:sz w:val="18"/>
                      <w:szCs w:val="21"/>
                    </w:rPr>
                    <w:t>文件要求</w:t>
                  </w:r>
                </w:p>
              </w:tc>
              <w:tc>
                <w:tcPr>
                  <w:tcW w:w="2515" w:type="dxa"/>
                  <w:vAlign w:val="center"/>
                </w:tcPr>
                <w:p>
                  <w:pPr>
                    <w:pStyle w:val="1312"/>
                    <w:ind w:left="19"/>
                    <w:jc w:val="center"/>
                    <w:textAlignment w:val="baseline"/>
                    <w:rPr>
                      <w:rFonts w:ascii="Times New Roman" w:hAnsi="Times New Roman" w:cs="Times New Roman"/>
                      <w:b/>
                      <w:bCs/>
                      <w:sz w:val="18"/>
                      <w:szCs w:val="21"/>
                    </w:rPr>
                  </w:pPr>
                  <w:r>
                    <w:rPr>
                      <w:rFonts w:ascii="Times New Roman" w:hAnsi="Times New Roman" w:cs="Times New Roman"/>
                      <w:b/>
                      <w:bCs/>
                      <w:sz w:val="18"/>
                      <w:szCs w:val="21"/>
                    </w:rPr>
                    <w:t>本项目情况</w:t>
                  </w:r>
                </w:p>
              </w:tc>
              <w:tc>
                <w:tcPr>
                  <w:tcW w:w="698" w:type="dxa"/>
                  <w:vAlign w:val="center"/>
                </w:tcPr>
                <w:p>
                  <w:pPr>
                    <w:pStyle w:val="1312"/>
                    <w:ind w:left="48"/>
                    <w:jc w:val="center"/>
                    <w:textAlignment w:val="baseline"/>
                    <w:rPr>
                      <w:rFonts w:ascii="Times New Roman" w:hAnsi="Times New Roman" w:cs="Times New Roman"/>
                      <w:b/>
                      <w:bCs/>
                      <w:sz w:val="18"/>
                      <w:szCs w:val="21"/>
                    </w:rPr>
                  </w:pPr>
                  <w:r>
                    <w:rPr>
                      <w:rFonts w:ascii="Times New Roman" w:hAnsi="Times New Roman" w:cs="Times New Roman"/>
                      <w:b/>
                      <w:bCs/>
                      <w:sz w:val="18"/>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6" w:type="dxa"/>
                  <w:vMerge w:val="restart"/>
                  <w:vAlign w:val="center"/>
                </w:tcPr>
                <w:p>
                  <w:pPr>
                    <w:pStyle w:val="1312"/>
                    <w:jc w:val="center"/>
                    <w:textAlignment w:val="baseline"/>
                    <w:rPr>
                      <w:rFonts w:ascii="Times New Roman" w:hAnsi="Times New Roman" w:cs="Times New Roman"/>
                      <w:sz w:val="18"/>
                      <w:szCs w:val="18"/>
                    </w:rPr>
                  </w:pPr>
                  <w:r>
                    <w:rPr>
                      <w:rFonts w:ascii="Times New Roman" w:hAnsi="Times New Roman" w:cs="Times New Roman"/>
                      <w:sz w:val="18"/>
                      <w:szCs w:val="18"/>
                    </w:rPr>
                    <w:t>管控要求</w:t>
                  </w:r>
                </w:p>
              </w:tc>
              <w:tc>
                <w:tcPr>
                  <w:tcW w:w="4453" w:type="dxa"/>
                  <w:vAlign w:val="center"/>
                </w:tcPr>
                <w:p>
                  <w:pPr>
                    <w:pStyle w:val="1312"/>
                    <w:ind w:left="76"/>
                    <w:jc w:val="center"/>
                    <w:textAlignment w:val="baseline"/>
                    <w:rPr>
                      <w:rFonts w:ascii="Times New Roman" w:hAnsi="Times New Roman" w:cs="Times New Roman"/>
                      <w:sz w:val="18"/>
                      <w:szCs w:val="18"/>
                    </w:rPr>
                  </w:pPr>
                  <w:r>
                    <w:rPr>
                      <w:rFonts w:ascii="Times New Roman" w:hAnsi="Times New Roman" w:cs="Times New Roman"/>
                      <w:sz w:val="18"/>
                      <w:szCs w:val="18"/>
                    </w:rPr>
                    <w:t>1、加强物料运输、装卸环节管控。煤粉、粉煤灰、石灰、除尘灰、脱硫灰、原料药等粉状物料采用管状带式输送机、气力输送、真空罐车、密闭车厢等密闭方式运输；砂石、矿石、煤、铁精矿、脱硫石膏等块状、粒状或粘湿物料采用皮带通廊、封闭车厢等封闭方式运输或苫盖严密，防止沿途抛洒和飞扬。料场或厂区出入口配备车辆清洗装置或采取其他控制措施，确保出场车辆清洁、运输不起尘。厂区道路硬化，平整无破损、无积尘，厂区无裸露空地，闲置裸露空地及时绿化或硬化，厂区道路定期洒水清扫。块状、粒状或粘湿物料直接卸落至储存料场，装卸过程配备有效抑尘、集尘除尘设施，粉状物料装卸口配备密封防尘装置且不得直接卸落到地面。挥发性有机液体装车采用顶部浸没式或底部装载，严禁喷溅，运输相关产品的车辆具备油气回收接口。</w:t>
                  </w:r>
                </w:p>
              </w:tc>
              <w:tc>
                <w:tcPr>
                  <w:tcW w:w="2515" w:type="dxa"/>
                  <w:vAlign w:val="center"/>
                </w:tcPr>
                <w:p>
                  <w:pPr>
                    <w:pStyle w:val="1312"/>
                    <w:ind w:left="72"/>
                    <w:jc w:val="center"/>
                    <w:textAlignment w:val="baseline"/>
                    <w:rPr>
                      <w:rFonts w:ascii="Times New Roman" w:hAnsi="Times New Roman" w:cs="Times New Roman"/>
                      <w:sz w:val="18"/>
                      <w:szCs w:val="21"/>
                      <w:lang w:val="en-US"/>
                    </w:rPr>
                  </w:pPr>
                  <w:r>
                    <w:rPr>
                      <w:rFonts w:hint="eastAsia" w:ascii="Times New Roman" w:hAnsi="Times New Roman" w:cs="Times New Roman"/>
                      <w:sz w:val="18"/>
                      <w:szCs w:val="21"/>
                      <w:lang w:val="en-US" w:eastAsia="zh-CN"/>
                    </w:rPr>
                    <w:t>本项目不涉及粉状物料，无粉尘产生。不涉及挥发性有机液体。</w:t>
                  </w:r>
                  <w:r>
                    <w:rPr>
                      <w:rFonts w:ascii="Times New Roman" w:hAnsi="Times New Roman" w:cs="Times New Roman"/>
                      <w:sz w:val="18"/>
                      <w:szCs w:val="21"/>
                      <w:lang w:val="en-US"/>
                    </w:rPr>
                    <w:t>厂区道路硬化。</w:t>
                  </w:r>
                </w:p>
              </w:tc>
              <w:tc>
                <w:tcPr>
                  <w:tcW w:w="698" w:type="dxa"/>
                  <w:vAlign w:val="center"/>
                </w:tcPr>
                <w:p>
                  <w:pPr>
                    <w:pStyle w:val="1312"/>
                    <w:jc w:val="center"/>
                    <w:textAlignment w:val="baseline"/>
                    <w:rPr>
                      <w:rFonts w:ascii="Times New Roman" w:hAnsi="Times New Roman" w:cs="Times New Roman"/>
                      <w:color w:val="FF0000"/>
                      <w:sz w:val="18"/>
                      <w:szCs w:val="21"/>
                    </w:rPr>
                  </w:pPr>
                  <w:r>
                    <w:rPr>
                      <w:rFonts w:ascii="Times New Roman" w:hAnsi="Times New Roman" w:cs="Times New Roman"/>
                      <w:sz w:val="18"/>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6" w:type="dxa"/>
                  <w:vMerge w:val="continue"/>
                  <w:vAlign w:val="center"/>
                </w:tcPr>
                <w:p>
                  <w:pPr>
                    <w:pStyle w:val="1312"/>
                    <w:jc w:val="center"/>
                    <w:textAlignment w:val="baseline"/>
                    <w:rPr>
                      <w:rFonts w:ascii="Times New Roman" w:hAnsi="Times New Roman" w:cs="Times New Roman"/>
                      <w:sz w:val="18"/>
                      <w:szCs w:val="21"/>
                    </w:rPr>
                  </w:pPr>
                </w:p>
              </w:tc>
              <w:tc>
                <w:tcPr>
                  <w:tcW w:w="4453" w:type="dxa"/>
                  <w:vAlign w:val="center"/>
                </w:tcPr>
                <w:p>
                  <w:pPr>
                    <w:pStyle w:val="1312"/>
                    <w:ind w:left="76"/>
                    <w:jc w:val="center"/>
                    <w:textAlignment w:val="baseline"/>
                    <w:rPr>
                      <w:rFonts w:ascii="Times New Roman" w:hAnsi="Times New Roman" w:cs="Times New Roman"/>
                      <w:sz w:val="18"/>
                      <w:szCs w:val="21"/>
                    </w:rPr>
                  </w:pPr>
                  <w:r>
                    <w:rPr>
                      <w:rFonts w:ascii="Times New Roman" w:hAnsi="Times New Roman" w:cs="Times New Roman"/>
                      <w:sz w:val="18"/>
                      <w:szCs w:val="18"/>
                    </w:rPr>
                    <w:t>2、加强物料储存、输送环节管控。煤粉、粉煤灰、石灰、除尘灰、脱硫灰、原料药等粉状物料采用料仓、储罐、容器、包装袋等方式密闭储存，料仓、储罐配置高效除尘设施；采用管状带式输送机、气力输送、真空罐车、密闭车辆等方式输送。砂石、矿石、煤、铁精矿、脱硫石膏等块状、粒状或粘湿物料采用密闭料仓、封闭料棚或建设防风抑尘网等方式进行规范储存，封闭料棚和露天料场内设有喷淋装置，喷淋范围覆盖整个料堆。所储存物料对含水率有严格要求或遇水发生变化的，在料场内安装有效集尘除尘设施。封闭料棚进出口安装封闭性良好且便于开关的卷帘门、推拉门或自动感应门等，无车辆通过时将门关闭。防风抑尘网高度高于料场堆存高度，并对堆存物料进行严密苫盖。块状、粒状或粘湿物料上料口设置在封闭料棚内，采用管状带式输送机、皮带通廊、封闭车辆等方式输送。物料上料、输送、转接、出料和扒渣等过程中的产尘点采取有效抑尘、集尘除尘措施。含挥发性有机物（VOCs）物料储存于密闭容器、包装袋，高效密封储罐，封闭式储库、料仓等；封闭式储库、料仓设置VOCs有效收集治理设施。含VOCs物料输送，采用密闭管道或密闭容器、罐车等。</w:t>
                  </w:r>
                </w:p>
              </w:tc>
              <w:tc>
                <w:tcPr>
                  <w:tcW w:w="2515" w:type="dxa"/>
                  <w:vAlign w:val="center"/>
                </w:tcPr>
                <w:p>
                  <w:pPr>
                    <w:pStyle w:val="1312"/>
                    <w:ind w:left="72"/>
                    <w:jc w:val="center"/>
                    <w:textAlignment w:val="baseline"/>
                    <w:rPr>
                      <w:rFonts w:hint="eastAsia" w:ascii="Times New Roman" w:hAnsi="Times New Roman" w:eastAsia="宋体" w:cs="Times New Roman"/>
                      <w:sz w:val="18"/>
                      <w:szCs w:val="21"/>
                      <w:lang w:val="en-US" w:eastAsia="zh-CN"/>
                    </w:rPr>
                  </w:pPr>
                  <w:r>
                    <w:rPr>
                      <w:rFonts w:hint="eastAsia" w:ascii="Times New Roman" w:hAnsi="Times New Roman" w:cs="Times New Roman"/>
                      <w:sz w:val="18"/>
                      <w:szCs w:val="21"/>
                      <w:lang w:val="en-US" w:eastAsia="zh-CN"/>
                    </w:rPr>
                    <w:t>本项目不涉及粉状物料，无粉尘产生。不涉及挥发性有机液体。覆膜</w:t>
                  </w:r>
                  <w:r>
                    <w:rPr>
                      <w:rFonts w:ascii="Times New Roman" w:hAnsi="Times New Roman" w:cs="Times New Roman"/>
                      <w:sz w:val="18"/>
                      <w:szCs w:val="21"/>
                      <w:lang w:val="en-US"/>
                    </w:rPr>
                    <w:t>过程产生的VOCs，</w:t>
                  </w:r>
                  <w:r>
                    <w:rPr>
                      <w:rFonts w:hint="eastAsia" w:ascii="Times New Roman" w:hAnsi="Times New Roman" w:cs="Times New Roman"/>
                      <w:sz w:val="18"/>
                      <w:szCs w:val="21"/>
                      <w:lang w:val="en-US"/>
                    </w:rPr>
                    <w:t>经集气罩收集</w:t>
                  </w:r>
                  <w:r>
                    <w:rPr>
                      <w:rFonts w:hint="eastAsia" w:ascii="Times New Roman" w:hAnsi="Times New Roman" w:cs="Times New Roman"/>
                      <w:sz w:val="18"/>
                      <w:szCs w:val="21"/>
                      <w:lang w:val="en-US" w:eastAsia="zh-CN"/>
                    </w:rPr>
                    <w:t>后经两</w:t>
                  </w:r>
                  <w:r>
                    <w:rPr>
                      <w:rFonts w:hint="eastAsia" w:ascii="Times New Roman" w:hAnsi="Times New Roman" w:cs="Times New Roman"/>
                      <w:sz w:val="18"/>
                      <w:szCs w:val="21"/>
                      <w:lang w:val="en-US"/>
                    </w:rPr>
                    <w:t>级活性炭吸附装置</w:t>
                  </w:r>
                  <w:r>
                    <w:rPr>
                      <w:rFonts w:ascii="Times New Roman" w:hAnsi="Times New Roman" w:cs="Times New Roman"/>
                      <w:sz w:val="18"/>
                      <w:szCs w:val="21"/>
                      <w:lang w:val="en-US"/>
                    </w:rPr>
                    <w:t>处理后由15m排气筒（DA001）有组织排放；</w:t>
                  </w:r>
                  <w:r>
                    <w:rPr>
                      <w:rFonts w:hint="default" w:ascii="Times New Roman" w:hAnsi="Times New Roman" w:cs="Times New Roman"/>
                      <w:color w:val="auto"/>
                      <w:sz w:val="18"/>
                      <w:szCs w:val="18"/>
                      <w:lang w:eastAsia="zh-CN"/>
                    </w:rPr>
                    <w:t>液化石油气燃烧</w:t>
                  </w:r>
                  <w:r>
                    <w:rPr>
                      <w:rFonts w:hint="default" w:ascii="Times New Roman" w:hAnsi="Times New Roman" w:cs="Times New Roman"/>
                      <w:sz w:val="18"/>
                      <w:szCs w:val="18"/>
                    </w:rPr>
                    <w:t>产生的</w:t>
                  </w:r>
                  <w:r>
                    <w:rPr>
                      <w:rFonts w:hint="default" w:ascii="Times New Roman" w:hAnsi="Times New Roman" w:cs="Times New Roman"/>
                      <w:sz w:val="18"/>
                      <w:szCs w:val="18"/>
                      <w:lang w:eastAsia="zh-CN"/>
                    </w:rPr>
                    <w:t>颗粒物、</w:t>
                  </w:r>
                  <w:r>
                    <w:rPr>
                      <w:rFonts w:hint="default" w:ascii="Times New Roman" w:hAnsi="Times New Roman" w:cs="Times New Roman"/>
                      <w:bCs/>
                      <w:color w:val="auto"/>
                      <w:sz w:val="18"/>
                      <w:szCs w:val="18"/>
                      <w:lang w:val="en-US" w:eastAsia="zh-CN"/>
                    </w:rPr>
                    <w:t>SO</w:t>
                  </w:r>
                  <w:r>
                    <w:rPr>
                      <w:rFonts w:hint="default" w:ascii="Times New Roman" w:hAnsi="Times New Roman" w:cs="Times New Roman"/>
                      <w:bCs/>
                      <w:color w:val="auto"/>
                      <w:sz w:val="18"/>
                      <w:szCs w:val="18"/>
                      <w:vertAlign w:val="subscript"/>
                      <w:lang w:val="en-US" w:eastAsia="zh-CN"/>
                    </w:rPr>
                    <w:t>2</w:t>
                  </w:r>
                  <w:r>
                    <w:rPr>
                      <w:rFonts w:hint="default" w:ascii="Times New Roman" w:hAnsi="Times New Roman" w:cs="Times New Roman"/>
                      <w:bCs/>
                      <w:color w:val="auto"/>
                      <w:sz w:val="18"/>
                      <w:szCs w:val="18"/>
                      <w:vertAlign w:val="baseline"/>
                      <w:lang w:val="en-US" w:eastAsia="zh-CN"/>
                    </w:rPr>
                    <w:t>、NO</w:t>
                  </w:r>
                  <w:r>
                    <w:rPr>
                      <w:rFonts w:hint="default" w:ascii="Times New Roman" w:hAnsi="Times New Roman" w:cs="Times New Roman"/>
                      <w:bCs/>
                      <w:color w:val="auto"/>
                      <w:sz w:val="18"/>
                      <w:szCs w:val="18"/>
                      <w:vertAlign w:val="subscript"/>
                      <w:lang w:val="en-US" w:eastAsia="zh-CN"/>
                    </w:rPr>
                    <w:t>x</w:t>
                  </w:r>
                  <w:r>
                    <w:rPr>
                      <w:rFonts w:hint="default" w:ascii="Times New Roman" w:hAnsi="Times New Roman" w:cs="Times New Roman"/>
                      <w:sz w:val="18"/>
                      <w:szCs w:val="18"/>
                      <w:lang w:eastAsia="zh-CN"/>
                    </w:rPr>
                    <w:t>、林格曼黑度全部收集后经</w:t>
                  </w:r>
                  <w:r>
                    <w:rPr>
                      <w:rFonts w:hint="default" w:ascii="Times New Roman" w:hAnsi="Times New Roman" w:cs="Times New Roman"/>
                      <w:sz w:val="18"/>
                      <w:szCs w:val="18"/>
                      <w:lang w:val="en-US" w:eastAsia="zh-CN"/>
                    </w:rPr>
                    <w:t>15m</w:t>
                  </w:r>
                  <w:r>
                    <w:rPr>
                      <w:rFonts w:hint="default" w:ascii="Times New Roman" w:hAnsi="Times New Roman" w:cs="Times New Roman"/>
                      <w:sz w:val="18"/>
                      <w:szCs w:val="18"/>
                    </w:rPr>
                    <w:t>DA002排气筒有组织排放</w:t>
                  </w:r>
                </w:p>
              </w:tc>
              <w:tc>
                <w:tcPr>
                  <w:tcW w:w="698"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6" w:type="dxa"/>
                  <w:vMerge w:val="continue"/>
                  <w:vAlign w:val="center"/>
                </w:tcPr>
                <w:p>
                  <w:pPr>
                    <w:pStyle w:val="1312"/>
                    <w:jc w:val="center"/>
                    <w:textAlignment w:val="baseline"/>
                    <w:rPr>
                      <w:rFonts w:ascii="Times New Roman" w:hAnsi="Times New Roman" w:cs="Times New Roman"/>
                      <w:sz w:val="18"/>
                      <w:szCs w:val="21"/>
                    </w:rPr>
                  </w:pPr>
                </w:p>
              </w:tc>
              <w:tc>
                <w:tcPr>
                  <w:tcW w:w="4453" w:type="dxa"/>
                  <w:vAlign w:val="center"/>
                </w:tcPr>
                <w:p>
                  <w:pPr>
                    <w:pStyle w:val="1312"/>
                    <w:ind w:left="76"/>
                    <w:jc w:val="center"/>
                    <w:textAlignment w:val="baseline"/>
                    <w:rPr>
                      <w:rFonts w:ascii="Times New Roman" w:hAnsi="Times New Roman" w:cs="Times New Roman"/>
                      <w:sz w:val="18"/>
                      <w:szCs w:val="21"/>
                    </w:rPr>
                  </w:pPr>
                  <w:r>
                    <w:rPr>
                      <w:rFonts w:ascii="Times New Roman" w:hAnsi="Times New Roman" w:cs="Times New Roman"/>
                      <w:sz w:val="18"/>
                      <w:szCs w:val="18"/>
                    </w:rPr>
                    <w:t>3、加强生产环节管控。通过提高工艺自动化和设备密闭化水平，减少生产过程中的无组织排放。生产过程中的产尘点和VOCs产生点密闭、封闭或采取有效收集处理措施。生产设备和废气收集处理设施同步运行，废气收集处理设施发生故障或检修时，停止运行对应的生产设备，待检修完毕后投入使用。生产设备不能停止或不能及时停止运行的，设置废气应急处理设施或采取其他替代措施。生产车间地面及生产设备表面保持清洁，除电子、电气原件外，不得采用压缩空气吹扫等易产生扬尘的清理措施。厂内污水收集、输送、处理，污泥产生、暂存、处置，危险废物暂存等产生VOCs或恶臭气体的区域加罩或加盖封闭并进行收集处理。涉VOCs化（试）验室实验平台设置负压集气系统，对化（试）验室中产生的废气进行集中收集治理。</w:t>
                  </w:r>
                </w:p>
              </w:tc>
              <w:tc>
                <w:tcPr>
                  <w:tcW w:w="2515" w:type="dxa"/>
                  <w:vAlign w:val="center"/>
                </w:tcPr>
                <w:p>
                  <w:pPr>
                    <w:pStyle w:val="1312"/>
                    <w:ind w:left="72"/>
                    <w:jc w:val="center"/>
                    <w:textAlignment w:val="baseline"/>
                    <w:rPr>
                      <w:rFonts w:hint="eastAsia" w:ascii="Times New Roman" w:hAnsi="Times New Roman" w:eastAsia="宋体" w:cs="Times New Roman"/>
                      <w:sz w:val="18"/>
                      <w:szCs w:val="21"/>
                      <w:lang w:val="en-US" w:eastAsia="zh-CN"/>
                    </w:rPr>
                  </w:pPr>
                  <w:r>
                    <w:rPr>
                      <w:rFonts w:hint="eastAsia" w:ascii="Times New Roman" w:hAnsi="Times New Roman" w:cs="Times New Roman"/>
                      <w:sz w:val="18"/>
                      <w:szCs w:val="21"/>
                      <w:lang w:val="en-US" w:eastAsia="zh-CN"/>
                    </w:rPr>
                    <w:t>覆膜</w:t>
                  </w:r>
                  <w:r>
                    <w:rPr>
                      <w:rFonts w:ascii="Times New Roman" w:hAnsi="Times New Roman" w:cs="Times New Roman"/>
                      <w:sz w:val="18"/>
                      <w:szCs w:val="21"/>
                      <w:lang w:val="en-US"/>
                    </w:rPr>
                    <w:t>过程产生的VOCs，</w:t>
                  </w:r>
                  <w:r>
                    <w:rPr>
                      <w:rFonts w:hint="eastAsia" w:ascii="Times New Roman" w:hAnsi="Times New Roman" w:cs="Times New Roman"/>
                      <w:sz w:val="18"/>
                      <w:szCs w:val="21"/>
                      <w:lang w:val="en-US"/>
                    </w:rPr>
                    <w:t>经集气罩收集</w:t>
                  </w:r>
                  <w:r>
                    <w:rPr>
                      <w:rFonts w:hint="eastAsia" w:ascii="Times New Roman" w:hAnsi="Times New Roman" w:cs="Times New Roman"/>
                      <w:sz w:val="18"/>
                      <w:szCs w:val="21"/>
                      <w:lang w:val="en-US" w:eastAsia="zh-CN"/>
                    </w:rPr>
                    <w:t>后经两</w:t>
                  </w:r>
                  <w:r>
                    <w:rPr>
                      <w:rFonts w:hint="eastAsia" w:ascii="Times New Roman" w:hAnsi="Times New Roman" w:cs="Times New Roman"/>
                      <w:sz w:val="18"/>
                      <w:szCs w:val="21"/>
                      <w:lang w:val="en-US"/>
                    </w:rPr>
                    <w:t>级活性炭吸附装置</w:t>
                  </w:r>
                  <w:r>
                    <w:rPr>
                      <w:rFonts w:ascii="Times New Roman" w:hAnsi="Times New Roman" w:cs="Times New Roman"/>
                      <w:sz w:val="18"/>
                      <w:szCs w:val="21"/>
                      <w:lang w:val="en-US"/>
                    </w:rPr>
                    <w:t>处理后由</w:t>
                  </w:r>
                  <w:r>
                    <w:rPr>
                      <w:rFonts w:hint="default" w:ascii="Times New Roman" w:hAnsi="Times New Roman" w:cs="Times New Roman"/>
                      <w:sz w:val="18"/>
                      <w:szCs w:val="18"/>
                      <w:lang w:val="en-US"/>
                    </w:rPr>
                    <w:t>15m排气筒（DA001）有组织排放；</w:t>
                  </w:r>
                  <w:r>
                    <w:rPr>
                      <w:rFonts w:hint="default" w:ascii="Times New Roman" w:hAnsi="Times New Roman" w:cs="Times New Roman"/>
                      <w:color w:val="auto"/>
                      <w:sz w:val="18"/>
                      <w:szCs w:val="18"/>
                      <w:lang w:eastAsia="zh-CN"/>
                    </w:rPr>
                    <w:t>液化石油气燃烧</w:t>
                  </w:r>
                  <w:r>
                    <w:rPr>
                      <w:rFonts w:hint="default" w:ascii="Times New Roman" w:hAnsi="Times New Roman" w:cs="Times New Roman"/>
                      <w:sz w:val="18"/>
                      <w:szCs w:val="18"/>
                    </w:rPr>
                    <w:t>产生的</w:t>
                  </w:r>
                  <w:r>
                    <w:rPr>
                      <w:rFonts w:hint="default" w:ascii="Times New Roman" w:hAnsi="Times New Roman" w:cs="Times New Roman"/>
                      <w:sz w:val="18"/>
                      <w:szCs w:val="18"/>
                      <w:lang w:eastAsia="zh-CN"/>
                    </w:rPr>
                    <w:t>颗粒物、</w:t>
                  </w:r>
                  <w:r>
                    <w:rPr>
                      <w:rFonts w:hint="default" w:ascii="Times New Roman" w:hAnsi="Times New Roman" w:cs="Times New Roman"/>
                      <w:bCs/>
                      <w:color w:val="auto"/>
                      <w:sz w:val="18"/>
                      <w:szCs w:val="18"/>
                      <w:lang w:val="en-US" w:eastAsia="zh-CN"/>
                    </w:rPr>
                    <w:t>SO</w:t>
                  </w:r>
                  <w:r>
                    <w:rPr>
                      <w:rFonts w:hint="default" w:ascii="Times New Roman" w:hAnsi="Times New Roman" w:cs="Times New Roman"/>
                      <w:bCs/>
                      <w:color w:val="auto"/>
                      <w:sz w:val="18"/>
                      <w:szCs w:val="18"/>
                      <w:vertAlign w:val="subscript"/>
                      <w:lang w:val="en-US" w:eastAsia="zh-CN"/>
                    </w:rPr>
                    <w:t>2</w:t>
                  </w:r>
                  <w:r>
                    <w:rPr>
                      <w:rFonts w:hint="default" w:ascii="Times New Roman" w:hAnsi="Times New Roman" w:cs="Times New Roman"/>
                      <w:bCs/>
                      <w:color w:val="auto"/>
                      <w:sz w:val="18"/>
                      <w:szCs w:val="18"/>
                      <w:vertAlign w:val="baseline"/>
                      <w:lang w:val="en-US" w:eastAsia="zh-CN"/>
                    </w:rPr>
                    <w:t>、NO</w:t>
                  </w:r>
                  <w:r>
                    <w:rPr>
                      <w:rFonts w:hint="default" w:ascii="Times New Roman" w:hAnsi="Times New Roman" w:cs="Times New Roman"/>
                      <w:bCs/>
                      <w:color w:val="auto"/>
                      <w:sz w:val="18"/>
                      <w:szCs w:val="18"/>
                      <w:vertAlign w:val="subscript"/>
                      <w:lang w:val="en-US" w:eastAsia="zh-CN"/>
                    </w:rPr>
                    <w:t>x</w:t>
                  </w:r>
                  <w:r>
                    <w:rPr>
                      <w:rFonts w:hint="default" w:ascii="Times New Roman" w:hAnsi="Times New Roman" w:cs="Times New Roman"/>
                      <w:sz w:val="18"/>
                      <w:szCs w:val="18"/>
                      <w:lang w:eastAsia="zh-CN"/>
                    </w:rPr>
                    <w:t>、林格曼黑度全部收集后经</w:t>
                  </w:r>
                  <w:r>
                    <w:rPr>
                      <w:rFonts w:hint="default" w:ascii="Times New Roman" w:hAnsi="Times New Roman" w:cs="Times New Roman"/>
                      <w:sz w:val="18"/>
                      <w:szCs w:val="18"/>
                      <w:lang w:val="en-US" w:eastAsia="zh-CN"/>
                    </w:rPr>
                    <w:t>15m</w:t>
                  </w:r>
                  <w:r>
                    <w:rPr>
                      <w:rFonts w:hint="default" w:ascii="Times New Roman" w:hAnsi="Times New Roman" w:cs="Times New Roman"/>
                      <w:sz w:val="18"/>
                      <w:szCs w:val="18"/>
                    </w:rPr>
                    <w:t>DA002排气筒有组织排放</w:t>
                  </w:r>
                  <w:r>
                    <w:rPr>
                      <w:rFonts w:hint="default" w:ascii="Times New Roman" w:hAnsi="Times New Roman" w:cs="Times New Roman"/>
                      <w:sz w:val="18"/>
                      <w:szCs w:val="18"/>
                      <w:lang w:val="en-US"/>
                    </w:rPr>
                    <w:t>危险废物储存在危废</w:t>
                  </w:r>
                  <w:r>
                    <w:rPr>
                      <w:rFonts w:ascii="Times New Roman" w:hAnsi="Times New Roman" w:cs="Times New Roman"/>
                      <w:sz w:val="18"/>
                      <w:szCs w:val="21"/>
                      <w:lang w:val="en-US"/>
                    </w:rPr>
                    <w:t>暂存间</w:t>
                  </w:r>
                  <w:r>
                    <w:rPr>
                      <w:rFonts w:hint="eastAsia" w:ascii="Times New Roman" w:hAnsi="Times New Roman" w:cs="Times New Roman"/>
                      <w:sz w:val="18"/>
                      <w:szCs w:val="21"/>
                      <w:lang w:val="en-US" w:eastAsia="zh-CN"/>
                    </w:rPr>
                    <w:t>，储存过程无废气产生。</w:t>
                  </w:r>
                </w:p>
              </w:tc>
              <w:tc>
                <w:tcPr>
                  <w:tcW w:w="698"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6" w:type="dxa"/>
                  <w:vMerge w:val="continue"/>
                  <w:vAlign w:val="center"/>
                </w:tcPr>
                <w:p>
                  <w:pPr>
                    <w:pStyle w:val="1312"/>
                    <w:jc w:val="center"/>
                    <w:textAlignment w:val="baseline"/>
                    <w:rPr>
                      <w:rFonts w:ascii="Times New Roman" w:hAnsi="Times New Roman" w:cs="Times New Roman"/>
                      <w:sz w:val="18"/>
                      <w:szCs w:val="21"/>
                    </w:rPr>
                  </w:pPr>
                </w:p>
              </w:tc>
              <w:tc>
                <w:tcPr>
                  <w:tcW w:w="4453" w:type="dxa"/>
                  <w:vAlign w:val="center"/>
                </w:tcPr>
                <w:p>
                  <w:pPr>
                    <w:pStyle w:val="1312"/>
                    <w:ind w:left="76"/>
                    <w:jc w:val="center"/>
                    <w:textAlignment w:val="baseline"/>
                    <w:rPr>
                      <w:rFonts w:ascii="Times New Roman" w:hAnsi="Times New Roman" w:cs="Times New Roman"/>
                      <w:sz w:val="18"/>
                      <w:szCs w:val="21"/>
                    </w:rPr>
                  </w:pPr>
                  <w:r>
                    <w:rPr>
                      <w:rFonts w:ascii="Times New Roman" w:hAnsi="Times New Roman" w:cs="Times New Roman"/>
                      <w:sz w:val="18"/>
                      <w:szCs w:val="18"/>
                    </w:rPr>
                    <w:t>4、加强精细化管控。针对各无组织排放环节，制定“一厂一策”深度治理方案。制定无组织排放治理设施操作规程，并建立管理台账，记录操作人员操作内容、运行、维护、检修和含VOCs物料使用回收等情况，记录保存期限不得少于三年。鼓励安装视频、空气微站等监控设施和综合监控信息平台，用于企业日常自我监督，逐步实现无组织排放向精细化和可量化管理方式转变。</w:t>
                  </w:r>
                </w:p>
              </w:tc>
              <w:tc>
                <w:tcPr>
                  <w:tcW w:w="2515"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项目建成后届时按照要求编制治理方案，建立管理台账等信息</w:t>
                  </w:r>
                </w:p>
              </w:tc>
              <w:tc>
                <w:tcPr>
                  <w:tcW w:w="698"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86" w:type="dxa"/>
                  <w:vAlign w:val="center"/>
                </w:tcPr>
                <w:p>
                  <w:pPr>
                    <w:pStyle w:val="1312"/>
                    <w:jc w:val="center"/>
                    <w:textAlignment w:val="baseline"/>
                    <w:rPr>
                      <w:rFonts w:ascii="Times New Roman" w:hAnsi="Times New Roman" w:cs="Times New Roman"/>
                      <w:sz w:val="18"/>
                      <w:szCs w:val="21"/>
                    </w:rPr>
                  </w:pPr>
                  <w:r>
                    <w:rPr>
                      <w:rFonts w:ascii="Times New Roman" w:hAnsi="Times New Roman" w:cs="Times New Roman"/>
                      <w:sz w:val="18"/>
                      <w:szCs w:val="21"/>
                    </w:rPr>
                    <w:t>行业指导意见</w:t>
                  </w:r>
                </w:p>
              </w:tc>
              <w:tc>
                <w:tcPr>
                  <w:tcW w:w="4453" w:type="dxa"/>
                  <w:vAlign w:val="center"/>
                </w:tcPr>
                <w:p>
                  <w:pPr>
                    <w:pStyle w:val="1312"/>
                    <w:ind w:left="76"/>
                    <w:jc w:val="center"/>
                    <w:textAlignment w:val="baseline"/>
                    <w:rPr>
                      <w:rFonts w:ascii="Times New Roman" w:hAnsi="Times New Roman" w:cs="Times New Roman"/>
                      <w:sz w:val="18"/>
                      <w:szCs w:val="21"/>
                    </w:rPr>
                  </w:pPr>
                  <w:r>
                    <w:rPr>
                      <w:rFonts w:ascii="Times New Roman" w:hAnsi="Times New Roman" w:cs="Times New Roman"/>
                      <w:sz w:val="18"/>
                      <w:szCs w:val="18"/>
                    </w:rPr>
                    <w:t>矿石料场设置防风抑尘网或封闭。石子、页岩、煤矸石、煤、粘土、矿渣、石膏、炉渣等封闭储存。熟料、粉煤灰、矿粉和除尘灰等密闭储存。石子、页岩、煤等物料粉碎、筛分、搅拌、粉磨等设备采取密闭措施，并配备有效集尘除尘设施。袋装水泥包装下料口、装车点位和散装水泥装车配备有效集尘除尘设施。</w:t>
                  </w:r>
                  <w:bookmarkStart w:id="8" w:name="_GoBack"/>
                  <w:bookmarkEnd w:id="8"/>
                </w:p>
              </w:tc>
              <w:tc>
                <w:tcPr>
                  <w:tcW w:w="2515" w:type="dxa"/>
                  <w:vAlign w:val="center"/>
                </w:tcPr>
                <w:p>
                  <w:pPr>
                    <w:pStyle w:val="1312"/>
                    <w:ind w:left="72"/>
                    <w:jc w:val="center"/>
                    <w:textAlignment w:val="baseline"/>
                    <w:rPr>
                      <w:rFonts w:ascii="Times New Roman" w:hAnsi="Times New Roman" w:cs="Times New Roman"/>
                      <w:sz w:val="18"/>
                      <w:szCs w:val="21"/>
                      <w:lang w:val="en-US"/>
                    </w:rPr>
                  </w:pPr>
                  <w:r>
                    <w:rPr>
                      <w:rFonts w:hint="eastAsia" w:ascii="Times New Roman" w:hAnsi="Times New Roman" w:cs="Times New Roman"/>
                      <w:sz w:val="18"/>
                      <w:szCs w:val="21"/>
                      <w:lang w:val="en-US" w:eastAsia="zh-CN"/>
                    </w:rPr>
                    <w:t>本项目不涉及粉状物料，无粉尘产生。不涉及挥发性有机液体。覆膜</w:t>
                  </w:r>
                  <w:r>
                    <w:rPr>
                      <w:rFonts w:ascii="Times New Roman" w:hAnsi="Times New Roman" w:cs="Times New Roman"/>
                      <w:sz w:val="18"/>
                      <w:szCs w:val="21"/>
                      <w:lang w:val="en-US"/>
                    </w:rPr>
                    <w:t>过程产生的VOCs，</w:t>
                  </w:r>
                  <w:r>
                    <w:rPr>
                      <w:rFonts w:hint="eastAsia" w:ascii="Times New Roman" w:hAnsi="Times New Roman" w:cs="Times New Roman"/>
                      <w:sz w:val="18"/>
                      <w:szCs w:val="21"/>
                      <w:lang w:val="en-US"/>
                    </w:rPr>
                    <w:t>经集气罩收集</w:t>
                  </w:r>
                  <w:r>
                    <w:rPr>
                      <w:rFonts w:hint="eastAsia" w:ascii="Times New Roman" w:hAnsi="Times New Roman" w:cs="Times New Roman"/>
                      <w:sz w:val="18"/>
                      <w:szCs w:val="21"/>
                      <w:lang w:val="en-US" w:eastAsia="zh-CN"/>
                    </w:rPr>
                    <w:t>后经两</w:t>
                  </w:r>
                  <w:r>
                    <w:rPr>
                      <w:rFonts w:hint="eastAsia" w:ascii="Times New Roman" w:hAnsi="Times New Roman" w:cs="Times New Roman"/>
                      <w:sz w:val="18"/>
                      <w:szCs w:val="21"/>
                      <w:lang w:val="en-US"/>
                    </w:rPr>
                    <w:t>级活性炭吸附装置</w:t>
                  </w:r>
                  <w:r>
                    <w:rPr>
                      <w:rFonts w:ascii="Times New Roman" w:hAnsi="Times New Roman" w:cs="Times New Roman"/>
                      <w:sz w:val="18"/>
                      <w:szCs w:val="21"/>
                      <w:lang w:val="en-US"/>
                    </w:rPr>
                    <w:t>处理后由15m排气筒（DA001）有组织排放；</w:t>
                  </w:r>
                  <w:r>
                    <w:rPr>
                      <w:rFonts w:hint="eastAsia"/>
                      <w:color w:val="auto"/>
                      <w:sz w:val="18"/>
                      <w:szCs w:val="18"/>
                      <w:lang w:eastAsia="zh-CN"/>
                    </w:rPr>
                    <w:t>液化石油气燃烧</w:t>
                  </w:r>
                  <w:r>
                    <w:rPr>
                      <w:rFonts w:hint="eastAsia"/>
                      <w:sz w:val="18"/>
                      <w:szCs w:val="18"/>
                    </w:rPr>
                    <w:t>产生的</w:t>
                  </w:r>
                  <w:r>
                    <w:rPr>
                      <w:rFonts w:hint="eastAsia"/>
                      <w:sz w:val="18"/>
                      <w:szCs w:val="18"/>
                      <w:lang w:eastAsia="zh-CN"/>
                    </w:rPr>
                    <w:t>颗粒物、</w:t>
                  </w:r>
                  <w:r>
                    <w:rPr>
                      <w:rFonts w:hint="default" w:ascii="Times New Roman" w:hAnsi="Times New Roman" w:cs="Times New Roman"/>
                      <w:bCs/>
                      <w:color w:val="auto"/>
                      <w:sz w:val="18"/>
                      <w:szCs w:val="18"/>
                      <w:lang w:val="en-US" w:eastAsia="zh-CN"/>
                    </w:rPr>
                    <w:t>SO</w:t>
                  </w:r>
                  <w:r>
                    <w:rPr>
                      <w:rFonts w:hint="default" w:ascii="Times New Roman" w:hAnsi="Times New Roman" w:cs="Times New Roman"/>
                      <w:bCs/>
                      <w:color w:val="auto"/>
                      <w:sz w:val="18"/>
                      <w:szCs w:val="18"/>
                      <w:vertAlign w:val="subscript"/>
                      <w:lang w:val="en-US" w:eastAsia="zh-CN"/>
                    </w:rPr>
                    <w:t>2</w:t>
                  </w:r>
                  <w:r>
                    <w:rPr>
                      <w:rFonts w:hint="default" w:ascii="Times New Roman" w:hAnsi="Times New Roman" w:cs="Times New Roman"/>
                      <w:bCs/>
                      <w:color w:val="auto"/>
                      <w:sz w:val="18"/>
                      <w:szCs w:val="18"/>
                      <w:vertAlign w:val="baseline"/>
                      <w:lang w:val="en-US" w:eastAsia="zh-CN"/>
                    </w:rPr>
                    <w:t>、NO</w:t>
                  </w:r>
                  <w:r>
                    <w:rPr>
                      <w:rFonts w:hint="default" w:ascii="Times New Roman" w:hAnsi="Times New Roman" w:cs="Times New Roman"/>
                      <w:bCs/>
                      <w:color w:val="auto"/>
                      <w:sz w:val="18"/>
                      <w:szCs w:val="18"/>
                      <w:vertAlign w:val="subscript"/>
                      <w:lang w:val="en-US" w:eastAsia="zh-CN"/>
                    </w:rPr>
                    <w:t>x</w:t>
                  </w:r>
                  <w:r>
                    <w:rPr>
                      <w:rFonts w:hint="default" w:ascii="Times New Roman" w:hAnsi="Times New Roman" w:cs="Times New Roman"/>
                      <w:sz w:val="18"/>
                      <w:szCs w:val="18"/>
                      <w:lang w:eastAsia="zh-CN"/>
                    </w:rPr>
                    <w:t>、林格曼黑度全部收集后经</w:t>
                  </w:r>
                  <w:r>
                    <w:rPr>
                      <w:rFonts w:hint="default" w:ascii="Times New Roman" w:hAnsi="Times New Roman" w:cs="Times New Roman"/>
                      <w:sz w:val="18"/>
                      <w:szCs w:val="18"/>
                      <w:lang w:val="en-US" w:eastAsia="zh-CN"/>
                    </w:rPr>
                    <w:t>15m</w:t>
                  </w:r>
                  <w:r>
                    <w:rPr>
                      <w:rFonts w:hint="default" w:ascii="Times New Roman" w:hAnsi="Times New Roman" w:cs="Times New Roman"/>
                      <w:sz w:val="18"/>
                      <w:szCs w:val="18"/>
                    </w:rPr>
                    <w:t>DA002</w:t>
                  </w:r>
                  <w:r>
                    <w:rPr>
                      <w:sz w:val="18"/>
                      <w:szCs w:val="18"/>
                    </w:rPr>
                    <w:t>排气筒有组织排放</w:t>
                  </w:r>
                </w:p>
              </w:tc>
              <w:tc>
                <w:tcPr>
                  <w:tcW w:w="698" w:type="dxa"/>
                  <w:vAlign w:val="center"/>
                </w:tcPr>
                <w:p>
                  <w:pPr>
                    <w:pStyle w:val="1312"/>
                    <w:jc w:val="center"/>
                    <w:textAlignment w:val="baseline"/>
                    <w:rPr>
                      <w:rFonts w:ascii="Times New Roman" w:hAnsi="Times New Roman" w:cs="Times New Roman"/>
                      <w:color w:val="FF0000"/>
                      <w:sz w:val="18"/>
                      <w:szCs w:val="21"/>
                    </w:rPr>
                  </w:pPr>
                  <w:r>
                    <w:rPr>
                      <w:rFonts w:ascii="Times New Roman" w:hAnsi="Times New Roman" w:cs="Times New Roman"/>
                      <w:sz w:val="18"/>
                      <w:szCs w:val="21"/>
                    </w:rPr>
                    <w:t>符合</w:t>
                  </w:r>
                </w:p>
              </w:tc>
            </w:tr>
          </w:tbl>
          <w:p>
            <w:pPr>
              <w:adjustRightInd w:val="0"/>
              <w:snapToGrid w:val="0"/>
              <w:spacing w:line="360" w:lineRule="auto"/>
              <w:ind w:firstLine="420" w:firstLineChars="200"/>
            </w:pPr>
            <w:r>
              <w:t>（5）与《山东省“两高”项目管理目录》（202</w:t>
            </w:r>
            <w:r>
              <w:rPr>
                <w:rFonts w:hint="eastAsia"/>
                <w:lang w:val="en-US" w:eastAsia="zh-CN"/>
              </w:rPr>
              <w:t>3</w:t>
            </w:r>
            <w:r>
              <w:t>年版）的符合性</w:t>
            </w:r>
          </w:p>
          <w:p>
            <w:pPr>
              <w:pStyle w:val="12"/>
              <w:spacing w:line="360" w:lineRule="auto"/>
              <w:ind w:firstLine="422"/>
              <w:jc w:val="center"/>
              <w:rPr>
                <w:b/>
              </w:rPr>
            </w:pPr>
            <w:r>
              <w:rPr>
                <w:b/>
              </w:rPr>
              <w:t>表1-</w:t>
            </w:r>
            <w:r>
              <w:rPr>
                <w:rFonts w:hint="eastAsia"/>
                <w:b/>
                <w:lang w:val="en-US" w:eastAsia="zh-CN"/>
              </w:rPr>
              <w:t>11</w:t>
            </w:r>
            <w:r>
              <w:rPr>
                <w:b/>
              </w:rPr>
              <w:t>与《山东省“两高”项目管理目录》（202</w:t>
            </w:r>
            <w:r>
              <w:rPr>
                <w:rFonts w:hint="eastAsia"/>
                <w:b/>
                <w:lang w:val="en-US" w:eastAsia="zh-CN"/>
              </w:rPr>
              <w:t>3</w:t>
            </w:r>
            <w:r>
              <w:rPr>
                <w:b/>
              </w:rPr>
              <w:t>年版）符合性分析</w:t>
            </w:r>
          </w:p>
          <w:tbl>
            <w:tblPr>
              <w:tblStyle w:val="85"/>
              <w:tblW w:w="5000" w:type="pct"/>
              <w:jc w:val="center"/>
              <w:tblLayout w:type="autofit"/>
              <w:tblCellMar>
                <w:top w:w="0" w:type="dxa"/>
                <w:left w:w="0" w:type="dxa"/>
                <w:bottom w:w="0" w:type="dxa"/>
                <w:right w:w="0" w:type="dxa"/>
              </w:tblCellMar>
            </w:tblPr>
            <w:tblGrid>
              <w:gridCol w:w="566"/>
              <w:gridCol w:w="799"/>
              <w:gridCol w:w="3152"/>
              <w:gridCol w:w="2059"/>
              <w:gridCol w:w="1586"/>
            </w:tblGrid>
            <w:tr>
              <w:tblPrEx>
                <w:tblCellMar>
                  <w:top w:w="0" w:type="dxa"/>
                  <w:left w:w="0" w:type="dxa"/>
                  <w:bottom w:w="0" w:type="dxa"/>
                  <w:right w:w="0" w:type="dxa"/>
                </w:tblCellMar>
              </w:tblPrEx>
              <w:trPr>
                <w:trHeight w:val="23" w:hRule="atLeast"/>
                <w:jc w:val="center"/>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序号</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产业分类</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产品</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核心装置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b/>
                      <w:bCs/>
                      <w:color w:val="000000"/>
                      <w:sz w:val="18"/>
                      <w:szCs w:val="18"/>
                    </w:rPr>
                  </w:pPr>
                  <w:r>
                    <w:rPr>
                      <w:rFonts w:hint="default" w:ascii="Times New Roman" w:hAnsi="Times New Roman" w:eastAsia="宋体" w:cs="Times New Roman"/>
                      <w:b/>
                      <w:bCs/>
                      <w:color w:val="000000"/>
                      <w:kern w:val="0"/>
                      <w:sz w:val="18"/>
                      <w:szCs w:val="18"/>
                      <w:lang w:bidi="ar"/>
                    </w:rPr>
                    <w:t>对应国民经济行业小类</w:t>
                  </w:r>
                </w:p>
              </w:tc>
            </w:tr>
            <w:tr>
              <w:trPr>
                <w:trHeight w:val="23" w:hRule="atLeast"/>
                <w:jc w:val="center"/>
              </w:trPr>
              <w:tc>
                <w:tcPr>
                  <w:tcW w:w="352"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w:t>
                  </w:r>
                </w:p>
              </w:tc>
              <w:tc>
                <w:tcPr>
                  <w:tcW w:w="49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炼化</w:t>
                  </w:r>
                </w:p>
              </w:tc>
              <w:tc>
                <w:tcPr>
                  <w:tcW w:w="196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汽油、煤油、柴油、燃料油、石脑油、溶剂油、石油气、沥青及其他相关产品，不含一二次炼油之外的质量升级油品</w:t>
                  </w:r>
                </w:p>
              </w:tc>
              <w:tc>
                <w:tcPr>
                  <w:tcW w:w="12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一次炼油（常减压）、二次炼油（催化裂化、加氢裂化、催化重整、延迟焦化）</w:t>
                  </w:r>
                </w:p>
              </w:tc>
              <w:tc>
                <w:tcPr>
                  <w:tcW w:w="98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原油加工及石油制品制造（2511）</w:t>
                  </w:r>
                </w:p>
              </w:tc>
            </w:tr>
            <w:tr>
              <w:tblPrEx>
                <w:tblCellMar>
                  <w:top w:w="0" w:type="dxa"/>
                  <w:left w:w="0" w:type="dxa"/>
                  <w:bottom w:w="0" w:type="dxa"/>
                  <w:right w:w="0" w:type="dxa"/>
                </w:tblCellMar>
              </w:tblPrEx>
              <w:trPr>
                <w:trHeight w:val="23" w:hRule="atLeast"/>
                <w:jc w:val="center"/>
              </w:trPr>
              <w:tc>
                <w:tcPr>
                  <w:tcW w:w="35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乙烯、对二甲苯（PX）</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乙烯装置、PX装置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有机化学原料制造（2614）</w:t>
                  </w:r>
                </w:p>
              </w:tc>
            </w:tr>
            <w:tr>
              <w:trPr>
                <w:trHeight w:val="23" w:hRule="atLeast"/>
                <w:jc w:val="center"/>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2</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焦化</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焦炭</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焦炉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炼焦（2521）</w:t>
                  </w:r>
                </w:p>
              </w:tc>
            </w:tr>
            <w:tr>
              <w:tblPrEx>
                <w:tblCellMar>
                  <w:top w:w="0" w:type="dxa"/>
                  <w:left w:w="0" w:type="dxa"/>
                  <w:bottom w:w="0" w:type="dxa"/>
                  <w:right w:w="0" w:type="dxa"/>
                </w:tblCellMar>
              </w:tblPrEx>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3</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煤制液体燃料</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煤制甲醇</w:t>
                  </w:r>
                </w:p>
              </w:tc>
              <w:tc>
                <w:tcPr>
                  <w:tcW w:w="12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煤气化炉、合成塔</w:t>
                  </w: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煤制液体燃料生产（2523）</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煤制烯烃（乙烯、丙烯）</w:t>
                  </w:r>
                </w:p>
              </w:tc>
              <w:tc>
                <w:tcPr>
                  <w:tcW w:w="12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煤制乙二醇</w:t>
                  </w:r>
                </w:p>
              </w:tc>
              <w:tc>
                <w:tcPr>
                  <w:tcW w:w="12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p>
              </w:tc>
            </w:tr>
            <w:tr>
              <w:tblPrEx>
                <w:tblCellMar>
                  <w:top w:w="0" w:type="dxa"/>
                  <w:left w:w="0" w:type="dxa"/>
                  <w:bottom w:w="0" w:type="dxa"/>
                  <w:right w:w="0" w:type="dxa"/>
                </w:tblCellMar>
              </w:tblPrEx>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4</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基础化学原料</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氯碱（烧碱）</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电解槽</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无机碱制造（2612）</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纯碱</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碳化塔</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无机碱制造（2612）</w:t>
                  </w:r>
                </w:p>
              </w:tc>
            </w:tr>
            <w:tr>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电石（碳化钙）</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电石炉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无机盐制造（2613）</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黄磷</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黄磷制取设备</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其他基础化学原料制造（2619）</w:t>
                  </w:r>
                </w:p>
              </w:tc>
            </w:tr>
            <w:tr>
              <w:tblPrEx>
                <w:tblCellMar>
                  <w:top w:w="0" w:type="dxa"/>
                  <w:left w:w="0" w:type="dxa"/>
                  <w:bottom w:w="0" w:type="dxa"/>
                  <w:right w:w="0" w:type="dxa"/>
                </w:tblCellMar>
              </w:tblPrEx>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5</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化肥</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合成氨、尿素</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合成氨装置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氮肥制造（2621）</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磷酸一铵、磷酸二铵</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氨化装置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磷肥制造（2622）</w:t>
                  </w:r>
                </w:p>
              </w:tc>
            </w:tr>
            <w:tr>
              <w:tblPrEx>
                <w:tblCellMar>
                  <w:top w:w="0" w:type="dxa"/>
                  <w:left w:w="0" w:type="dxa"/>
                  <w:bottom w:w="0" w:type="dxa"/>
                  <w:right w:w="0" w:type="dxa"/>
                </w:tblCellMar>
              </w:tblPrEx>
              <w:trPr>
                <w:trHeight w:val="23" w:hRule="atLeast"/>
                <w:jc w:val="center"/>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6</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轮胎</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子午胎、斜交胎、摩托车胎等轮胎外胎，不包括内胎和轮胎翻新</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密炼机、硫化机</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轮胎制造（2911）</w:t>
                  </w:r>
                </w:p>
              </w:tc>
            </w:tr>
            <w:tr>
              <w:tblPrEx>
                <w:tblCellMar>
                  <w:top w:w="0" w:type="dxa"/>
                  <w:left w:w="0" w:type="dxa"/>
                  <w:bottom w:w="0" w:type="dxa"/>
                  <w:right w:w="0" w:type="dxa"/>
                </w:tblCellMar>
              </w:tblPrEx>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7</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水泥</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水泥熟料</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水泥窑</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水泥制造（3011）</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水泥粉磨</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水泥磨机、预粉磨主电动机</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水泥制造（3011）</w:t>
                  </w:r>
                </w:p>
              </w:tc>
            </w:tr>
            <w:tr>
              <w:tblPrEx>
                <w:tblCellMar>
                  <w:top w:w="0" w:type="dxa"/>
                  <w:left w:w="0" w:type="dxa"/>
                  <w:bottom w:w="0" w:type="dxa"/>
                  <w:right w:w="0" w:type="dxa"/>
                </w:tblCellMar>
              </w:tblPrEx>
              <w:trPr>
                <w:trHeight w:val="23" w:hRule="atLeast"/>
                <w:jc w:val="center"/>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8</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石灰</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生石灰、消石灰、水硬石灰</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石灰窑</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石灰和石膏制造（3012）</w:t>
                  </w:r>
                </w:p>
              </w:tc>
            </w:tr>
            <w:tr>
              <w:tblPrEx>
                <w:tblCellMar>
                  <w:top w:w="0" w:type="dxa"/>
                  <w:left w:w="0" w:type="dxa"/>
                  <w:bottom w:w="0" w:type="dxa"/>
                  <w:right w:w="0" w:type="dxa"/>
                </w:tblCellMar>
              </w:tblPrEx>
              <w:trPr>
                <w:trHeight w:val="23" w:hRule="atLeast"/>
                <w:jc w:val="center"/>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9</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平板玻璃</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普通平板玻璃，浮法平板玻璃，压延玻璃，不包括光伏压延玻璃、基板玻璃</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玻璃熔炉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平板玻璃制造（3041）</w:t>
                  </w:r>
                </w:p>
              </w:tc>
            </w:tr>
            <w:tr>
              <w:tblPrEx>
                <w:tblCellMar>
                  <w:top w:w="0" w:type="dxa"/>
                  <w:left w:w="0" w:type="dxa"/>
                  <w:bottom w:w="0" w:type="dxa"/>
                  <w:right w:w="0" w:type="dxa"/>
                </w:tblCellMar>
              </w:tblPrEx>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10</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陶瓷</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建筑陶瓷，不包括非经高温烧结的发泡陶瓷板等</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辊道和隧道窑</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建筑陶瓷制品制造（3071）</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卫生陶瓷</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隧道窑</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卫生陶瓷制品制造（3072）</w:t>
                  </w:r>
                </w:p>
              </w:tc>
            </w:tr>
            <w:tr>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11</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钢铁</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炼钢用生铁、熔融还原铁</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高炉，氢冶金、</w:t>
                  </w:r>
                  <w:r>
                    <w:rPr>
                      <w:rStyle w:val="607"/>
                      <w:rFonts w:hint="default" w:ascii="Times New Roman" w:hAnsi="Times New Roman" w:eastAsia="宋体" w:cs="Times New Roman"/>
                      <w:sz w:val="18"/>
                      <w:szCs w:val="18"/>
                      <w:lang w:bidi="ar"/>
                    </w:rPr>
                    <w:t>Corex、Finex、HIsmelt还原装置</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炼铁（3110）</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非合金钢粗钢、低合金钢粗钢、合金钢粗钢</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转炉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炼钢（3120）</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电弧炉、AOD炉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r>
                    <w:rPr>
                      <w:rFonts w:hint="default" w:ascii="Times New Roman" w:hAnsi="Times New Roman" w:cs="Times New Roman"/>
                      <w:sz w:val="18"/>
                      <w:szCs w:val="18"/>
                    </w:rPr>
                    <w:t>炼钢（3120</w:t>
                  </w:r>
                </w:p>
              </w:tc>
            </w:tr>
            <w:tr>
              <w:tblPrEx>
                <w:tblCellMar>
                  <w:top w:w="0" w:type="dxa"/>
                  <w:left w:w="0" w:type="dxa"/>
                  <w:bottom w:w="0" w:type="dxa"/>
                  <w:right w:w="0" w:type="dxa"/>
                </w:tblCellMar>
              </w:tblPrEx>
              <w:trPr>
                <w:trHeight w:val="23" w:hRule="atLeast"/>
                <w:jc w:val="center"/>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12</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铸造用生铁</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铸造用生铁</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高炉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炼铁（3110）</w:t>
                  </w:r>
                </w:p>
              </w:tc>
            </w:tr>
            <w:tr>
              <w:tblPrEx>
                <w:tblCellMar>
                  <w:top w:w="0" w:type="dxa"/>
                  <w:left w:w="0" w:type="dxa"/>
                  <w:bottom w:w="0" w:type="dxa"/>
                  <w:right w:w="0" w:type="dxa"/>
                </w:tblCellMar>
              </w:tblPrEx>
              <w:trPr>
                <w:trHeight w:val="23" w:hRule="atLeast"/>
                <w:jc w:val="center"/>
              </w:trPr>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13</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铁合金</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硅铁、锰硅合金、高碳铬铁、镍铁及其他铁合金产品</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矿热炉、电弧炉、高炉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铁合金冶炼（3140）</w:t>
                  </w:r>
                </w:p>
              </w:tc>
            </w:tr>
            <w:tr>
              <w:tblPrEx>
                <w:tblCellMar>
                  <w:top w:w="0" w:type="dxa"/>
                  <w:left w:w="0" w:type="dxa"/>
                  <w:bottom w:w="0" w:type="dxa"/>
                  <w:right w:w="0" w:type="dxa"/>
                </w:tblCellMar>
              </w:tblPrEx>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14</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有色</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氧化铝</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煅烧或焙烧炉</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r>
                    <w:rPr>
                      <w:rFonts w:hint="default" w:ascii="Times New Roman" w:hAnsi="Times New Roman" w:cs="Times New Roman"/>
                      <w:sz w:val="18"/>
                      <w:szCs w:val="18"/>
                    </w:rPr>
                    <w:t>铝冶炼（3216）</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电解铝，不包括再生铝</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电解槽</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r>
                    <w:rPr>
                      <w:rFonts w:hint="default" w:ascii="Times New Roman" w:hAnsi="Times New Roman" w:cs="Times New Roman"/>
                      <w:sz w:val="18"/>
                      <w:szCs w:val="18"/>
                    </w:rPr>
                    <w:t>铝冶炼（3216）</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阴极铜、阳极铜、粗铜、电解铜</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电解槽</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铜冶炼（3211）</w:t>
                  </w:r>
                </w:p>
              </w:tc>
            </w:tr>
            <w:tr>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粗铅、电解铅、粗锌、电解锌</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电解槽</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铅锌冶炼（3212）</w:t>
                  </w:r>
                </w:p>
              </w:tc>
            </w:tr>
            <w:tr>
              <w:tblPrEx>
                <w:tblCellMar>
                  <w:top w:w="0" w:type="dxa"/>
                  <w:left w:w="0" w:type="dxa"/>
                  <w:bottom w:w="0" w:type="dxa"/>
                  <w:right w:w="0" w:type="dxa"/>
                </w:tblCellMar>
              </w:tblPrEx>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15</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铸造</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黑色金属铸件</w:t>
                  </w:r>
                </w:p>
              </w:tc>
              <w:tc>
                <w:tcPr>
                  <w:tcW w:w="12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电炉等熔炼设备、造型设备</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黑色金属铸造（3391）</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有色金属铸件</w:t>
                  </w:r>
                </w:p>
              </w:tc>
              <w:tc>
                <w:tcPr>
                  <w:tcW w:w="12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有色金属铸造（3392）</w:t>
                  </w:r>
                </w:p>
              </w:tc>
            </w:tr>
            <w:tr>
              <w:tblPrEx>
                <w:tblCellMar>
                  <w:top w:w="0" w:type="dxa"/>
                  <w:left w:w="0" w:type="dxa"/>
                  <w:bottom w:w="0" w:type="dxa"/>
                  <w:right w:w="0" w:type="dxa"/>
                </w:tblCellMar>
              </w:tblPrEx>
              <w:trPr>
                <w:trHeight w:val="23" w:hRule="atLeast"/>
                <w:jc w:val="center"/>
              </w:trPr>
              <w:tc>
                <w:tcPr>
                  <w:tcW w:w="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16</w:t>
                  </w:r>
                </w:p>
              </w:tc>
              <w:tc>
                <w:tcPr>
                  <w:tcW w:w="4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煤电</w:t>
                  </w:r>
                </w:p>
              </w:tc>
              <w:tc>
                <w:tcPr>
                  <w:tcW w:w="19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电力（燃煤发电，包含煤矸石发电）</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抽凝、纯凝机组</w:t>
                  </w:r>
                </w:p>
              </w:tc>
              <w:tc>
                <w:tcPr>
                  <w:tcW w:w="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火力发电（4411）</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电力和热力（热电联产）</w:t>
                  </w: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抽凝机组</w:t>
                  </w:r>
                </w:p>
              </w:tc>
              <w:tc>
                <w:tcPr>
                  <w:tcW w:w="9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热电联产（4412）</w:t>
                  </w:r>
                </w:p>
              </w:tc>
            </w:tr>
            <w:tr>
              <w:tblPrEx>
                <w:tblCellMar>
                  <w:top w:w="0" w:type="dxa"/>
                  <w:left w:w="0" w:type="dxa"/>
                  <w:bottom w:w="0" w:type="dxa"/>
                  <w:right w:w="0" w:type="dxa"/>
                </w:tblCellMar>
              </w:tblPrEx>
              <w:trPr>
                <w:trHeight w:val="23" w:hRule="atLeast"/>
                <w:jc w:val="center"/>
              </w:trPr>
              <w:tc>
                <w:tcPr>
                  <w:tcW w:w="3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default" w:ascii="Times New Roman" w:hAnsi="Times New Roman" w:eastAsia="宋体" w:cs="Times New Roman"/>
                      <w:color w:val="000000"/>
                      <w:sz w:val="18"/>
                      <w:szCs w:val="18"/>
                    </w:rPr>
                  </w:pPr>
                </w:p>
              </w:tc>
              <w:tc>
                <w:tcPr>
                  <w:tcW w:w="19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p>
              </w:tc>
              <w:tc>
                <w:tcPr>
                  <w:tcW w:w="1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lang w:bidi="ar"/>
                    </w:rPr>
                    <w:t>背压机组</w:t>
                  </w:r>
                </w:p>
              </w:tc>
              <w:tc>
                <w:tcPr>
                  <w:tcW w:w="9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Times New Roman" w:hAnsi="Times New Roman" w:eastAsia="宋体" w:cs="Times New Roman"/>
                      <w:color w:val="000000"/>
                      <w:sz w:val="18"/>
                      <w:szCs w:val="18"/>
                    </w:rPr>
                  </w:pPr>
                </w:p>
              </w:tc>
            </w:tr>
          </w:tbl>
          <w:p>
            <w:pPr>
              <w:adjustRightInd w:val="0"/>
              <w:snapToGrid w:val="0"/>
              <w:spacing w:line="360" w:lineRule="auto"/>
              <w:ind w:firstLine="420" w:firstLineChars="200"/>
              <w:rPr>
                <w:color w:val="FF0000"/>
              </w:rPr>
            </w:pPr>
            <w:r>
              <w:rPr>
                <w:bCs/>
              </w:rPr>
              <w:t>本项目属于</w:t>
            </w:r>
            <w:r>
              <w:t>C</w:t>
            </w:r>
            <w:r>
              <w:rPr>
                <w:rFonts w:hint="eastAsia"/>
                <w:lang w:val="en-US" w:eastAsia="zh-CN"/>
              </w:rPr>
              <w:t>2231纸和纸板容器制造、C2319包装装潢及其他印刷</w:t>
            </w:r>
            <w:r>
              <w:rPr>
                <w:bCs/>
              </w:rPr>
              <w:t>，不属于上述“两高”行业</w:t>
            </w:r>
            <w:r>
              <w:t>，项目建设符合《山东省“两高”项目管理目录》（202</w:t>
            </w:r>
            <w:r>
              <w:rPr>
                <w:rFonts w:hint="eastAsia"/>
                <w:lang w:val="en-US" w:eastAsia="zh-CN"/>
              </w:rPr>
              <w:t>3</w:t>
            </w:r>
            <w:r>
              <w:t>年版）要求。</w:t>
            </w:r>
          </w:p>
          <w:p>
            <w:pPr>
              <w:adjustRightInd w:val="0"/>
              <w:snapToGrid w:val="0"/>
              <w:spacing w:line="360" w:lineRule="auto"/>
              <w:ind w:firstLine="420" w:firstLineChars="200"/>
            </w:pPr>
            <w:r>
              <w:t>（6）与《关于印发山东省“十四五”生态环境保护规划的通知》（鲁政发〔2021〕12号）的符合性</w:t>
            </w:r>
          </w:p>
          <w:p>
            <w:pPr>
              <w:pStyle w:val="12"/>
              <w:spacing w:line="360" w:lineRule="auto"/>
              <w:ind w:firstLine="422"/>
              <w:jc w:val="center"/>
              <w:rPr>
                <w:b/>
              </w:rPr>
            </w:pPr>
            <w:r>
              <w:rPr>
                <w:b/>
              </w:rPr>
              <w:t>表1-</w:t>
            </w:r>
            <w:r>
              <w:rPr>
                <w:rFonts w:hint="eastAsia"/>
                <w:b/>
                <w:lang w:val="en-US" w:eastAsia="zh-CN"/>
              </w:rPr>
              <w:t>12</w:t>
            </w:r>
            <w:r>
              <w:rPr>
                <w:b/>
              </w:rPr>
              <w:t>与《关于印发山东省“十四五”生态环境保护规划的通知》（鲁政发〔2021〕12号）符合性分析</w:t>
            </w:r>
          </w:p>
          <w:tbl>
            <w:tblPr>
              <w:tblStyle w:val="85"/>
              <w:tblW w:w="4998"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837"/>
              <w:gridCol w:w="4676"/>
              <w:gridCol w:w="1907"/>
              <w:gridCol w:w="734"/>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Mar>
                    <w:top w:w="0" w:type="dxa"/>
                    <w:left w:w="45" w:type="dxa"/>
                    <w:bottom w:w="0" w:type="dxa"/>
                    <w:right w:w="45" w:type="dxa"/>
                  </w:tcMar>
                  <w:vAlign w:val="center"/>
                </w:tcPr>
                <w:p>
                  <w:pPr>
                    <w:adjustRightInd w:val="0"/>
                    <w:snapToGrid w:val="0"/>
                    <w:jc w:val="center"/>
                    <w:rPr>
                      <w:sz w:val="18"/>
                      <w:szCs w:val="18"/>
                    </w:rPr>
                  </w:pPr>
                  <w:r>
                    <w:rPr>
                      <w:sz w:val="18"/>
                      <w:szCs w:val="18"/>
                    </w:rPr>
                    <w:t>文 件要 求</w:t>
                  </w:r>
                </w:p>
              </w:tc>
              <w:tc>
                <w:tcPr>
                  <w:tcW w:w="2866" w:type="pct"/>
                  <w:tcMar>
                    <w:top w:w="0" w:type="dxa"/>
                    <w:left w:w="45" w:type="dxa"/>
                    <w:bottom w:w="0" w:type="dxa"/>
                    <w:right w:w="45" w:type="dxa"/>
                  </w:tcMar>
                  <w:vAlign w:val="center"/>
                </w:tcPr>
                <w:p>
                  <w:pPr>
                    <w:adjustRightInd w:val="0"/>
                    <w:snapToGrid w:val="0"/>
                    <w:jc w:val="center"/>
                    <w:rPr>
                      <w:sz w:val="18"/>
                      <w:szCs w:val="18"/>
                    </w:rPr>
                  </w:pPr>
                  <w:r>
                    <w:rPr>
                      <w:sz w:val="18"/>
                      <w:szCs w:val="18"/>
                    </w:rPr>
                    <w:t>具体规定</w:t>
                  </w:r>
                </w:p>
              </w:tc>
              <w:tc>
                <w:tcPr>
                  <w:tcW w:w="1169" w:type="pct"/>
                  <w:tcMar>
                    <w:top w:w="0" w:type="dxa"/>
                    <w:left w:w="45" w:type="dxa"/>
                    <w:bottom w:w="0" w:type="dxa"/>
                    <w:right w:w="45" w:type="dxa"/>
                  </w:tcMar>
                  <w:vAlign w:val="center"/>
                </w:tcPr>
                <w:p>
                  <w:pPr>
                    <w:adjustRightInd w:val="0"/>
                    <w:snapToGrid w:val="0"/>
                    <w:jc w:val="center"/>
                    <w:rPr>
                      <w:sz w:val="18"/>
                      <w:szCs w:val="18"/>
                    </w:rPr>
                  </w:pPr>
                  <w:r>
                    <w:rPr>
                      <w:sz w:val="18"/>
                      <w:szCs w:val="18"/>
                    </w:rPr>
                    <w:t>本项目情况</w:t>
                  </w:r>
                </w:p>
              </w:tc>
              <w:tc>
                <w:tcPr>
                  <w:tcW w:w="450" w:type="pct"/>
                  <w:tcMar>
                    <w:top w:w="0" w:type="dxa"/>
                    <w:left w:w="45" w:type="dxa"/>
                    <w:bottom w:w="0" w:type="dxa"/>
                    <w:right w:w="45" w:type="dxa"/>
                  </w:tcMar>
                  <w:vAlign w:val="center"/>
                </w:tcPr>
                <w:p>
                  <w:pPr>
                    <w:adjustRightInd w:val="0"/>
                    <w:snapToGrid w:val="0"/>
                    <w:jc w:val="center"/>
                    <w:rPr>
                      <w:sz w:val="18"/>
                      <w:szCs w:val="18"/>
                    </w:rPr>
                  </w:pPr>
                  <w:r>
                    <w:rPr>
                      <w:sz w:val="18"/>
                      <w:szCs w:val="18"/>
                    </w:rPr>
                    <w:t>符合</w:t>
                  </w:r>
                </w:p>
                <w:p>
                  <w:pPr>
                    <w:adjustRightInd w:val="0"/>
                    <w:snapToGrid w:val="0"/>
                    <w:jc w:val="center"/>
                    <w:rPr>
                      <w:sz w:val="18"/>
                      <w:szCs w:val="18"/>
                    </w:rPr>
                  </w:pPr>
                  <w:r>
                    <w:rPr>
                      <w:sz w:val="18"/>
                      <w:szCs w:val="18"/>
                    </w:rPr>
                    <w:t>情况</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13" w:type="pct"/>
                  <w:tcMar>
                    <w:top w:w="0" w:type="dxa"/>
                    <w:left w:w="45" w:type="dxa"/>
                    <w:bottom w:w="0" w:type="dxa"/>
                    <w:right w:w="45" w:type="dxa"/>
                  </w:tcMar>
                  <w:vAlign w:val="center"/>
                </w:tcPr>
                <w:p>
                  <w:pPr>
                    <w:adjustRightInd w:val="0"/>
                    <w:snapToGrid w:val="0"/>
                    <w:jc w:val="center"/>
                    <w:rPr>
                      <w:sz w:val="18"/>
                      <w:szCs w:val="18"/>
                    </w:rPr>
                  </w:pPr>
                  <w:r>
                    <w:rPr>
                      <w:sz w:val="18"/>
                      <w:szCs w:val="18"/>
                    </w:rPr>
                    <w:t>坚决淘汰落后产能</w:t>
                  </w:r>
                </w:p>
              </w:tc>
              <w:tc>
                <w:tcPr>
                  <w:tcW w:w="2866" w:type="pct"/>
                  <w:tcMar>
                    <w:top w:w="0" w:type="dxa"/>
                    <w:left w:w="45" w:type="dxa"/>
                    <w:bottom w:w="0" w:type="dxa"/>
                    <w:right w:w="45" w:type="dxa"/>
                  </w:tcMar>
                  <w:vAlign w:val="center"/>
                </w:tcPr>
                <w:p>
                  <w:pPr>
                    <w:adjustRightInd w:val="0"/>
                    <w:snapToGrid w:val="0"/>
                    <w:jc w:val="center"/>
                    <w:rPr>
                      <w:sz w:val="18"/>
                      <w:szCs w:val="18"/>
                    </w:rPr>
                  </w:pPr>
                  <w:r>
                    <w:rPr>
                      <w:sz w:val="18"/>
                      <w:szCs w:val="18"/>
                    </w:rPr>
                    <w:t>严格落实《产业结构调整指导目录》，加快推动“淘汰类”生产工艺和产品退出。精准聚焦钢铁、地炼、焦化、煤电、水泥、轮胎、煤炭、化工等8个重点行业，加快淘汰低效落后动能。进一步健全并严格落实环保、安全、技术、能耗、效益标准，各市制定具体措施，重点围绕再生橡胶、废旧塑料再生、砖瓦、石灰、石膏等行业，分类组织实施转移、压减、整合、关停任务，推动低效落后产能退出。</w:t>
                  </w:r>
                </w:p>
              </w:tc>
              <w:tc>
                <w:tcPr>
                  <w:tcW w:w="1169" w:type="pct"/>
                  <w:tcMar>
                    <w:top w:w="0" w:type="dxa"/>
                    <w:left w:w="45" w:type="dxa"/>
                    <w:bottom w:w="0" w:type="dxa"/>
                    <w:right w:w="45" w:type="dxa"/>
                  </w:tcMar>
                  <w:vAlign w:val="center"/>
                </w:tcPr>
                <w:p>
                  <w:pPr>
                    <w:adjustRightInd w:val="0"/>
                    <w:snapToGrid w:val="0"/>
                    <w:jc w:val="center"/>
                    <w:rPr>
                      <w:sz w:val="18"/>
                      <w:szCs w:val="18"/>
                    </w:rPr>
                  </w:pPr>
                  <w:r>
                    <w:rPr>
                      <w:sz w:val="18"/>
                      <w:szCs w:val="18"/>
                    </w:rPr>
                    <w:t>项目已完成立项，立项代码为</w:t>
                  </w:r>
                  <w:r>
                    <w:rPr>
                      <w:rFonts w:hint="eastAsia"/>
                      <w:sz w:val="18"/>
                      <w:szCs w:val="18"/>
                      <w:lang w:eastAsia="zh-CN"/>
                    </w:rPr>
                    <w:t>2303-370302-89-02-393903</w:t>
                  </w:r>
                  <w:r>
                    <w:rPr>
                      <w:sz w:val="18"/>
                      <w:szCs w:val="18"/>
                    </w:rPr>
                    <w:t>，符合国家和淄博市产业政策。</w:t>
                  </w:r>
                </w:p>
              </w:tc>
              <w:tc>
                <w:tcPr>
                  <w:tcW w:w="450" w:type="pct"/>
                  <w:tcMar>
                    <w:top w:w="0" w:type="dxa"/>
                    <w:left w:w="45" w:type="dxa"/>
                    <w:bottom w:w="0" w:type="dxa"/>
                    <w:right w:w="45" w:type="dxa"/>
                  </w:tcMar>
                  <w:vAlign w:val="center"/>
                </w:tcPr>
                <w:p>
                  <w:pPr>
                    <w:adjustRightInd w:val="0"/>
                    <w:snapToGrid w:val="0"/>
                    <w:jc w:val="center"/>
                    <w:rPr>
                      <w:color w:val="FF0000"/>
                      <w:sz w:val="18"/>
                      <w:szCs w:val="18"/>
                    </w:rPr>
                  </w:pPr>
                  <w:r>
                    <w:rPr>
                      <w:sz w:val="18"/>
                      <w:szCs w:val="18"/>
                    </w:rPr>
                    <w:t>符合</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Mar>
                    <w:top w:w="0" w:type="dxa"/>
                    <w:left w:w="45" w:type="dxa"/>
                    <w:bottom w:w="0" w:type="dxa"/>
                    <w:right w:w="45" w:type="dxa"/>
                  </w:tcMar>
                  <w:vAlign w:val="center"/>
                </w:tcPr>
                <w:p>
                  <w:pPr>
                    <w:adjustRightInd w:val="0"/>
                    <w:snapToGrid w:val="0"/>
                    <w:jc w:val="center"/>
                    <w:rPr>
                      <w:sz w:val="18"/>
                      <w:szCs w:val="18"/>
                    </w:rPr>
                  </w:pPr>
                  <w:r>
                    <w:rPr>
                      <w:sz w:val="18"/>
                      <w:szCs w:val="18"/>
                    </w:rPr>
                    <w:t>严把准入关口</w:t>
                  </w:r>
                </w:p>
              </w:tc>
              <w:tc>
                <w:tcPr>
                  <w:tcW w:w="2866" w:type="pct"/>
                  <w:tcMar>
                    <w:top w:w="0" w:type="dxa"/>
                    <w:left w:w="45" w:type="dxa"/>
                    <w:bottom w:w="0" w:type="dxa"/>
                    <w:right w:w="45" w:type="dxa"/>
                  </w:tcMar>
                  <w:vAlign w:val="center"/>
                </w:tcPr>
                <w:p>
                  <w:pPr>
                    <w:adjustRightInd w:val="0"/>
                    <w:snapToGrid w:val="0"/>
                    <w:jc w:val="center"/>
                    <w:rPr>
                      <w:sz w:val="18"/>
                      <w:szCs w:val="18"/>
                    </w:rPr>
                  </w:pPr>
                  <w:r>
                    <w:rPr>
                      <w:sz w:val="18"/>
                      <w:szCs w:val="18"/>
                    </w:rPr>
                    <w:t>坚持环境质量“只能更好，不能变坏”的底线，严格落实污染物排放总量和产能总量控制刚性要求。实施“四上四压”，坚持“上新压旧”“上大压小”“上高压低”“上整压散”。“两高”项目确有必要建设的，须严格落实产能、煤耗、能耗、碳排放和污染物排放“五个减量替代”要求，新（改、扩）建项目要减量替代，已建项目要减量运行。依据国家相关产业政策，对钢铁、地炼、焦化、煤电、电解铝、水泥、轮胎、平板玻璃、氮肥、铁合金等重点行业严格执行产能置换要求，确保产能总量只减不增。原则上不再审批新建煤矿项目。严禁省外水泥熟料、粉磨、焦化产能转入，严禁新增水泥熟料、粉磨产能。</w:t>
                  </w:r>
                </w:p>
              </w:tc>
              <w:tc>
                <w:tcPr>
                  <w:tcW w:w="1169" w:type="pct"/>
                  <w:tcMar>
                    <w:top w:w="0" w:type="dxa"/>
                    <w:left w:w="45" w:type="dxa"/>
                    <w:bottom w:w="0" w:type="dxa"/>
                    <w:right w:w="45" w:type="dxa"/>
                  </w:tcMar>
                  <w:vAlign w:val="center"/>
                </w:tcPr>
                <w:p>
                  <w:pPr>
                    <w:adjustRightInd w:val="0"/>
                    <w:snapToGrid w:val="0"/>
                    <w:jc w:val="center"/>
                    <w:rPr>
                      <w:sz w:val="18"/>
                      <w:szCs w:val="18"/>
                    </w:rPr>
                  </w:pPr>
                  <w:r>
                    <w:rPr>
                      <w:sz w:val="18"/>
                      <w:szCs w:val="18"/>
                    </w:rPr>
                    <w:t>项目不属于两高项目。</w:t>
                  </w:r>
                </w:p>
              </w:tc>
              <w:tc>
                <w:tcPr>
                  <w:tcW w:w="450" w:type="pct"/>
                  <w:tcMar>
                    <w:top w:w="0" w:type="dxa"/>
                    <w:left w:w="45" w:type="dxa"/>
                    <w:bottom w:w="0" w:type="dxa"/>
                    <w:right w:w="45" w:type="dxa"/>
                  </w:tcMar>
                  <w:vAlign w:val="center"/>
                </w:tcPr>
                <w:p>
                  <w:pPr>
                    <w:adjustRightInd w:val="0"/>
                    <w:snapToGrid w:val="0"/>
                    <w:jc w:val="center"/>
                    <w:rPr>
                      <w:sz w:val="18"/>
                      <w:szCs w:val="18"/>
                    </w:rPr>
                  </w:pPr>
                  <w:r>
                    <w:rPr>
                      <w:sz w:val="18"/>
                      <w:szCs w:val="18"/>
                    </w:rPr>
                    <w:t>符合</w:t>
                  </w:r>
                </w:p>
              </w:tc>
            </w:tr>
          </w:tbl>
          <w:p>
            <w:pPr>
              <w:pStyle w:val="2"/>
              <w:adjustRightInd w:val="0"/>
              <w:snapToGrid w:val="0"/>
              <w:spacing w:line="360" w:lineRule="auto"/>
              <w:rPr>
                <w:sz w:val="21"/>
                <w:szCs w:val="21"/>
              </w:rPr>
            </w:pPr>
            <w:r>
              <w:rPr>
                <w:sz w:val="21"/>
                <w:szCs w:val="21"/>
              </w:rPr>
              <w:t>综上，项目建设符合《关于印发山东省“十四五”生态环境保护规划的通知》（鲁政发〔2021〕12号）要求。</w:t>
            </w:r>
          </w:p>
          <w:p>
            <w:pPr>
              <w:adjustRightInd w:val="0"/>
              <w:snapToGrid w:val="0"/>
              <w:spacing w:line="360" w:lineRule="auto"/>
              <w:ind w:firstLine="420" w:firstLineChars="200"/>
            </w:pPr>
            <w:r>
              <w:t>（7）与《关于严格项目审批工作坚决防止新上“散乱污”项目的通知》（鲁环字[2021]58号）的符合性分析。</w:t>
            </w:r>
          </w:p>
          <w:p>
            <w:pPr>
              <w:adjustRightInd w:val="0"/>
              <w:snapToGrid w:val="0"/>
              <w:spacing w:line="360" w:lineRule="auto"/>
              <w:jc w:val="center"/>
              <w:rPr>
                <w:b/>
              </w:rPr>
            </w:pPr>
          </w:p>
          <w:p>
            <w:pPr>
              <w:adjustRightInd w:val="0"/>
              <w:snapToGrid w:val="0"/>
              <w:spacing w:line="360" w:lineRule="auto"/>
              <w:jc w:val="center"/>
              <w:rPr>
                <w:b/>
              </w:rPr>
            </w:pPr>
            <w:r>
              <w:rPr>
                <w:b/>
              </w:rPr>
              <w:t>表1-</w:t>
            </w:r>
            <w:r>
              <w:rPr>
                <w:rFonts w:hint="eastAsia"/>
                <w:b/>
                <w:lang w:val="en-US" w:eastAsia="zh-CN"/>
              </w:rPr>
              <w:t>13</w:t>
            </w:r>
            <w:r>
              <w:rPr>
                <w:b/>
              </w:rPr>
              <w:t>项目与《关于严格项目审批工作坚决防止新上“散乱污”项目的通知》（鲁环字[2021]58号）的符合性分析</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454"/>
              <w:gridCol w:w="2148"/>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pPr>
                    <w:jc w:val="center"/>
                    <w:rPr>
                      <w:b/>
                      <w:bCs/>
                      <w:sz w:val="18"/>
                      <w:szCs w:val="18"/>
                    </w:rPr>
                  </w:pPr>
                  <w:r>
                    <w:rPr>
                      <w:b/>
                      <w:bCs/>
                      <w:sz w:val="18"/>
                      <w:szCs w:val="18"/>
                    </w:rPr>
                    <w:t>序号</w:t>
                  </w:r>
                </w:p>
              </w:tc>
              <w:tc>
                <w:tcPr>
                  <w:tcW w:w="2731" w:type="pct"/>
                  <w:vAlign w:val="center"/>
                </w:tcPr>
                <w:p>
                  <w:pPr>
                    <w:jc w:val="center"/>
                    <w:rPr>
                      <w:b/>
                      <w:bCs/>
                      <w:sz w:val="18"/>
                      <w:szCs w:val="18"/>
                    </w:rPr>
                  </w:pPr>
                  <w:r>
                    <w:rPr>
                      <w:b/>
                      <w:bCs/>
                      <w:sz w:val="18"/>
                      <w:szCs w:val="18"/>
                    </w:rPr>
                    <w:t>关于严格项目审批工作坚决防止新上“散乱污”项目的通知（鲁环字[2021]58号）</w:t>
                  </w:r>
                </w:p>
              </w:tc>
              <w:tc>
                <w:tcPr>
                  <w:tcW w:w="1317" w:type="pct"/>
                  <w:vAlign w:val="center"/>
                </w:tcPr>
                <w:p>
                  <w:pPr>
                    <w:jc w:val="center"/>
                    <w:rPr>
                      <w:b/>
                      <w:bCs/>
                      <w:sz w:val="18"/>
                      <w:szCs w:val="18"/>
                    </w:rPr>
                  </w:pPr>
                  <w:r>
                    <w:rPr>
                      <w:b/>
                      <w:bCs/>
                      <w:sz w:val="18"/>
                      <w:szCs w:val="18"/>
                    </w:rPr>
                    <w:t>项目符合情况</w:t>
                  </w:r>
                </w:p>
              </w:tc>
              <w:tc>
                <w:tcPr>
                  <w:tcW w:w="499" w:type="pct"/>
                  <w:vAlign w:val="center"/>
                </w:tcPr>
                <w:p>
                  <w:pPr>
                    <w:jc w:val="center"/>
                    <w:rPr>
                      <w:b/>
                      <w:bCs/>
                      <w:sz w:val="18"/>
                      <w:szCs w:val="18"/>
                    </w:rPr>
                  </w:pPr>
                  <w:r>
                    <w:rPr>
                      <w:b/>
                      <w:bCs/>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pPr>
                    <w:snapToGrid w:val="0"/>
                    <w:jc w:val="center"/>
                    <w:rPr>
                      <w:sz w:val="18"/>
                      <w:szCs w:val="18"/>
                    </w:rPr>
                  </w:pPr>
                  <w:r>
                    <w:rPr>
                      <w:sz w:val="18"/>
                      <w:szCs w:val="18"/>
                    </w:rPr>
                    <w:t>一</w:t>
                  </w:r>
                </w:p>
              </w:tc>
              <w:tc>
                <w:tcPr>
                  <w:tcW w:w="2731" w:type="pct"/>
                  <w:vAlign w:val="center"/>
                </w:tcPr>
                <w:p>
                  <w:pPr>
                    <w:snapToGrid w:val="0"/>
                    <w:jc w:val="center"/>
                    <w:rPr>
                      <w:sz w:val="18"/>
                      <w:szCs w:val="18"/>
                    </w:rPr>
                  </w:pPr>
                  <w:r>
                    <w:rPr>
                      <w:rFonts w:hint="eastAsia"/>
                      <w:sz w:val="18"/>
                      <w:szCs w:val="18"/>
                    </w:rPr>
                    <w:t>认真贯彻执行产业政策。新上项目必须符合国家产业政策要求，禁止采用国家公布的淘汰工艺和落后设备，不得引进耗能高、污染大、生产粗放、不符合国家产业政策的项目。各级立项部门在为企业办理手续时，要认真对照《产业结构调整指导目录（2019年本）》（如有更新，以更新后文件为准），对鼓励类项目，按照有关规定审批、核准或备案；对限制类项目，禁止新建，现有生产能力允许在一定期限内改造升级；对淘汰类项目，市场主体不得进入，行政机关不予审批</w:t>
                  </w:r>
                  <w:r>
                    <w:rPr>
                      <w:sz w:val="18"/>
                      <w:szCs w:val="18"/>
                    </w:rPr>
                    <w:t>。</w:t>
                  </w:r>
                </w:p>
              </w:tc>
              <w:tc>
                <w:tcPr>
                  <w:tcW w:w="1317" w:type="pct"/>
                  <w:vAlign w:val="center"/>
                </w:tcPr>
                <w:p>
                  <w:pPr>
                    <w:snapToGrid w:val="0"/>
                    <w:jc w:val="center"/>
                    <w:rPr>
                      <w:sz w:val="18"/>
                      <w:szCs w:val="18"/>
                    </w:rPr>
                  </w:pPr>
                  <w:r>
                    <w:rPr>
                      <w:sz w:val="18"/>
                      <w:szCs w:val="18"/>
                    </w:rPr>
                    <w:t>项目工艺、设备不属于国家公布的淘汰工艺和落后设备；项目不属于耗能高、污染大、生产粗放、不符合国家产业政策的项目；经查询《产业结构调整指导目录（2019年）》，项目为允许类项目。</w:t>
                  </w:r>
                </w:p>
              </w:tc>
              <w:tc>
                <w:tcPr>
                  <w:tcW w:w="499" w:type="pct"/>
                  <w:vAlign w:val="center"/>
                </w:tcPr>
                <w:p>
                  <w:pPr>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pPr>
                    <w:snapToGrid w:val="0"/>
                    <w:jc w:val="center"/>
                    <w:rPr>
                      <w:sz w:val="18"/>
                      <w:szCs w:val="18"/>
                    </w:rPr>
                  </w:pPr>
                  <w:r>
                    <w:rPr>
                      <w:sz w:val="18"/>
                      <w:szCs w:val="18"/>
                    </w:rPr>
                    <w:t>二</w:t>
                  </w:r>
                </w:p>
              </w:tc>
              <w:tc>
                <w:tcPr>
                  <w:tcW w:w="2731" w:type="pct"/>
                  <w:vAlign w:val="center"/>
                </w:tcPr>
                <w:p>
                  <w:pPr>
                    <w:snapToGrid w:val="0"/>
                    <w:jc w:val="center"/>
                    <w:rPr>
                      <w:sz w:val="18"/>
                      <w:szCs w:val="18"/>
                    </w:rPr>
                  </w:pPr>
                  <w:r>
                    <w:rPr>
                      <w:rFonts w:hint="eastAsia"/>
                      <w:sz w:val="18"/>
                      <w:szCs w:val="18"/>
                    </w:rPr>
                    <w:t>强化规划刚性约束。新上项目必须符合国土空间规划、产业发展规划等要求，积极引导产业园区外“散乱污”整治搬迁改造企业进入产业园区或工业集聚区，并鼓励租赁标准厂房。按照“布局集中、用地集约、产业集聚、空间优化”的原则，高标准制定产业发展规划，明确主导产业、布局和产业发展方向，引导企业规范化、规模化、集约化发展</w:t>
                  </w:r>
                  <w:r>
                    <w:rPr>
                      <w:sz w:val="18"/>
                      <w:szCs w:val="18"/>
                    </w:rPr>
                    <w:t>。</w:t>
                  </w:r>
                </w:p>
              </w:tc>
              <w:tc>
                <w:tcPr>
                  <w:tcW w:w="1317" w:type="pct"/>
                  <w:vAlign w:val="center"/>
                </w:tcPr>
                <w:p>
                  <w:pPr>
                    <w:snapToGrid w:val="0"/>
                    <w:jc w:val="center"/>
                    <w:rPr>
                      <w:sz w:val="18"/>
                      <w:szCs w:val="18"/>
                    </w:rPr>
                  </w:pPr>
                  <w:r>
                    <w:rPr>
                      <w:sz w:val="18"/>
                      <w:szCs w:val="18"/>
                    </w:rPr>
                    <w:t>项目位于淄博市淄川区</w:t>
                  </w:r>
                  <w:r>
                    <w:rPr>
                      <w:rFonts w:hint="eastAsia"/>
                      <w:sz w:val="18"/>
                      <w:szCs w:val="18"/>
                      <w:lang w:eastAsia="zh-CN"/>
                    </w:rPr>
                    <w:t>双杨</w:t>
                  </w:r>
                  <w:r>
                    <w:rPr>
                      <w:sz w:val="18"/>
                      <w:szCs w:val="18"/>
                    </w:rPr>
                    <w:t>镇，该厂址位于工业集聚区，该项目符合城镇总体规划。</w:t>
                  </w:r>
                </w:p>
              </w:tc>
              <w:tc>
                <w:tcPr>
                  <w:tcW w:w="499" w:type="pct"/>
                  <w:vAlign w:val="center"/>
                </w:tcPr>
                <w:p>
                  <w:pPr>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pPr>
                    <w:snapToGrid w:val="0"/>
                    <w:jc w:val="center"/>
                    <w:rPr>
                      <w:sz w:val="18"/>
                      <w:szCs w:val="18"/>
                    </w:rPr>
                  </w:pPr>
                  <w:r>
                    <w:rPr>
                      <w:sz w:val="18"/>
                      <w:szCs w:val="18"/>
                    </w:rPr>
                    <w:t>三</w:t>
                  </w:r>
                </w:p>
              </w:tc>
              <w:tc>
                <w:tcPr>
                  <w:tcW w:w="2731" w:type="pct"/>
                  <w:vAlign w:val="center"/>
                </w:tcPr>
                <w:p>
                  <w:pPr>
                    <w:snapToGrid w:val="0"/>
                    <w:jc w:val="center"/>
                    <w:rPr>
                      <w:sz w:val="18"/>
                      <w:szCs w:val="18"/>
                    </w:rPr>
                  </w:pPr>
                  <w:r>
                    <w:rPr>
                      <w:rFonts w:hint="eastAsia"/>
                      <w:sz w:val="18"/>
                      <w:szCs w:val="18"/>
                    </w:rPr>
                    <w:t>科学把好项目选址关。新建有污染物排放的工业项目，除在安全生产等方面有特殊要求的以外，应当进入工业园区或工业集聚区。各市要本着节约利用土地的原则，充分考虑项目周边环境、资金投入、推进速度等关键要素，合理选址，科学布局，切实做到符合用地政策，确保规划建设的项目有利于长远发展</w:t>
                  </w:r>
                  <w:r>
                    <w:rPr>
                      <w:sz w:val="18"/>
                      <w:szCs w:val="18"/>
                    </w:rPr>
                    <w:t>。</w:t>
                  </w:r>
                </w:p>
              </w:tc>
              <w:tc>
                <w:tcPr>
                  <w:tcW w:w="1317" w:type="pct"/>
                  <w:vAlign w:val="center"/>
                </w:tcPr>
                <w:p>
                  <w:pPr>
                    <w:snapToGrid w:val="0"/>
                    <w:jc w:val="center"/>
                    <w:rPr>
                      <w:sz w:val="18"/>
                      <w:szCs w:val="18"/>
                    </w:rPr>
                  </w:pPr>
                  <w:r>
                    <w:rPr>
                      <w:sz w:val="18"/>
                      <w:szCs w:val="18"/>
                    </w:rPr>
                    <w:t>项目位于淄博市淄川区</w:t>
                  </w:r>
                  <w:r>
                    <w:rPr>
                      <w:rFonts w:hint="eastAsia"/>
                      <w:sz w:val="18"/>
                      <w:szCs w:val="18"/>
                      <w:lang w:eastAsia="zh-CN"/>
                    </w:rPr>
                    <w:t>双杨</w:t>
                  </w:r>
                  <w:r>
                    <w:rPr>
                      <w:sz w:val="18"/>
                      <w:szCs w:val="18"/>
                    </w:rPr>
                    <w:t>镇，该厂址位于工业集聚区</w:t>
                  </w:r>
                  <w:r>
                    <w:rPr>
                      <w:rFonts w:hint="eastAsia"/>
                      <w:sz w:val="18"/>
                      <w:szCs w:val="18"/>
                      <w:lang w:eastAsia="zh-CN"/>
                    </w:rPr>
                    <w:t>内</w:t>
                  </w:r>
                  <w:r>
                    <w:rPr>
                      <w:sz w:val="18"/>
                      <w:szCs w:val="18"/>
                    </w:rPr>
                    <w:t>，该项目符合城镇总体规划。</w:t>
                  </w:r>
                </w:p>
              </w:tc>
              <w:tc>
                <w:tcPr>
                  <w:tcW w:w="499" w:type="pct"/>
                  <w:vAlign w:val="center"/>
                </w:tcPr>
                <w:p>
                  <w:pPr>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pPr>
                    <w:snapToGrid w:val="0"/>
                    <w:jc w:val="center"/>
                    <w:rPr>
                      <w:sz w:val="18"/>
                      <w:szCs w:val="18"/>
                    </w:rPr>
                  </w:pPr>
                  <w:r>
                    <w:rPr>
                      <w:sz w:val="18"/>
                      <w:szCs w:val="18"/>
                    </w:rPr>
                    <w:t>四</w:t>
                  </w:r>
                </w:p>
              </w:tc>
              <w:tc>
                <w:tcPr>
                  <w:tcW w:w="2731" w:type="pct"/>
                  <w:vAlign w:val="center"/>
                </w:tcPr>
                <w:p>
                  <w:pPr>
                    <w:snapToGrid w:val="0"/>
                    <w:jc w:val="center"/>
                    <w:rPr>
                      <w:sz w:val="18"/>
                      <w:szCs w:val="18"/>
                    </w:rPr>
                  </w:pPr>
                  <w:r>
                    <w:rPr>
                      <w:rFonts w:hint="eastAsia"/>
                      <w:sz w:val="18"/>
                      <w:szCs w:val="18"/>
                    </w:rPr>
                    <w:t>严把项目环评审批关。新上项目必须严格执行环评审批“三挂钩”机制和“五个不批”要求，落实“三线一单”生态环境分区管控要求。强化替代约束，涉及主要污染物排放的，必须落实区域污染物排放替代，确保增产减污；涉及煤炭消耗的，必须落实煤炭消费减量替代，否则各级环评审批部门一律不予审批通过</w:t>
                  </w:r>
                  <w:r>
                    <w:rPr>
                      <w:sz w:val="18"/>
                      <w:szCs w:val="18"/>
                    </w:rPr>
                    <w:t>。</w:t>
                  </w:r>
                </w:p>
              </w:tc>
              <w:tc>
                <w:tcPr>
                  <w:tcW w:w="1317" w:type="pct"/>
                  <w:vAlign w:val="center"/>
                </w:tcPr>
                <w:p>
                  <w:pPr>
                    <w:snapToGrid w:val="0"/>
                    <w:jc w:val="center"/>
                    <w:rPr>
                      <w:sz w:val="18"/>
                      <w:szCs w:val="18"/>
                    </w:rPr>
                  </w:pPr>
                  <w:r>
                    <w:rPr>
                      <w:sz w:val="18"/>
                      <w:szCs w:val="18"/>
                    </w:rPr>
                    <w:t>项目不在生态保护红线区，不涉及占用或穿越生态保护红线。选址符合山东省生态保护红线规划和淄博市生态保护红线规划要求。</w:t>
                  </w:r>
                </w:p>
              </w:tc>
              <w:tc>
                <w:tcPr>
                  <w:tcW w:w="499" w:type="pct"/>
                  <w:vAlign w:val="center"/>
                </w:tcPr>
                <w:p>
                  <w:pPr>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2" w:type="pct"/>
                  <w:vAlign w:val="center"/>
                </w:tcPr>
                <w:p>
                  <w:pPr>
                    <w:snapToGrid w:val="0"/>
                    <w:jc w:val="center"/>
                    <w:rPr>
                      <w:sz w:val="18"/>
                      <w:szCs w:val="18"/>
                    </w:rPr>
                  </w:pPr>
                  <w:r>
                    <w:rPr>
                      <w:sz w:val="18"/>
                      <w:szCs w:val="18"/>
                    </w:rPr>
                    <w:t>五</w:t>
                  </w:r>
                </w:p>
              </w:tc>
              <w:tc>
                <w:tcPr>
                  <w:tcW w:w="2731" w:type="pct"/>
                  <w:vAlign w:val="center"/>
                </w:tcPr>
                <w:p>
                  <w:pPr>
                    <w:snapToGrid w:val="0"/>
                    <w:jc w:val="center"/>
                    <w:rPr>
                      <w:sz w:val="18"/>
                      <w:szCs w:val="18"/>
                    </w:rPr>
                  </w:pPr>
                  <w:r>
                    <w:rPr>
                      <w:rFonts w:hint="eastAsia"/>
                      <w:sz w:val="18"/>
                      <w:szCs w:val="18"/>
                    </w:rPr>
                    <w:t>强化日常监管执法。持续加大对违反产业政策、规划、准入规定等违法违规建设行为的查处力度，坚决遏制“未批先建”等违法行为。畅通群众举报投诉渠道，对“散乱污”项目做到早发现、早应对、早处置，严防死灰复燃</w:t>
                  </w:r>
                  <w:r>
                    <w:rPr>
                      <w:sz w:val="18"/>
                      <w:szCs w:val="18"/>
                    </w:rPr>
                    <w:t>。</w:t>
                  </w:r>
                </w:p>
              </w:tc>
              <w:tc>
                <w:tcPr>
                  <w:tcW w:w="1317" w:type="pct"/>
                  <w:vAlign w:val="center"/>
                </w:tcPr>
                <w:p>
                  <w:pPr>
                    <w:snapToGrid w:val="0"/>
                    <w:jc w:val="center"/>
                    <w:rPr>
                      <w:sz w:val="18"/>
                      <w:szCs w:val="18"/>
                    </w:rPr>
                  </w:pPr>
                  <w:r>
                    <w:rPr>
                      <w:sz w:val="18"/>
                      <w:szCs w:val="18"/>
                    </w:rPr>
                    <w:t>项目不属于“未批先建”，无违法违规建设行为</w:t>
                  </w:r>
                </w:p>
              </w:tc>
              <w:tc>
                <w:tcPr>
                  <w:tcW w:w="499" w:type="pct"/>
                  <w:vAlign w:val="center"/>
                </w:tcPr>
                <w:p>
                  <w:pPr>
                    <w:snapToGrid w:val="0"/>
                    <w:jc w:val="center"/>
                    <w:rPr>
                      <w:sz w:val="18"/>
                      <w:szCs w:val="18"/>
                    </w:rPr>
                  </w:pPr>
                  <w:r>
                    <w:rPr>
                      <w:sz w:val="18"/>
                      <w:szCs w:val="18"/>
                    </w:rPr>
                    <w:t>符合</w:t>
                  </w:r>
                </w:p>
              </w:tc>
            </w:tr>
          </w:tbl>
          <w:p>
            <w:pPr>
              <w:pStyle w:val="2"/>
              <w:adjustRightInd w:val="0"/>
              <w:snapToGrid w:val="0"/>
              <w:spacing w:line="360" w:lineRule="auto"/>
              <w:rPr>
                <w:sz w:val="21"/>
                <w:szCs w:val="21"/>
              </w:rPr>
            </w:pPr>
            <w:r>
              <w:rPr>
                <w:sz w:val="21"/>
                <w:szCs w:val="21"/>
              </w:rPr>
              <w:t>由上表可见，项目的建设符合《关于严格项目审批工作坚决防止新上“散乱污”项目的通知》（鲁环字〔2021〕58号）的要求。</w:t>
            </w:r>
          </w:p>
          <w:p>
            <w:pPr>
              <w:spacing w:line="360" w:lineRule="auto"/>
              <w:ind w:firstLine="420" w:firstLineChars="200"/>
            </w:pPr>
            <w:r>
              <w:t>（8）、与关于印发《全市工业企业大气污染治理品质提升实施方案》的通知（淄环委办〔2022〕10号）的符合性分析</w:t>
            </w:r>
          </w:p>
          <w:p>
            <w:pPr>
              <w:spacing w:line="360" w:lineRule="auto"/>
              <w:jc w:val="center"/>
              <w:rPr>
                <w:b/>
                <w:bCs/>
              </w:rPr>
            </w:pPr>
            <w:r>
              <w:rPr>
                <w:b/>
                <w:bCs/>
              </w:rPr>
              <w:t>表1-1</w:t>
            </w:r>
            <w:r>
              <w:rPr>
                <w:rFonts w:hint="eastAsia"/>
                <w:b/>
                <w:bCs/>
                <w:lang w:val="en-US" w:eastAsia="zh-CN"/>
              </w:rPr>
              <w:t>4</w:t>
            </w:r>
            <w:r>
              <w:rPr>
                <w:b/>
                <w:bCs/>
              </w:rPr>
              <w:t>项目与淄环委办〔2022〕10号的符合性分析</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0"/>
              <w:gridCol w:w="4442"/>
              <w:gridCol w:w="2660"/>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964" w:type="pct"/>
                  <w:gridSpan w:val="2"/>
                  <w:vAlign w:val="center"/>
                </w:tcPr>
                <w:p>
                  <w:pPr>
                    <w:pStyle w:val="198"/>
                    <w:spacing w:beforeLines="0" w:afterLines="0" w:line="240" w:lineRule="atLeast"/>
                    <w:rPr>
                      <w:rFonts w:ascii="Times New Roman"/>
                      <w:b/>
                      <w:bCs/>
                      <w:color w:val="auto"/>
                      <w:sz w:val="18"/>
                      <w:szCs w:val="18"/>
                    </w:rPr>
                  </w:pPr>
                  <w:r>
                    <w:rPr>
                      <w:rFonts w:ascii="Times New Roman"/>
                      <w:b/>
                      <w:bCs/>
                      <w:color w:val="auto"/>
                      <w:sz w:val="18"/>
                      <w:szCs w:val="18"/>
                    </w:rPr>
                    <w:t>文件要求</w:t>
                  </w:r>
                </w:p>
              </w:tc>
              <w:tc>
                <w:tcPr>
                  <w:tcW w:w="1632" w:type="pct"/>
                  <w:vAlign w:val="center"/>
                </w:tcPr>
                <w:p>
                  <w:pPr>
                    <w:pStyle w:val="198"/>
                    <w:spacing w:beforeLines="0" w:afterLines="0" w:line="240" w:lineRule="atLeast"/>
                    <w:rPr>
                      <w:rFonts w:ascii="Times New Roman"/>
                      <w:b/>
                      <w:bCs/>
                      <w:color w:val="auto"/>
                      <w:sz w:val="18"/>
                      <w:szCs w:val="18"/>
                    </w:rPr>
                  </w:pPr>
                  <w:r>
                    <w:rPr>
                      <w:rFonts w:ascii="Times New Roman"/>
                      <w:b/>
                      <w:bCs/>
                      <w:color w:val="auto"/>
                      <w:sz w:val="18"/>
                      <w:szCs w:val="18"/>
                    </w:rPr>
                    <w:t>项目情况</w:t>
                  </w:r>
                </w:p>
              </w:tc>
              <w:tc>
                <w:tcPr>
                  <w:tcW w:w="403" w:type="pct"/>
                  <w:tcMar>
                    <w:left w:w="28" w:type="dxa"/>
                    <w:right w:w="28" w:type="dxa"/>
                  </w:tcMar>
                  <w:vAlign w:val="center"/>
                </w:tcPr>
                <w:p>
                  <w:pPr>
                    <w:pStyle w:val="198"/>
                    <w:spacing w:beforeLines="0" w:afterLines="0" w:line="240" w:lineRule="atLeast"/>
                    <w:rPr>
                      <w:rFonts w:ascii="Times New Roman"/>
                      <w:b/>
                      <w:bCs/>
                      <w:color w:val="auto"/>
                      <w:sz w:val="18"/>
                      <w:szCs w:val="18"/>
                    </w:rPr>
                  </w:pPr>
                  <w:r>
                    <w:rPr>
                      <w:rFonts w:ascii="Times New Roman"/>
                      <w:b/>
                      <w:bCs/>
                      <w:color w:val="auto"/>
                      <w:sz w:val="18"/>
                      <w:szCs w:val="18"/>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9" w:type="pct"/>
                  <w:vMerge w:val="restart"/>
                  <w:vAlign w:val="center"/>
                </w:tcPr>
                <w:p>
                  <w:pPr>
                    <w:pStyle w:val="198"/>
                    <w:spacing w:beforeLines="0" w:afterLines="0" w:line="240" w:lineRule="atLeast"/>
                    <w:rPr>
                      <w:rFonts w:ascii="Times New Roman"/>
                      <w:color w:val="auto"/>
                      <w:sz w:val="18"/>
                      <w:szCs w:val="18"/>
                    </w:rPr>
                  </w:pPr>
                  <w:r>
                    <w:rPr>
                      <w:rFonts w:ascii="Times New Roman"/>
                      <w:color w:val="auto"/>
                      <w:sz w:val="18"/>
                      <w:szCs w:val="18"/>
                    </w:rPr>
                    <w:t>提升颗粒物治理水平</w:t>
                  </w:r>
                </w:p>
              </w:tc>
              <w:tc>
                <w:tcPr>
                  <w:tcW w:w="2724" w:type="pct"/>
                  <w:vAlign w:val="center"/>
                </w:tcPr>
                <w:p>
                  <w:pPr>
                    <w:pStyle w:val="198"/>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23.粉性原料、物料（含易起尘的粒状）等贮存场所要全密闭，非道路移动机械（铲车、挖掘机等）内部作业时宜安装并启用喷雾降尘装置</w:t>
                  </w:r>
                </w:p>
              </w:tc>
              <w:tc>
                <w:tcPr>
                  <w:tcW w:w="1632" w:type="pct"/>
                  <w:vAlign w:val="center"/>
                </w:tcPr>
                <w:p>
                  <w:pPr>
                    <w:pStyle w:val="198"/>
                    <w:spacing w:beforeLines="0" w:afterLines="0" w:line="240" w:lineRule="atLeast"/>
                    <w:jc w:val="both"/>
                    <w:rPr>
                      <w:rFonts w:hint="eastAsia" w:ascii="Times New Roman" w:eastAsia="宋体"/>
                      <w:color w:val="auto"/>
                      <w:sz w:val="18"/>
                      <w:szCs w:val="18"/>
                      <w:lang w:eastAsia="zh-CN"/>
                    </w:rPr>
                  </w:pPr>
                  <w:r>
                    <w:rPr>
                      <w:rFonts w:ascii="Times New Roman"/>
                      <w:color w:val="auto"/>
                      <w:sz w:val="18"/>
                      <w:szCs w:val="21"/>
                    </w:rPr>
                    <w:t>本项目</w:t>
                  </w:r>
                  <w:r>
                    <w:rPr>
                      <w:rFonts w:hint="eastAsia" w:ascii="Times New Roman"/>
                      <w:color w:val="auto"/>
                      <w:sz w:val="18"/>
                      <w:szCs w:val="21"/>
                      <w:lang w:eastAsia="zh-CN"/>
                    </w:rPr>
                    <w:t>不涉及粉性原料、物料，无粉尘产生。</w:t>
                  </w:r>
                </w:p>
              </w:tc>
              <w:tc>
                <w:tcPr>
                  <w:tcW w:w="403" w:type="pct"/>
                  <w:vAlign w:val="center"/>
                </w:tcPr>
                <w:p>
                  <w:pPr>
                    <w:pStyle w:val="198"/>
                    <w:spacing w:beforeLines="0" w:afterLines="0" w:line="240" w:lineRule="atLeast"/>
                    <w:rPr>
                      <w:rFonts w:ascii="Times New Roman"/>
                      <w:color w:val="FF0000"/>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9" w:type="pct"/>
                  <w:vMerge w:val="continue"/>
                  <w:vAlign w:val="center"/>
                </w:tcPr>
                <w:p>
                  <w:pPr>
                    <w:pStyle w:val="198"/>
                    <w:spacing w:beforeLines="0" w:afterLines="0" w:line="240" w:lineRule="atLeast"/>
                    <w:rPr>
                      <w:rFonts w:ascii="Times New Roman"/>
                      <w:color w:val="auto"/>
                      <w:sz w:val="18"/>
                      <w:szCs w:val="18"/>
                    </w:rPr>
                  </w:pPr>
                </w:p>
              </w:tc>
              <w:tc>
                <w:tcPr>
                  <w:tcW w:w="2724" w:type="pct"/>
                  <w:vAlign w:val="center"/>
                </w:tcPr>
                <w:p>
                  <w:pPr>
                    <w:pStyle w:val="198"/>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24.粉状物料破碎、粉磨以及产品烘干、冷却、混料、包装等过程中产生的粉尘，要设置布袋除尘器或者其他粉尘收集处理设施进行有效收集处理。其中，要根据企业生产情况和布袋除尘器压差变化情况，合理确定反吹时间间隔与频次。</w:t>
                  </w:r>
                </w:p>
              </w:tc>
              <w:tc>
                <w:tcPr>
                  <w:tcW w:w="1632" w:type="pct"/>
                  <w:vAlign w:val="center"/>
                </w:tcPr>
                <w:p>
                  <w:pPr>
                    <w:pStyle w:val="198"/>
                    <w:spacing w:beforeLines="0" w:afterLines="0" w:line="240" w:lineRule="atLeast"/>
                    <w:jc w:val="both"/>
                    <w:rPr>
                      <w:rFonts w:ascii="Times New Roman"/>
                      <w:color w:val="auto"/>
                      <w:sz w:val="18"/>
                      <w:szCs w:val="18"/>
                    </w:rPr>
                  </w:pPr>
                  <w:r>
                    <w:rPr>
                      <w:rFonts w:ascii="Times New Roman"/>
                      <w:color w:val="auto"/>
                      <w:sz w:val="18"/>
                      <w:szCs w:val="21"/>
                    </w:rPr>
                    <w:t>本项目</w:t>
                  </w:r>
                  <w:r>
                    <w:rPr>
                      <w:rFonts w:hint="eastAsia" w:ascii="Times New Roman"/>
                      <w:color w:val="auto"/>
                      <w:sz w:val="18"/>
                      <w:szCs w:val="21"/>
                      <w:lang w:eastAsia="zh-CN"/>
                    </w:rPr>
                    <w:t>不涉及粉性原料、物料，无粉尘产生。</w:t>
                  </w:r>
                </w:p>
              </w:tc>
              <w:tc>
                <w:tcPr>
                  <w:tcW w:w="403" w:type="pct"/>
                  <w:vAlign w:val="center"/>
                </w:tcPr>
                <w:p>
                  <w:pPr>
                    <w:pStyle w:val="198"/>
                    <w:spacing w:beforeLines="0" w:afterLines="0" w:line="240" w:lineRule="atLeast"/>
                    <w:rPr>
                      <w:rFonts w:ascii="Times New Roman"/>
                      <w:color w:val="auto"/>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9" w:type="pct"/>
                  <w:vMerge w:val="continue"/>
                  <w:vAlign w:val="center"/>
                </w:tcPr>
                <w:p>
                  <w:pPr>
                    <w:pStyle w:val="198"/>
                    <w:spacing w:beforeLines="0" w:afterLines="0" w:line="240" w:lineRule="atLeast"/>
                    <w:rPr>
                      <w:rFonts w:ascii="Times New Roman"/>
                      <w:color w:val="auto"/>
                      <w:sz w:val="18"/>
                      <w:szCs w:val="18"/>
                    </w:rPr>
                  </w:pPr>
                </w:p>
              </w:tc>
              <w:tc>
                <w:tcPr>
                  <w:tcW w:w="2724" w:type="pct"/>
                  <w:vAlign w:val="center"/>
                </w:tcPr>
                <w:p>
                  <w:pPr>
                    <w:pStyle w:val="198"/>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25.厂内道路要全部硬化，地面要硬化或者绿化，不得出现裸露地面。定期对厂内及车间内道路、地面等进行洒扫保洁，原则上每周冲洗不少于1次，每天洒扫不少于2次，地面无积尘。</w:t>
                  </w:r>
                </w:p>
              </w:tc>
              <w:tc>
                <w:tcPr>
                  <w:tcW w:w="1632" w:type="pct"/>
                  <w:vAlign w:val="center"/>
                </w:tcPr>
                <w:p>
                  <w:pPr>
                    <w:pStyle w:val="198"/>
                    <w:spacing w:beforeLines="0" w:afterLines="0" w:line="240" w:lineRule="atLeast"/>
                    <w:jc w:val="both"/>
                    <w:rPr>
                      <w:rFonts w:hint="eastAsia" w:ascii="Times New Roman" w:eastAsia="宋体"/>
                      <w:color w:val="auto"/>
                      <w:sz w:val="18"/>
                      <w:szCs w:val="18"/>
                      <w:lang w:eastAsia="zh-CN"/>
                    </w:rPr>
                  </w:pPr>
                  <w:r>
                    <w:rPr>
                      <w:rFonts w:ascii="Times New Roman"/>
                      <w:color w:val="auto"/>
                      <w:sz w:val="18"/>
                      <w:szCs w:val="18"/>
                    </w:rPr>
                    <w:t>本项目厂区道路全部硬化，无裸露地面。本项目建成后将按照要求对厂内道路、车间地面进行冲洗，做到地面无积尘</w:t>
                  </w:r>
                  <w:r>
                    <w:rPr>
                      <w:rFonts w:hint="eastAsia" w:ascii="Times New Roman"/>
                      <w:color w:val="auto"/>
                      <w:sz w:val="18"/>
                      <w:szCs w:val="18"/>
                      <w:lang w:eastAsia="zh-CN"/>
                    </w:rPr>
                    <w:t>。</w:t>
                  </w:r>
                </w:p>
              </w:tc>
              <w:tc>
                <w:tcPr>
                  <w:tcW w:w="403" w:type="pct"/>
                  <w:vAlign w:val="center"/>
                </w:tcPr>
                <w:p>
                  <w:pPr>
                    <w:pStyle w:val="198"/>
                    <w:spacing w:beforeLines="0" w:afterLines="0" w:line="240" w:lineRule="atLeast"/>
                    <w:rPr>
                      <w:rFonts w:ascii="Times New Roman"/>
                      <w:color w:val="auto"/>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9" w:type="pct"/>
                  <w:vMerge w:val="restart"/>
                  <w:vAlign w:val="center"/>
                </w:tcPr>
                <w:p>
                  <w:pPr>
                    <w:pStyle w:val="198"/>
                    <w:spacing w:beforeLines="0" w:afterLines="0" w:line="240" w:lineRule="atLeast"/>
                    <w:rPr>
                      <w:rFonts w:ascii="Times New Roman"/>
                      <w:color w:val="auto"/>
                      <w:sz w:val="18"/>
                      <w:szCs w:val="18"/>
                    </w:rPr>
                  </w:pPr>
                  <w:r>
                    <w:rPr>
                      <w:rFonts w:ascii="Times New Roman"/>
                      <w:color w:val="auto"/>
                      <w:sz w:val="18"/>
                      <w:szCs w:val="18"/>
                    </w:rPr>
                    <w:t>提升精细化管理水平</w:t>
                  </w:r>
                </w:p>
              </w:tc>
              <w:tc>
                <w:tcPr>
                  <w:tcW w:w="2724" w:type="pct"/>
                  <w:vAlign w:val="center"/>
                </w:tcPr>
                <w:p>
                  <w:pPr>
                    <w:pStyle w:val="198"/>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28.企业要按照排污许可证相关要求，完整记录和保存生产设施运行、脱硫脱硝剂消费、活性炭等吸附剂更换、原辅料及能源消费、污染设施运行等台账信息，相关台账信息要与DCS记录一致。DCS记录应定期备份，保存时间不少于书面台账。</w:t>
                  </w:r>
                </w:p>
              </w:tc>
              <w:tc>
                <w:tcPr>
                  <w:tcW w:w="1632" w:type="pct"/>
                  <w:vMerge w:val="restart"/>
                  <w:vAlign w:val="center"/>
                </w:tcPr>
                <w:p>
                  <w:pPr>
                    <w:pStyle w:val="198"/>
                    <w:spacing w:beforeLines="0" w:afterLines="0" w:line="240" w:lineRule="atLeast"/>
                    <w:jc w:val="both"/>
                    <w:rPr>
                      <w:rFonts w:ascii="Times New Roman"/>
                      <w:color w:val="auto"/>
                      <w:sz w:val="18"/>
                      <w:szCs w:val="18"/>
                    </w:rPr>
                  </w:pPr>
                  <w:r>
                    <w:rPr>
                      <w:rFonts w:ascii="Times New Roman"/>
                      <w:color w:val="auto"/>
                      <w:sz w:val="18"/>
                      <w:szCs w:val="18"/>
                    </w:rPr>
                    <w:t>本项目建成后将按照要求进行精细化管理</w:t>
                  </w:r>
                </w:p>
              </w:tc>
              <w:tc>
                <w:tcPr>
                  <w:tcW w:w="403" w:type="pct"/>
                  <w:vMerge w:val="restart"/>
                  <w:vAlign w:val="center"/>
                </w:tcPr>
                <w:p>
                  <w:pPr>
                    <w:pStyle w:val="198"/>
                    <w:spacing w:beforeLines="0" w:afterLines="0" w:line="240" w:lineRule="atLeast"/>
                    <w:rPr>
                      <w:rFonts w:ascii="Times New Roman"/>
                      <w:color w:val="FF0000"/>
                      <w:sz w:val="18"/>
                      <w:szCs w:val="18"/>
                    </w:rPr>
                  </w:pPr>
                  <w:r>
                    <w:rPr>
                      <w:rFonts w:ascii="Times New Roman"/>
                      <w:color w:val="auto"/>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9" w:type="pct"/>
                  <w:vMerge w:val="continue"/>
                  <w:vAlign w:val="center"/>
                </w:tcPr>
                <w:p>
                  <w:pPr>
                    <w:pStyle w:val="198"/>
                    <w:spacing w:beforeLines="0" w:afterLines="0" w:line="240" w:lineRule="atLeast"/>
                    <w:rPr>
                      <w:rFonts w:ascii="Times New Roman"/>
                      <w:color w:val="auto"/>
                      <w:sz w:val="18"/>
                      <w:szCs w:val="18"/>
                    </w:rPr>
                  </w:pPr>
                </w:p>
              </w:tc>
              <w:tc>
                <w:tcPr>
                  <w:tcW w:w="2724" w:type="pct"/>
                  <w:vAlign w:val="center"/>
                </w:tcPr>
                <w:p>
                  <w:pPr>
                    <w:pStyle w:val="198"/>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30.废气处理系统应与生产工艺设备“同启同停”，企业要根据处理工艺，在治污设施操作规程中规定要操作方法，明确启停时间、温度、压力、烟气量等参数</w:t>
                  </w:r>
                </w:p>
              </w:tc>
              <w:tc>
                <w:tcPr>
                  <w:tcW w:w="1632" w:type="pct"/>
                  <w:vMerge w:val="continue"/>
                  <w:vAlign w:val="center"/>
                </w:tcPr>
                <w:p>
                  <w:pPr>
                    <w:pStyle w:val="198"/>
                    <w:spacing w:beforeLines="0" w:afterLines="0" w:line="240" w:lineRule="atLeast"/>
                    <w:jc w:val="both"/>
                    <w:rPr>
                      <w:rFonts w:ascii="Times New Roman"/>
                      <w:color w:val="auto"/>
                      <w:sz w:val="18"/>
                      <w:szCs w:val="18"/>
                      <w:highlight w:val="yellow"/>
                    </w:rPr>
                  </w:pPr>
                </w:p>
              </w:tc>
              <w:tc>
                <w:tcPr>
                  <w:tcW w:w="403" w:type="pct"/>
                  <w:vMerge w:val="continue"/>
                  <w:vAlign w:val="center"/>
                </w:tcPr>
                <w:p>
                  <w:pPr>
                    <w:pStyle w:val="198"/>
                    <w:spacing w:beforeLines="0" w:afterLines="0" w:line="240" w:lineRule="atLeast"/>
                    <w:rPr>
                      <w:rFonts w:ascii="Times New Roman"/>
                      <w:color w:val="FF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9" w:type="pct"/>
                  <w:vMerge w:val="continue"/>
                  <w:vAlign w:val="center"/>
                </w:tcPr>
                <w:p>
                  <w:pPr>
                    <w:pStyle w:val="198"/>
                    <w:spacing w:beforeLines="0" w:afterLines="0" w:line="240" w:lineRule="atLeast"/>
                    <w:rPr>
                      <w:rFonts w:ascii="Times New Roman"/>
                      <w:color w:val="auto"/>
                      <w:sz w:val="18"/>
                      <w:szCs w:val="18"/>
                    </w:rPr>
                  </w:pPr>
                </w:p>
              </w:tc>
              <w:tc>
                <w:tcPr>
                  <w:tcW w:w="2724" w:type="pct"/>
                  <w:vAlign w:val="center"/>
                </w:tcPr>
                <w:p>
                  <w:pPr>
                    <w:pStyle w:val="198"/>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31.企业应建立健全大气污染治理责任制、管理制度和操作规程，定期开展专项培训或综合培训。其中，治污设施操作人员的专项培训，每季度至少开展一次公司级培训，每月至少开展一次车间级培训，考核合格后方可上岗。</w:t>
                  </w:r>
                </w:p>
              </w:tc>
              <w:tc>
                <w:tcPr>
                  <w:tcW w:w="1632" w:type="pct"/>
                  <w:vMerge w:val="continue"/>
                  <w:vAlign w:val="center"/>
                </w:tcPr>
                <w:p>
                  <w:pPr>
                    <w:pStyle w:val="198"/>
                    <w:spacing w:beforeLines="0" w:afterLines="0" w:line="240" w:lineRule="atLeast"/>
                    <w:jc w:val="both"/>
                    <w:rPr>
                      <w:rFonts w:ascii="Times New Roman"/>
                      <w:color w:val="FF0000"/>
                      <w:sz w:val="18"/>
                      <w:szCs w:val="18"/>
                      <w:highlight w:val="yellow"/>
                    </w:rPr>
                  </w:pPr>
                </w:p>
              </w:tc>
              <w:tc>
                <w:tcPr>
                  <w:tcW w:w="403" w:type="pct"/>
                  <w:vMerge w:val="continue"/>
                  <w:vAlign w:val="center"/>
                </w:tcPr>
                <w:p>
                  <w:pPr>
                    <w:pStyle w:val="198"/>
                    <w:spacing w:beforeLines="0" w:afterLines="0" w:line="240" w:lineRule="atLeast"/>
                    <w:rPr>
                      <w:rFonts w:ascii="Times New Roman"/>
                      <w:color w:val="FF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9" w:type="pct"/>
                  <w:vMerge w:val="continue"/>
                  <w:vAlign w:val="center"/>
                </w:tcPr>
                <w:p>
                  <w:pPr>
                    <w:pStyle w:val="198"/>
                    <w:spacing w:beforeLines="0" w:afterLines="0" w:line="240" w:lineRule="atLeast"/>
                    <w:rPr>
                      <w:rFonts w:ascii="Times New Roman"/>
                      <w:color w:val="auto"/>
                      <w:sz w:val="18"/>
                      <w:szCs w:val="18"/>
                    </w:rPr>
                  </w:pPr>
                </w:p>
              </w:tc>
              <w:tc>
                <w:tcPr>
                  <w:tcW w:w="2724" w:type="pct"/>
                  <w:vAlign w:val="center"/>
                </w:tcPr>
                <w:p>
                  <w:pPr>
                    <w:pStyle w:val="198"/>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32.企业应建立治污设施运行巡查制度，定期巡查治污设施运行情况，巡查间隔时间不得超过半小时。治污设施运行参数要张贴悬挂于醒目位置，并明确异常问题的处理办法。巡查发现的问题要及时处置，不能整改的启用备用治污设施或有序停产，确保污染物达标排放</w:t>
                  </w:r>
                </w:p>
              </w:tc>
              <w:tc>
                <w:tcPr>
                  <w:tcW w:w="1632" w:type="pct"/>
                  <w:vMerge w:val="continue"/>
                  <w:vAlign w:val="center"/>
                </w:tcPr>
                <w:p>
                  <w:pPr>
                    <w:pStyle w:val="198"/>
                    <w:spacing w:beforeLines="0" w:afterLines="0" w:line="240" w:lineRule="atLeast"/>
                    <w:jc w:val="both"/>
                    <w:rPr>
                      <w:rFonts w:ascii="Times New Roman"/>
                      <w:color w:val="FF0000"/>
                      <w:sz w:val="18"/>
                      <w:szCs w:val="18"/>
                      <w:highlight w:val="yellow"/>
                    </w:rPr>
                  </w:pPr>
                </w:p>
              </w:tc>
              <w:tc>
                <w:tcPr>
                  <w:tcW w:w="403" w:type="pct"/>
                  <w:vMerge w:val="continue"/>
                  <w:vAlign w:val="center"/>
                </w:tcPr>
                <w:p>
                  <w:pPr>
                    <w:pStyle w:val="198"/>
                    <w:spacing w:beforeLines="0" w:afterLines="0" w:line="240" w:lineRule="atLeast"/>
                    <w:rPr>
                      <w:rFonts w:ascii="Times New Roman"/>
                      <w:color w:val="FF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9" w:type="pct"/>
                  <w:vAlign w:val="center"/>
                </w:tcPr>
                <w:p>
                  <w:pPr>
                    <w:pStyle w:val="198"/>
                    <w:spacing w:beforeLines="0" w:afterLines="0" w:line="240" w:lineRule="atLeast"/>
                    <w:rPr>
                      <w:rFonts w:ascii="Times New Roman"/>
                      <w:color w:val="auto"/>
                      <w:sz w:val="18"/>
                      <w:szCs w:val="18"/>
                    </w:rPr>
                  </w:pPr>
                  <w:r>
                    <w:rPr>
                      <w:rFonts w:ascii="Times New Roman"/>
                      <w:color w:val="auto"/>
                      <w:sz w:val="18"/>
                      <w:szCs w:val="18"/>
                    </w:rPr>
                    <w:t>坚决淘汰落后处理工艺</w:t>
                  </w:r>
                </w:p>
              </w:tc>
              <w:tc>
                <w:tcPr>
                  <w:tcW w:w="2724" w:type="pct"/>
                  <w:vAlign w:val="center"/>
                </w:tcPr>
                <w:p>
                  <w:pPr>
                    <w:pStyle w:val="198"/>
                    <w:spacing w:before="24" w:after="24" w:line="240" w:lineRule="atLeast"/>
                    <w:rPr>
                      <w:rFonts w:ascii="Times New Roman"/>
                      <w:color w:val="auto"/>
                      <w:sz w:val="18"/>
                      <w:szCs w:val="18"/>
                      <w:shd w:val="clear" w:color="auto" w:fill="FFFFFF"/>
                    </w:rPr>
                  </w:pPr>
                  <w:r>
                    <w:rPr>
                      <w:rFonts w:ascii="Times New Roman"/>
                      <w:color w:val="auto"/>
                      <w:sz w:val="18"/>
                      <w:szCs w:val="18"/>
                      <w:shd w:val="clear" w:color="auto" w:fill="FFFFFF"/>
                    </w:rPr>
                    <w:t>全面淘汰除尘脱硫一体化、简易脱硫脱硝一体化、水洗法脱硫、氨法脱硫、生物脱硫以及无法实现精准管控的双碱法等脱硫工艺；全面淘汰微生物法脱硝及难以实现精准有效控制的氧化法脱硝和湿法脱硝工艺；全面淘汰水膜除尘、重力降尘、旋风除尘等单一措施除尘工艺。</w:t>
                  </w:r>
                </w:p>
              </w:tc>
              <w:tc>
                <w:tcPr>
                  <w:tcW w:w="1632" w:type="pct"/>
                  <w:vAlign w:val="center"/>
                </w:tcPr>
                <w:p>
                  <w:pPr>
                    <w:pStyle w:val="198"/>
                    <w:spacing w:beforeLines="0" w:afterLines="0" w:line="240" w:lineRule="atLeast"/>
                    <w:jc w:val="both"/>
                    <w:rPr>
                      <w:rFonts w:hint="eastAsia" w:ascii="Times New Roman" w:eastAsia="宋体"/>
                      <w:color w:val="auto"/>
                      <w:sz w:val="18"/>
                      <w:szCs w:val="18"/>
                      <w:lang w:eastAsia="zh-CN"/>
                    </w:rPr>
                  </w:pPr>
                  <w:r>
                    <w:rPr>
                      <w:rFonts w:ascii="Times New Roman"/>
                      <w:color w:val="auto"/>
                      <w:sz w:val="18"/>
                      <w:szCs w:val="18"/>
                    </w:rPr>
                    <w:t>本项目</w:t>
                  </w:r>
                  <w:r>
                    <w:rPr>
                      <w:rFonts w:hint="eastAsia" w:ascii="Times New Roman"/>
                      <w:color w:val="auto"/>
                      <w:sz w:val="18"/>
                      <w:szCs w:val="18"/>
                      <w:lang w:eastAsia="zh-CN"/>
                    </w:rPr>
                    <w:t>不涉及落后处理工艺。</w:t>
                  </w:r>
                </w:p>
              </w:tc>
              <w:tc>
                <w:tcPr>
                  <w:tcW w:w="403" w:type="pct"/>
                  <w:vAlign w:val="center"/>
                </w:tcPr>
                <w:p>
                  <w:pPr>
                    <w:pStyle w:val="198"/>
                    <w:spacing w:beforeLines="0" w:afterLines="0" w:line="240" w:lineRule="atLeast"/>
                    <w:rPr>
                      <w:rFonts w:ascii="Times New Roman"/>
                      <w:color w:val="auto"/>
                      <w:sz w:val="18"/>
                      <w:szCs w:val="18"/>
                    </w:rPr>
                  </w:pPr>
                  <w:r>
                    <w:rPr>
                      <w:rFonts w:ascii="Times New Roman"/>
                      <w:color w:val="auto"/>
                      <w:sz w:val="18"/>
                      <w:szCs w:val="18"/>
                    </w:rPr>
                    <w:t>符合</w:t>
                  </w:r>
                </w:p>
              </w:tc>
            </w:tr>
          </w:tbl>
          <w:p>
            <w:pPr>
              <w:pStyle w:val="379"/>
              <w:ind w:firstLine="420"/>
              <w:rPr>
                <w:rFonts w:hint="eastAsia" w:eastAsia="宋体"/>
                <w:sz w:val="21"/>
                <w:lang w:eastAsia="zh-CN"/>
              </w:rPr>
            </w:pPr>
            <w:r>
              <w:rPr>
                <w:sz w:val="21"/>
                <w:szCs w:val="18"/>
                <w:lang w:val="en-US"/>
              </w:rPr>
              <w:t>综上分析，项目符合</w:t>
            </w:r>
            <w:r>
              <w:rPr>
                <w:sz w:val="21"/>
              </w:rPr>
              <w:t>《全市工业企业大气污染治理品质提升实施方案》的通知（</w:t>
            </w:r>
            <w:r>
              <w:rPr>
                <w:kern w:val="0"/>
                <w:sz w:val="21"/>
                <w:szCs w:val="18"/>
                <w:shd w:val="clear" w:color="auto" w:fill="FFFFFF"/>
              </w:rPr>
              <w:t>淄环委办〔2022〕10号</w:t>
            </w:r>
            <w:r>
              <w:rPr>
                <w:sz w:val="21"/>
              </w:rPr>
              <w:t>）中相关要求</w:t>
            </w:r>
            <w:r>
              <w:rPr>
                <w:rFonts w:hint="eastAsia"/>
                <w:sz w:val="21"/>
                <w:lang w:eastAsia="zh-CN"/>
              </w:rPr>
              <w:t>。</w:t>
            </w: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rFonts w:hint="eastAsia" w:eastAsia="宋体"/>
                <w:sz w:val="21"/>
                <w:lang w:eastAsia="zh-CN"/>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sz w:val="21"/>
              </w:rPr>
            </w:pPr>
          </w:p>
          <w:p>
            <w:pPr>
              <w:pStyle w:val="379"/>
              <w:ind w:firstLine="420"/>
              <w:rPr>
                <w:rFonts w:hint="eastAsia" w:eastAsia="宋体"/>
                <w:sz w:val="21"/>
                <w:lang w:eastAsia="zh-CN"/>
              </w:rPr>
            </w:pPr>
          </w:p>
          <w:p>
            <w:pPr>
              <w:pStyle w:val="379"/>
              <w:ind w:firstLine="420"/>
              <w:rPr>
                <w:sz w:val="21"/>
              </w:rPr>
            </w:pPr>
          </w:p>
          <w:p>
            <w:pPr>
              <w:rPr>
                <w:color w:val="FF0000"/>
              </w:rPr>
            </w:pPr>
          </w:p>
        </w:tc>
      </w:tr>
    </w:tbl>
    <w:p>
      <w:pPr>
        <w:spacing w:line="420" w:lineRule="exact"/>
        <w:outlineLvl w:val="0"/>
        <w:rPr>
          <w:rFonts w:eastAsia="黑体"/>
          <w:color w:val="FF0000"/>
          <w:sz w:val="30"/>
        </w:rPr>
        <w:sectPr>
          <w:footerReference r:id="rId3" w:type="default"/>
          <w:footerReference r:id="rId4" w:type="even"/>
          <w:pgSz w:w="11906" w:h="16838"/>
          <w:pgMar w:top="1701" w:right="1531" w:bottom="1701" w:left="1531" w:header="851" w:footer="1077" w:gutter="0"/>
          <w:pgNumType w:start="1"/>
          <w:cols w:space="720" w:num="1"/>
          <w:docGrid w:linePitch="312" w:charSpace="0"/>
        </w:sectPr>
      </w:pPr>
    </w:p>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27" w:hRule="atLeast"/>
          <w:jc w:val="center"/>
        </w:trPr>
        <w:tc>
          <w:tcPr>
            <w:tcW w:w="716" w:type="dxa"/>
            <w:vAlign w:val="center"/>
          </w:tcPr>
          <w:p>
            <w:pPr>
              <w:pStyle w:val="80"/>
              <w:adjustRightInd w:val="0"/>
              <w:snapToGrid w:val="0"/>
              <w:spacing w:before="0" w:beforeAutospacing="0" w:after="0" w:afterAutospacing="0" w:line="420" w:lineRule="exact"/>
              <w:jc w:val="center"/>
              <w:rPr>
                <w:rFonts w:ascii="Times New Roman" w:hAnsi="Times New Roman"/>
                <w:color w:val="FF0000"/>
                <w:sz w:val="21"/>
                <w:szCs w:val="21"/>
              </w:rPr>
            </w:pPr>
            <w:r>
              <w:rPr>
                <w:rFonts w:ascii="Times New Roman" w:hAnsi="Times New Roman"/>
                <w:sz w:val="21"/>
                <w:szCs w:val="21"/>
              </w:rPr>
              <w:t>建设内容</w:t>
            </w:r>
          </w:p>
        </w:tc>
        <w:tc>
          <w:tcPr>
            <w:tcW w:w="8426" w:type="dxa"/>
          </w:tcPr>
          <w:p>
            <w:pPr>
              <w:numPr>
                <w:ilvl w:val="0"/>
                <w:numId w:val="18"/>
              </w:numPr>
              <w:snapToGrid w:val="0"/>
              <w:spacing w:line="420" w:lineRule="exact"/>
            </w:pPr>
            <w:r>
              <w:t>项目由来</w:t>
            </w:r>
          </w:p>
          <w:p>
            <w:pPr>
              <w:snapToGrid w:val="0"/>
              <w:spacing w:line="420" w:lineRule="exact"/>
              <w:ind w:firstLine="420" w:firstLineChars="200"/>
              <w:rPr>
                <w:rFonts w:hint="eastAsia" w:ascii="宋体" w:hAnsi="宋体" w:eastAsia="宋体" w:cs="宋体"/>
              </w:rPr>
            </w:pPr>
            <w:r>
              <w:rPr>
                <w:rFonts w:hint="eastAsia"/>
                <w:lang w:eastAsia="zh-CN"/>
              </w:rPr>
              <w:t>淄博艺嘉源纸制品加工厂</w:t>
            </w:r>
            <w:r>
              <w:t>成立于20</w:t>
            </w:r>
            <w:r>
              <w:rPr>
                <w:rFonts w:hint="eastAsia"/>
                <w:lang w:val="en-US" w:eastAsia="zh-CN"/>
              </w:rPr>
              <w:t>22</w:t>
            </w:r>
            <w:r>
              <w:t>年</w:t>
            </w:r>
            <w:r>
              <w:rPr>
                <w:rFonts w:hint="eastAsia"/>
                <w:lang w:val="en-US" w:eastAsia="zh-CN"/>
              </w:rPr>
              <w:t>6</w:t>
            </w:r>
            <w:r>
              <w:t>月</w:t>
            </w:r>
            <w:r>
              <w:rPr>
                <w:rFonts w:hint="eastAsia"/>
                <w:lang w:val="en-US" w:eastAsia="zh-CN"/>
              </w:rPr>
              <w:t>27</w:t>
            </w:r>
            <w:r>
              <w:t>日</w:t>
            </w:r>
            <w:r>
              <w:rPr>
                <w:highlight w:val="none"/>
              </w:rPr>
              <w:t>，注册地址位于</w:t>
            </w:r>
            <w:r>
              <w:rPr>
                <w:rFonts w:hint="eastAsia"/>
                <w:highlight w:val="none"/>
              </w:rPr>
              <w:t>山东省淄博市淄川区寨里镇北沈村村委南220米</w:t>
            </w:r>
            <w:r>
              <w:rPr>
                <w:highlight w:val="none"/>
              </w:rPr>
              <w:t>，法人代表为</w:t>
            </w:r>
            <w:r>
              <w:rPr>
                <w:rFonts w:hint="eastAsia"/>
                <w:highlight w:val="none"/>
                <w:lang w:eastAsia="zh-CN"/>
              </w:rPr>
              <w:t>刘金梅</w:t>
            </w:r>
            <w:r>
              <w:rPr>
                <w:highlight w:val="none"/>
              </w:rPr>
              <w:t>，</w:t>
            </w:r>
            <w:r>
              <w:rPr>
                <w:rFonts w:hint="eastAsia" w:ascii="宋体" w:hAnsi="宋体" w:eastAsia="宋体" w:cs="宋体"/>
              </w:rPr>
              <w:t>经营范围</w:t>
            </w:r>
            <w:r>
              <w:rPr>
                <w:rFonts w:hint="eastAsia" w:ascii="宋体" w:hAnsi="宋体" w:eastAsia="宋体" w:cs="宋体"/>
                <w:lang w:eastAsia="zh-CN"/>
              </w:rPr>
              <w:t>包括：</w:t>
            </w:r>
            <w:r>
              <w:rPr>
                <w:rFonts w:hint="eastAsia" w:ascii="宋体" w:hAnsi="宋体" w:eastAsia="宋体" w:cs="宋体"/>
              </w:rPr>
              <w:t>纸和纸板容器制造；纸制品制造；纸制品销售。</w:t>
            </w:r>
          </w:p>
          <w:p>
            <w:pPr>
              <w:snapToGrid w:val="0"/>
              <w:spacing w:line="420" w:lineRule="exact"/>
              <w:jc w:val="center"/>
            </w:pPr>
            <w:r>
              <w:rPr>
                <w:b/>
                <w:bCs/>
                <w:kern w:val="44"/>
              </w:rPr>
              <w:t>表</w:t>
            </w:r>
            <w:r>
              <w:rPr>
                <w:rFonts w:hint="eastAsia"/>
                <w:b/>
                <w:bCs/>
                <w:kern w:val="44"/>
              </w:rPr>
              <w:t>2-</w:t>
            </w:r>
            <w:r>
              <w:rPr>
                <w:rFonts w:hint="eastAsia"/>
                <w:b/>
                <w:bCs/>
                <w:kern w:val="44"/>
                <w:lang w:val="en-US" w:eastAsia="zh-CN"/>
              </w:rPr>
              <w:t>1</w:t>
            </w:r>
            <w:r>
              <w:rPr>
                <w:b/>
                <w:bCs/>
                <w:kern w:val="44"/>
              </w:rPr>
              <w:t xml:space="preserve"> 现有项目环评及“三同时”执行情况一览表</w:t>
            </w:r>
          </w:p>
          <w:tbl>
            <w:tblPr>
              <w:tblStyle w:val="138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26"/>
              <w:gridCol w:w="1127"/>
              <w:gridCol w:w="1448"/>
              <w:gridCol w:w="1214"/>
              <w:gridCol w:w="1278"/>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1086" w:type="pct"/>
                  <w:vAlign w:val="center"/>
                </w:tcPr>
                <w:p>
                  <w:pPr>
                    <w:adjustRightInd w:val="0"/>
                    <w:snapToGrid w:val="0"/>
                    <w:jc w:val="center"/>
                    <w:rPr>
                      <w:b/>
                      <w:bCs/>
                      <w:sz w:val="18"/>
                      <w:szCs w:val="18"/>
                      <w:highlight w:val="none"/>
                    </w:rPr>
                  </w:pPr>
                  <w:r>
                    <w:rPr>
                      <w:b/>
                      <w:bCs/>
                      <w:sz w:val="18"/>
                      <w:szCs w:val="18"/>
                      <w:highlight w:val="none"/>
                    </w:rPr>
                    <w:t>项目名称</w:t>
                  </w:r>
                </w:p>
              </w:tc>
              <w:tc>
                <w:tcPr>
                  <w:tcW w:w="670" w:type="pct"/>
                  <w:vAlign w:val="center"/>
                </w:tcPr>
                <w:p>
                  <w:pPr>
                    <w:adjustRightInd w:val="0"/>
                    <w:snapToGrid w:val="0"/>
                    <w:jc w:val="center"/>
                    <w:rPr>
                      <w:b/>
                      <w:bCs/>
                      <w:sz w:val="18"/>
                      <w:szCs w:val="18"/>
                      <w:highlight w:val="none"/>
                    </w:rPr>
                  </w:pPr>
                  <w:r>
                    <w:rPr>
                      <w:b/>
                      <w:bCs/>
                      <w:sz w:val="18"/>
                      <w:szCs w:val="18"/>
                      <w:highlight w:val="none"/>
                    </w:rPr>
                    <w:t>审批单位</w:t>
                  </w:r>
                </w:p>
              </w:tc>
              <w:tc>
                <w:tcPr>
                  <w:tcW w:w="861" w:type="pct"/>
                  <w:vAlign w:val="center"/>
                </w:tcPr>
                <w:p>
                  <w:pPr>
                    <w:adjustRightInd w:val="0"/>
                    <w:snapToGrid w:val="0"/>
                    <w:jc w:val="center"/>
                    <w:rPr>
                      <w:b/>
                      <w:bCs/>
                      <w:sz w:val="18"/>
                      <w:szCs w:val="18"/>
                      <w:highlight w:val="none"/>
                    </w:rPr>
                  </w:pPr>
                  <w:r>
                    <w:rPr>
                      <w:b/>
                      <w:bCs/>
                      <w:sz w:val="18"/>
                      <w:szCs w:val="18"/>
                      <w:highlight w:val="none"/>
                    </w:rPr>
                    <w:t>审批时间</w:t>
                  </w:r>
                </w:p>
              </w:tc>
              <w:tc>
                <w:tcPr>
                  <w:tcW w:w="722" w:type="pct"/>
                  <w:vAlign w:val="center"/>
                </w:tcPr>
                <w:p>
                  <w:pPr>
                    <w:adjustRightInd w:val="0"/>
                    <w:snapToGrid w:val="0"/>
                    <w:jc w:val="center"/>
                    <w:rPr>
                      <w:b/>
                      <w:bCs/>
                      <w:sz w:val="18"/>
                      <w:szCs w:val="18"/>
                      <w:highlight w:val="none"/>
                    </w:rPr>
                  </w:pPr>
                  <w:r>
                    <w:rPr>
                      <w:b/>
                      <w:bCs/>
                      <w:sz w:val="18"/>
                      <w:szCs w:val="18"/>
                      <w:highlight w:val="none"/>
                    </w:rPr>
                    <w:t>批复文号</w:t>
                  </w:r>
                </w:p>
              </w:tc>
              <w:tc>
                <w:tcPr>
                  <w:tcW w:w="760" w:type="pct"/>
                  <w:vAlign w:val="center"/>
                </w:tcPr>
                <w:p>
                  <w:pPr>
                    <w:adjustRightInd w:val="0"/>
                    <w:snapToGrid w:val="0"/>
                    <w:jc w:val="center"/>
                    <w:rPr>
                      <w:b/>
                      <w:bCs/>
                      <w:sz w:val="18"/>
                      <w:szCs w:val="18"/>
                      <w:highlight w:val="none"/>
                    </w:rPr>
                  </w:pPr>
                  <w:r>
                    <w:rPr>
                      <w:b/>
                      <w:bCs/>
                      <w:sz w:val="18"/>
                      <w:szCs w:val="18"/>
                      <w:highlight w:val="none"/>
                    </w:rPr>
                    <w:t>验收时间</w:t>
                  </w:r>
                </w:p>
              </w:tc>
              <w:tc>
                <w:tcPr>
                  <w:tcW w:w="897" w:type="pct"/>
                  <w:vAlign w:val="center"/>
                </w:tcPr>
                <w:p>
                  <w:pPr>
                    <w:adjustRightInd w:val="0"/>
                    <w:snapToGrid w:val="0"/>
                    <w:jc w:val="center"/>
                    <w:rPr>
                      <w:b/>
                      <w:bCs/>
                      <w:sz w:val="18"/>
                      <w:szCs w:val="18"/>
                      <w:highlight w:val="none"/>
                    </w:rPr>
                  </w:pPr>
                  <w:r>
                    <w:rPr>
                      <w:b/>
                      <w:bCs/>
                      <w:sz w:val="18"/>
                      <w:szCs w:val="18"/>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086" w:type="pct"/>
                  <w:vAlign w:val="center"/>
                </w:tcPr>
                <w:p>
                  <w:pPr>
                    <w:adjustRightInd w:val="0"/>
                    <w:snapToGrid w:val="0"/>
                    <w:jc w:val="center"/>
                    <w:rPr>
                      <w:sz w:val="18"/>
                      <w:szCs w:val="18"/>
                      <w:highlight w:val="none"/>
                    </w:rPr>
                  </w:pPr>
                  <w:r>
                    <w:rPr>
                      <w:rFonts w:hint="eastAsia"/>
                      <w:sz w:val="18"/>
                      <w:szCs w:val="18"/>
                      <w:highlight w:val="none"/>
                      <w:lang w:eastAsia="zh-CN"/>
                    </w:rPr>
                    <w:t>纸制品加工</w:t>
                  </w:r>
                  <w:r>
                    <w:rPr>
                      <w:sz w:val="18"/>
                      <w:szCs w:val="18"/>
                      <w:highlight w:val="none"/>
                    </w:rPr>
                    <w:t>项目</w:t>
                  </w:r>
                </w:p>
              </w:tc>
              <w:tc>
                <w:tcPr>
                  <w:tcW w:w="670" w:type="pct"/>
                  <w:vAlign w:val="center"/>
                </w:tcPr>
                <w:p>
                  <w:pPr>
                    <w:adjustRightInd w:val="0"/>
                    <w:snapToGrid w:val="0"/>
                    <w:jc w:val="center"/>
                    <w:rPr>
                      <w:rFonts w:hint="eastAsia" w:eastAsia="宋体"/>
                      <w:sz w:val="18"/>
                      <w:szCs w:val="18"/>
                      <w:highlight w:val="none"/>
                      <w:lang w:eastAsia="zh-CN"/>
                    </w:rPr>
                  </w:pPr>
                  <w:r>
                    <w:rPr>
                      <w:rFonts w:hint="eastAsia"/>
                      <w:sz w:val="18"/>
                      <w:szCs w:val="18"/>
                      <w:highlight w:val="none"/>
                      <w:lang w:eastAsia="zh-CN"/>
                    </w:rPr>
                    <w:t>无</w:t>
                  </w:r>
                </w:p>
              </w:tc>
              <w:tc>
                <w:tcPr>
                  <w:tcW w:w="861" w:type="pct"/>
                  <w:vAlign w:val="center"/>
                </w:tcPr>
                <w:p>
                  <w:pPr>
                    <w:adjustRightInd w:val="0"/>
                    <w:snapToGrid w:val="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722" w:type="pct"/>
                  <w:vAlign w:val="center"/>
                </w:tcPr>
                <w:p>
                  <w:pPr>
                    <w:adjustRightInd w:val="0"/>
                    <w:snapToGrid w:val="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760" w:type="pct"/>
                  <w:vAlign w:val="center"/>
                </w:tcPr>
                <w:p>
                  <w:pPr>
                    <w:adjustRightInd w:val="0"/>
                    <w:snapToGrid w:val="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897" w:type="pct"/>
                  <w:vAlign w:val="center"/>
                </w:tcPr>
                <w:p>
                  <w:pPr>
                    <w:adjustRightInd w:val="0"/>
                    <w:snapToGrid w:val="0"/>
                    <w:jc w:val="center"/>
                    <w:rPr>
                      <w:rFonts w:hint="eastAsia" w:eastAsia="宋体"/>
                      <w:sz w:val="18"/>
                      <w:szCs w:val="18"/>
                      <w:highlight w:val="none"/>
                      <w:lang w:eastAsia="zh-CN"/>
                    </w:rPr>
                  </w:pPr>
                  <w:r>
                    <w:rPr>
                      <w:rFonts w:hint="eastAsia"/>
                      <w:spacing w:val="5"/>
                      <w:sz w:val="18"/>
                      <w:szCs w:val="18"/>
                      <w:highlight w:val="none"/>
                      <w:lang w:eastAsia="zh-CN"/>
                    </w:rPr>
                    <w:t>未建设完成，未投产</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highlight w:val="none"/>
                <w:lang w:eastAsia="zh-CN"/>
              </w:rPr>
            </w:pPr>
            <w:r>
              <w:rPr>
                <w:rFonts w:hint="eastAsia"/>
                <w:highlight w:val="none"/>
                <w:lang w:eastAsia="zh-CN"/>
              </w:rPr>
              <w:t>现有纸制品加工项目，不属于</w:t>
            </w:r>
            <w:r>
              <w:rPr>
                <w:rFonts w:hint="default" w:ascii="Times New Roman" w:hAnsi="Times New Roman" w:eastAsia="宋体" w:cs="Times New Roman"/>
                <w:szCs w:val="21"/>
                <w:highlight w:val="none"/>
              </w:rPr>
              <w:t>有涂布、浸渍、印刷、粘胶工艺的</w:t>
            </w:r>
            <w:r>
              <w:rPr>
                <w:rFonts w:hint="eastAsia" w:cs="Times New Roman"/>
                <w:szCs w:val="21"/>
                <w:highlight w:val="none"/>
                <w:lang w:eastAsia="zh-CN"/>
              </w:rPr>
              <w:t>，</w:t>
            </w:r>
            <w:r>
              <w:rPr>
                <w:rFonts w:hint="eastAsia"/>
                <w:highlight w:val="none"/>
                <w:lang w:eastAsia="zh-CN"/>
              </w:rPr>
              <w:t>无废气产生，根据《建设项目环境影响评价分类管理名录（2021年版）》，现有项目无需办理环评手续。项目未建设完成，未投产。</w:t>
            </w:r>
          </w:p>
          <w:p>
            <w:pPr>
              <w:snapToGrid w:val="0"/>
              <w:spacing w:line="420" w:lineRule="exact"/>
              <w:ind w:firstLine="420" w:firstLineChars="200"/>
              <w:rPr>
                <w:rFonts w:eastAsiaTheme="minorEastAsia"/>
              </w:rPr>
            </w:pPr>
            <w:r>
              <w:t>因</w:t>
            </w:r>
            <w:r>
              <w:rPr>
                <w:rFonts w:hint="eastAsia"/>
                <w:lang w:eastAsia="zh-CN"/>
              </w:rPr>
              <w:t>原厂址修路占用</w:t>
            </w:r>
            <w:r>
              <w:t>，需进行搬迁，企业拟将现有</w:t>
            </w:r>
            <w:r>
              <w:rPr>
                <w:rFonts w:hint="eastAsia"/>
                <w:lang w:eastAsia="zh-CN"/>
              </w:rPr>
              <w:t>未建成</w:t>
            </w:r>
            <w:r>
              <w:t>项目搬迁至淄博市淄川区</w:t>
            </w:r>
            <w:r>
              <w:rPr>
                <w:rFonts w:hint="eastAsia"/>
                <w:lang w:eastAsia="zh-CN"/>
              </w:rPr>
              <w:t>双杨镇十里铺村东</w:t>
            </w:r>
            <w:r>
              <w:t>现有</w:t>
            </w:r>
            <w:r>
              <w:rPr>
                <w:rFonts w:hint="eastAsia" w:ascii="Times New Roman" w:hAnsi="Times New Roman" w:eastAsia="宋体" w:cs="Times New Roman"/>
                <w:lang w:eastAsia="zh-CN"/>
              </w:rPr>
              <w:t>厂房</w:t>
            </w:r>
            <w:r>
              <w:rPr>
                <w:rFonts w:hint="eastAsia" w:ascii="Times New Roman" w:hAnsi="Times New Roman" w:eastAsia="宋体" w:cs="Times New Roman"/>
                <w:highlight w:val="none"/>
                <w:lang w:eastAsia="zh-CN"/>
              </w:rPr>
              <w:t>（</w:t>
            </w:r>
            <w:r>
              <w:rPr>
                <w:rFonts w:hint="eastAsia"/>
                <w:spacing w:val="10"/>
                <w:highlight w:val="none"/>
              </w:rPr>
              <w:t>淄博怡贝思玻璃制品有限公司</w:t>
            </w:r>
            <w:r>
              <w:rPr>
                <w:rFonts w:hint="eastAsia"/>
                <w:spacing w:val="10"/>
                <w:highlight w:val="none"/>
                <w:lang w:eastAsia="zh-CN"/>
              </w:rPr>
              <w:t>闲置厂房</w:t>
            </w:r>
            <w:r>
              <w:rPr>
                <w:rFonts w:hint="eastAsia" w:ascii="Times New Roman" w:hAnsi="Times New Roman" w:eastAsia="宋体" w:cs="Times New Roman"/>
                <w:highlight w:val="none"/>
                <w:lang w:eastAsia="zh-CN"/>
              </w:rPr>
              <w:t>），建设“淄博艺嘉源纸制品加工厂搬迁技改项目”，搬迁内容主要包括：利用现有已建成厂房，原有</w:t>
            </w:r>
            <w:r>
              <w:rPr>
                <w:rFonts w:hint="eastAsia" w:ascii="Times New Roman" w:hAnsi="Times New Roman" w:eastAsia="宋体" w:cs="Times New Roman"/>
                <w:highlight w:val="none"/>
                <w:lang w:val="en-US" w:eastAsia="zh-CN"/>
              </w:rPr>
              <w:t>1条瓦楞生产线、平压平切纸机1台、贴面机1台、打包机1台、切纸机1台</w:t>
            </w:r>
            <w:r>
              <w:rPr>
                <w:rFonts w:hint="eastAsia" w:ascii="Times New Roman" w:hAnsi="Times New Roman" w:eastAsia="宋体" w:cs="Times New Roman"/>
                <w:highlight w:val="none"/>
                <w:lang w:eastAsia="zh-CN"/>
              </w:rPr>
              <w:t>等相关设备全部搬迁至新厂区，同时</w:t>
            </w:r>
            <w:r>
              <w:rPr>
                <w:rFonts w:hint="eastAsia" w:ascii="Times New Roman" w:hAnsi="Times New Roman" w:eastAsia="宋体" w:cs="Times New Roman"/>
                <w:highlight w:val="none"/>
                <w:lang w:val="en-US" w:eastAsia="zh-CN"/>
              </w:rPr>
              <w:t>因业务扩展现需新增高档礼盒生产线1</w:t>
            </w:r>
            <w:r>
              <w:rPr>
                <w:rFonts w:hint="eastAsia" w:ascii="Times New Roman" w:hAnsi="Times New Roman" w:eastAsia="宋体" w:cs="Times New Roman"/>
                <w:lang w:val="en-US" w:eastAsia="zh-CN"/>
              </w:rPr>
              <w:t>条、瓦楞生产线1条、全自动预覆膜机1台、纸面处理机1台、医用级电气两用蒸发器2台等相关设备</w:t>
            </w:r>
            <w:r>
              <w:rPr>
                <w:rFonts w:hint="eastAsia" w:ascii="Times New Roman" w:hAnsi="Times New Roman" w:eastAsia="宋体" w:cs="Times New Roman"/>
                <w:lang w:eastAsia="zh-CN"/>
              </w:rPr>
              <w:t>，并</w:t>
            </w:r>
            <w:r>
              <w:rPr>
                <w:rFonts w:hint="eastAsia"/>
                <w:lang w:eastAsia="zh-CN"/>
              </w:rPr>
              <w:t>配套建设部分公用设备。项目建成后实现年产彩盒</w:t>
            </w:r>
            <w:r>
              <w:rPr>
                <w:rFonts w:hint="eastAsia"/>
                <w:lang w:val="en-US" w:eastAsia="zh-CN"/>
              </w:rPr>
              <w:t>600t/a</w:t>
            </w:r>
            <w:r>
              <w:rPr>
                <w:rFonts w:eastAsiaTheme="minorEastAsia"/>
                <w:kern w:val="24"/>
              </w:rPr>
              <w:t>。</w:t>
            </w:r>
          </w:p>
          <w:p>
            <w:pPr>
              <w:snapToGrid w:val="0"/>
              <w:spacing w:line="420" w:lineRule="exact"/>
              <w:ind w:firstLine="420" w:firstLineChars="200"/>
            </w:pPr>
            <w:r>
              <w:rPr>
                <w:kern w:val="0"/>
                <w:lang w:val="de-DE"/>
              </w:rPr>
              <w:t>2</w:t>
            </w:r>
            <w:r>
              <w:rPr>
                <w:kern w:val="0"/>
              </w:rPr>
              <w:t>、建设内容：</w:t>
            </w:r>
            <w:r>
              <w:t>项目</w:t>
            </w:r>
            <w:r>
              <w:rPr>
                <w:rFonts w:hint="eastAsia"/>
                <w:lang w:eastAsia="zh-CN"/>
              </w:rPr>
              <w:t>租赁已建成车间进行生产，</w:t>
            </w:r>
            <w:r>
              <w:t>建筑面积</w:t>
            </w:r>
            <w:r>
              <w:rPr>
                <w:rFonts w:hint="eastAsia"/>
                <w:lang w:val="en-US" w:eastAsia="zh-CN"/>
              </w:rPr>
              <w:t>约8</w:t>
            </w:r>
            <w:r>
              <w:t>00m</w:t>
            </w:r>
            <w:r>
              <w:rPr>
                <w:vertAlign w:val="superscript"/>
              </w:rPr>
              <w:t>2</w:t>
            </w:r>
            <w:r>
              <w:t>。</w:t>
            </w:r>
            <w:r>
              <w:rPr>
                <w:snapToGrid w:val="0"/>
                <w:kern w:val="0"/>
              </w:rPr>
              <w:t>具体内容见表2-</w:t>
            </w:r>
            <w:r>
              <w:rPr>
                <w:rFonts w:hint="eastAsia"/>
                <w:snapToGrid w:val="0"/>
                <w:kern w:val="0"/>
              </w:rPr>
              <w:t>2</w:t>
            </w:r>
            <w:r>
              <w:rPr>
                <w:snapToGrid w:val="0"/>
                <w:kern w:val="0"/>
              </w:rPr>
              <w:t>。</w:t>
            </w:r>
          </w:p>
          <w:p>
            <w:pPr>
              <w:spacing w:line="420" w:lineRule="exact"/>
              <w:jc w:val="center"/>
              <w:rPr>
                <w:b/>
              </w:rPr>
            </w:pPr>
            <w:r>
              <w:rPr>
                <w:b/>
              </w:rPr>
              <w:t>表2-</w:t>
            </w:r>
            <w:r>
              <w:rPr>
                <w:rFonts w:hint="eastAsia"/>
                <w:b/>
              </w:rPr>
              <w:t>2</w:t>
            </w:r>
            <w:r>
              <w:rPr>
                <w:b/>
              </w:rPr>
              <w:t>项目主要工程内容</w:t>
            </w:r>
          </w:p>
          <w:tbl>
            <w:tblPr>
              <w:tblStyle w:val="8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1" w:type="dxa"/>
                <w:bottom w:w="0" w:type="dxa"/>
                <w:right w:w="51" w:type="dxa"/>
              </w:tblCellMar>
            </w:tblPr>
            <w:tblGrid>
              <w:gridCol w:w="844"/>
              <w:gridCol w:w="1269"/>
              <w:gridCol w:w="4395"/>
              <w:gridCol w:w="16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8" w:hRule="atLeast"/>
                <w:jc w:val="center"/>
              </w:trPr>
              <w:tc>
                <w:tcPr>
                  <w:tcW w:w="844" w:type="dxa"/>
                  <w:tcBorders>
                    <w:top w:val="single" w:color="auto" w:sz="6" w:space="0"/>
                  </w:tcBorders>
                  <w:vAlign w:val="center"/>
                </w:tcPr>
                <w:p>
                  <w:pPr>
                    <w:pStyle w:val="3"/>
                    <w:spacing w:line="300" w:lineRule="exact"/>
                    <w:ind w:left="0" w:leftChars="0"/>
                    <w:jc w:val="center"/>
                    <w:rPr>
                      <w:b/>
                      <w:bCs/>
                      <w:sz w:val="18"/>
                      <w:szCs w:val="18"/>
                    </w:rPr>
                  </w:pPr>
                  <w:bookmarkStart w:id="3" w:name="_Hlk9253216"/>
                  <w:r>
                    <w:rPr>
                      <w:b/>
                      <w:bCs/>
                      <w:sz w:val="18"/>
                      <w:szCs w:val="18"/>
                    </w:rPr>
                    <w:t>工程名称</w:t>
                  </w:r>
                </w:p>
              </w:tc>
              <w:tc>
                <w:tcPr>
                  <w:tcW w:w="1269" w:type="dxa"/>
                  <w:tcBorders>
                    <w:top w:val="single" w:color="auto" w:sz="6" w:space="0"/>
                  </w:tcBorders>
                  <w:vAlign w:val="center"/>
                </w:tcPr>
                <w:p>
                  <w:pPr>
                    <w:pStyle w:val="3"/>
                    <w:spacing w:line="300" w:lineRule="exact"/>
                    <w:ind w:left="0" w:leftChars="0"/>
                    <w:jc w:val="center"/>
                    <w:rPr>
                      <w:b/>
                      <w:bCs/>
                      <w:sz w:val="18"/>
                      <w:szCs w:val="18"/>
                    </w:rPr>
                  </w:pPr>
                  <w:r>
                    <w:rPr>
                      <w:b/>
                      <w:bCs/>
                      <w:sz w:val="18"/>
                      <w:szCs w:val="18"/>
                    </w:rPr>
                    <w:t>工程内容</w:t>
                  </w:r>
                </w:p>
              </w:tc>
              <w:tc>
                <w:tcPr>
                  <w:tcW w:w="4395" w:type="dxa"/>
                  <w:tcBorders>
                    <w:top w:val="single" w:color="auto" w:sz="6" w:space="0"/>
                    <w:right w:val="single" w:color="auto" w:sz="4" w:space="0"/>
                  </w:tcBorders>
                  <w:vAlign w:val="center"/>
                </w:tcPr>
                <w:p>
                  <w:pPr>
                    <w:pStyle w:val="3"/>
                    <w:spacing w:line="300" w:lineRule="exact"/>
                    <w:ind w:left="0" w:leftChars="0"/>
                    <w:jc w:val="center"/>
                    <w:rPr>
                      <w:b/>
                      <w:bCs/>
                      <w:sz w:val="18"/>
                      <w:szCs w:val="18"/>
                    </w:rPr>
                  </w:pPr>
                  <w:r>
                    <w:rPr>
                      <w:b/>
                      <w:sz w:val="18"/>
                      <w:szCs w:val="18"/>
                    </w:rPr>
                    <w:t>建设内容及规模</w:t>
                  </w:r>
                </w:p>
              </w:tc>
              <w:tc>
                <w:tcPr>
                  <w:tcW w:w="1607" w:type="dxa"/>
                  <w:tcBorders>
                    <w:top w:val="single" w:color="auto" w:sz="6" w:space="0"/>
                    <w:right w:val="single" w:color="auto" w:sz="4" w:space="0"/>
                  </w:tcBorders>
                  <w:vAlign w:val="center"/>
                </w:tcPr>
                <w:p>
                  <w:pPr>
                    <w:pStyle w:val="3"/>
                    <w:spacing w:line="300" w:lineRule="exact"/>
                    <w:ind w:left="0" w:leftChars="0"/>
                    <w:jc w:val="center"/>
                    <w:rPr>
                      <w:b/>
                      <w:sz w:val="18"/>
                      <w:szCs w:val="18"/>
                    </w:rPr>
                  </w:pPr>
                  <w:r>
                    <w:rPr>
                      <w:b/>
                      <w:sz w:val="18"/>
                      <w:szCs w:val="18"/>
                    </w:rPr>
                    <w:t>备注</w:t>
                  </w:r>
                </w:p>
              </w:tc>
            </w:tr>
            <w:bookmarkEnd w:id="3"/>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408" w:hRule="atLeast"/>
                <w:jc w:val="center"/>
              </w:trPr>
              <w:tc>
                <w:tcPr>
                  <w:tcW w:w="844" w:type="dxa"/>
                  <w:vMerge w:val="restart"/>
                  <w:vAlign w:val="center"/>
                </w:tcPr>
                <w:p>
                  <w:pPr>
                    <w:pStyle w:val="3"/>
                    <w:spacing w:line="300" w:lineRule="exact"/>
                    <w:ind w:left="0" w:leftChars="0"/>
                    <w:jc w:val="center"/>
                    <w:rPr>
                      <w:sz w:val="18"/>
                      <w:szCs w:val="18"/>
                    </w:rPr>
                  </w:pPr>
                  <w:r>
                    <w:rPr>
                      <w:sz w:val="18"/>
                      <w:szCs w:val="18"/>
                    </w:rPr>
                    <w:t>主体工程</w:t>
                  </w:r>
                </w:p>
              </w:tc>
              <w:tc>
                <w:tcPr>
                  <w:tcW w:w="1269" w:type="dxa"/>
                  <w:tcBorders>
                    <w:bottom w:val="single" w:color="auto" w:sz="4" w:space="0"/>
                  </w:tcBorders>
                  <w:vAlign w:val="center"/>
                </w:tcPr>
                <w:p>
                  <w:pPr>
                    <w:pStyle w:val="46"/>
                    <w:spacing w:line="300" w:lineRule="exact"/>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lang w:eastAsia="zh-CN"/>
                    </w:rPr>
                    <w:t>北</w:t>
                  </w:r>
                  <w:r>
                    <w:rPr>
                      <w:rFonts w:ascii="Times New Roman" w:hAnsi="Times New Roman" w:cs="Times New Roman"/>
                      <w:sz w:val="18"/>
                      <w:szCs w:val="18"/>
                      <w:highlight w:val="none"/>
                    </w:rPr>
                    <w:t>车间</w:t>
                  </w:r>
                </w:p>
              </w:tc>
              <w:tc>
                <w:tcPr>
                  <w:tcW w:w="4395" w:type="dxa"/>
                  <w:tcBorders>
                    <w:bottom w:val="single" w:color="auto" w:sz="4" w:space="0"/>
                    <w:right w:val="single" w:color="auto" w:sz="4" w:space="0"/>
                  </w:tcBorders>
                  <w:vAlign w:val="center"/>
                </w:tcPr>
                <w:p>
                  <w:pPr>
                    <w:pStyle w:val="46"/>
                    <w:spacing w:line="300" w:lineRule="exact"/>
                    <w:jc w:val="center"/>
                    <w:rPr>
                      <w:rFonts w:hint="eastAsia" w:ascii="Times New Roman" w:hAnsi="Times New Roman" w:eastAsia="宋体" w:cs="Times New Roman"/>
                      <w:sz w:val="18"/>
                      <w:szCs w:val="18"/>
                      <w:highlight w:val="none"/>
                      <w:lang w:eastAsia="zh-CN"/>
                    </w:rPr>
                  </w:pPr>
                  <w:r>
                    <w:rPr>
                      <w:rFonts w:hint="eastAsia" w:ascii="Times New Roman" w:hAnsi="Times New Roman" w:cs="Times New Roman"/>
                      <w:sz w:val="18"/>
                      <w:szCs w:val="18"/>
                      <w:highlight w:val="none"/>
                    </w:rPr>
                    <w:t>1</w:t>
                  </w:r>
                  <w:r>
                    <w:rPr>
                      <w:rFonts w:ascii="Times New Roman" w:hAnsi="Times New Roman" w:cs="Times New Roman"/>
                      <w:sz w:val="18"/>
                      <w:szCs w:val="18"/>
                      <w:highlight w:val="none"/>
                    </w:rPr>
                    <w:t>间，1F，砖混结构</w:t>
                  </w:r>
                  <w:r>
                    <w:rPr>
                      <w:rFonts w:hint="eastAsia" w:ascii="Times New Roman" w:hAnsi="Times New Roman" w:cs="Times New Roman"/>
                      <w:sz w:val="18"/>
                      <w:szCs w:val="18"/>
                      <w:highlight w:val="none"/>
                      <w:lang w:eastAsia="zh-CN"/>
                    </w:rPr>
                    <w:t>，建筑</w:t>
                  </w:r>
                  <w:r>
                    <w:rPr>
                      <w:rFonts w:ascii="Times New Roman" w:hAnsi="Times New Roman" w:cs="Times New Roman"/>
                      <w:sz w:val="18"/>
                      <w:szCs w:val="18"/>
                      <w:highlight w:val="none"/>
                    </w:rPr>
                    <w:t>面积</w:t>
                  </w:r>
                  <w:r>
                    <w:rPr>
                      <w:rFonts w:hint="eastAsia" w:ascii="Times New Roman" w:hAnsi="Times New Roman" w:cs="Times New Roman"/>
                      <w:sz w:val="18"/>
                      <w:szCs w:val="18"/>
                      <w:highlight w:val="none"/>
                      <w:lang w:val="en-US" w:eastAsia="zh-CN"/>
                    </w:rPr>
                    <w:t>390</w:t>
                  </w:r>
                  <w:r>
                    <w:rPr>
                      <w:rFonts w:ascii="Times New Roman" w:hAnsi="Times New Roman" w:cs="Times New Roman"/>
                      <w:sz w:val="18"/>
                      <w:szCs w:val="18"/>
                      <w:highlight w:val="none"/>
                    </w:rPr>
                    <w:t>m</w:t>
                  </w:r>
                  <w:r>
                    <w:rPr>
                      <w:rFonts w:ascii="Times New Roman" w:hAnsi="Times New Roman" w:cs="Times New Roman"/>
                      <w:sz w:val="18"/>
                      <w:szCs w:val="18"/>
                      <w:highlight w:val="none"/>
                      <w:vertAlign w:val="superscript"/>
                    </w:rPr>
                    <w:t>2</w:t>
                  </w:r>
                  <w:r>
                    <w:rPr>
                      <w:rFonts w:ascii="Times New Roman" w:hAnsi="Times New Roman" w:cs="Times New Roman"/>
                      <w:sz w:val="18"/>
                      <w:szCs w:val="18"/>
                      <w:highlight w:val="none"/>
                    </w:rPr>
                    <w:t>，主要用于</w:t>
                  </w:r>
                  <w:r>
                    <w:rPr>
                      <w:rFonts w:hint="eastAsia" w:ascii="Times New Roman" w:hAnsi="Times New Roman" w:cs="Times New Roman"/>
                      <w:sz w:val="18"/>
                      <w:szCs w:val="18"/>
                      <w:highlight w:val="none"/>
                      <w:lang w:eastAsia="zh-CN"/>
                    </w:rPr>
                    <w:t>瓦楞纸生产</w:t>
                  </w:r>
                </w:p>
              </w:tc>
              <w:tc>
                <w:tcPr>
                  <w:tcW w:w="1607" w:type="dxa"/>
                  <w:tcBorders>
                    <w:bottom w:val="single" w:color="auto" w:sz="4" w:space="0"/>
                    <w:right w:val="single" w:color="auto" w:sz="4" w:space="0"/>
                  </w:tcBorders>
                  <w:vAlign w:val="center"/>
                </w:tcPr>
                <w:p>
                  <w:pPr>
                    <w:pStyle w:val="46"/>
                    <w:spacing w:line="30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租赁现有厂房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08" w:hRule="atLeast"/>
                <w:jc w:val="center"/>
              </w:trPr>
              <w:tc>
                <w:tcPr>
                  <w:tcW w:w="844" w:type="dxa"/>
                  <w:vMerge w:val="continue"/>
                  <w:vAlign w:val="center"/>
                </w:tcPr>
                <w:p>
                  <w:pPr>
                    <w:pStyle w:val="3"/>
                    <w:spacing w:line="300" w:lineRule="exact"/>
                    <w:ind w:left="0" w:leftChars="0"/>
                    <w:jc w:val="center"/>
                    <w:rPr>
                      <w:sz w:val="18"/>
                      <w:szCs w:val="18"/>
                    </w:rPr>
                  </w:pPr>
                </w:p>
              </w:tc>
              <w:tc>
                <w:tcPr>
                  <w:tcW w:w="1269" w:type="dxa"/>
                  <w:tcBorders>
                    <w:bottom w:val="single" w:color="auto" w:sz="4" w:space="0"/>
                  </w:tcBorders>
                  <w:vAlign w:val="center"/>
                </w:tcPr>
                <w:p>
                  <w:pPr>
                    <w:pStyle w:val="46"/>
                    <w:spacing w:line="300" w:lineRule="exact"/>
                    <w:jc w:val="center"/>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南车间</w:t>
                  </w:r>
                </w:p>
              </w:tc>
              <w:tc>
                <w:tcPr>
                  <w:tcW w:w="4395" w:type="dxa"/>
                  <w:tcBorders>
                    <w:bottom w:val="single" w:color="auto" w:sz="4" w:space="0"/>
                    <w:right w:val="single" w:color="auto" w:sz="4" w:space="0"/>
                  </w:tcBorders>
                  <w:vAlign w:val="center"/>
                </w:tcPr>
                <w:p>
                  <w:pPr>
                    <w:pStyle w:val="46"/>
                    <w:spacing w:line="300" w:lineRule="exact"/>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1间，</w:t>
                  </w:r>
                  <w:r>
                    <w:rPr>
                      <w:rFonts w:ascii="Times New Roman" w:hAnsi="Times New Roman" w:cs="Times New Roman"/>
                      <w:sz w:val="18"/>
                      <w:szCs w:val="18"/>
                      <w:highlight w:val="none"/>
                    </w:rPr>
                    <w:t>1F，砖混结构</w:t>
                  </w:r>
                  <w:r>
                    <w:rPr>
                      <w:rFonts w:hint="eastAsia" w:ascii="Times New Roman" w:hAnsi="Times New Roman" w:cs="Times New Roman"/>
                      <w:sz w:val="18"/>
                      <w:szCs w:val="18"/>
                      <w:highlight w:val="none"/>
                      <w:lang w:eastAsia="zh-CN"/>
                    </w:rPr>
                    <w:t>，</w:t>
                  </w:r>
                  <w:r>
                    <w:rPr>
                      <w:rFonts w:hint="eastAsia" w:ascii="Times New Roman" w:hAnsi="Times New Roman" w:cs="Times New Roman"/>
                      <w:sz w:val="18"/>
                      <w:szCs w:val="18"/>
                      <w:highlight w:val="none"/>
                      <w:lang w:val="en-US" w:eastAsia="zh-CN"/>
                    </w:rPr>
                    <w:t>建筑面积250</w:t>
                  </w:r>
                  <w:r>
                    <w:rPr>
                      <w:rFonts w:ascii="Times New Roman" w:hAnsi="Times New Roman" w:cs="Times New Roman"/>
                      <w:sz w:val="18"/>
                      <w:szCs w:val="18"/>
                      <w:highlight w:val="none"/>
                    </w:rPr>
                    <w:t>m</w:t>
                  </w:r>
                  <w:r>
                    <w:rPr>
                      <w:rFonts w:ascii="Times New Roman" w:hAnsi="Times New Roman" w:cs="Times New Roman"/>
                      <w:sz w:val="18"/>
                      <w:szCs w:val="18"/>
                      <w:highlight w:val="none"/>
                      <w:vertAlign w:val="superscript"/>
                    </w:rPr>
                    <w:t>2</w:t>
                  </w:r>
                  <w:r>
                    <w:rPr>
                      <w:rFonts w:ascii="Times New Roman" w:hAnsi="Times New Roman" w:cs="Times New Roman"/>
                      <w:sz w:val="18"/>
                      <w:szCs w:val="18"/>
                      <w:highlight w:val="none"/>
                    </w:rPr>
                    <w:t>，</w:t>
                  </w:r>
                  <w:r>
                    <w:rPr>
                      <w:rFonts w:hint="eastAsia" w:ascii="Times New Roman" w:hAnsi="Times New Roman" w:cs="Times New Roman"/>
                      <w:sz w:val="18"/>
                      <w:szCs w:val="18"/>
                      <w:highlight w:val="none"/>
                      <w:lang w:eastAsia="zh-CN"/>
                    </w:rPr>
                    <w:t>主要用于覆膜、贴面、模切、粘合工序生产</w:t>
                  </w:r>
                </w:p>
              </w:tc>
              <w:tc>
                <w:tcPr>
                  <w:tcW w:w="1607" w:type="dxa"/>
                  <w:tcBorders>
                    <w:bottom w:val="single" w:color="auto" w:sz="4" w:space="0"/>
                    <w:right w:val="single" w:color="auto" w:sz="4" w:space="0"/>
                  </w:tcBorders>
                  <w:vAlign w:val="center"/>
                </w:tcPr>
                <w:p>
                  <w:pPr>
                    <w:pStyle w:val="46"/>
                    <w:spacing w:line="30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租赁现有厂房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408" w:hRule="atLeast"/>
                <w:jc w:val="center"/>
              </w:trPr>
              <w:tc>
                <w:tcPr>
                  <w:tcW w:w="844" w:type="dxa"/>
                  <w:vMerge w:val="restart"/>
                  <w:vAlign w:val="center"/>
                </w:tcPr>
                <w:p>
                  <w:pPr>
                    <w:pStyle w:val="3"/>
                    <w:spacing w:line="300" w:lineRule="exact"/>
                    <w:ind w:left="69" w:leftChars="0"/>
                    <w:jc w:val="center"/>
                    <w:rPr>
                      <w:sz w:val="18"/>
                      <w:szCs w:val="18"/>
                    </w:rPr>
                  </w:pPr>
                  <w:r>
                    <w:rPr>
                      <w:sz w:val="18"/>
                      <w:szCs w:val="18"/>
                    </w:rPr>
                    <w:t>辅助</w:t>
                  </w:r>
                </w:p>
                <w:p>
                  <w:pPr>
                    <w:pStyle w:val="3"/>
                    <w:spacing w:line="300" w:lineRule="exact"/>
                    <w:ind w:left="69" w:leftChars="0"/>
                    <w:jc w:val="center"/>
                    <w:rPr>
                      <w:sz w:val="18"/>
                      <w:szCs w:val="18"/>
                    </w:rPr>
                  </w:pPr>
                  <w:r>
                    <w:rPr>
                      <w:sz w:val="18"/>
                      <w:szCs w:val="18"/>
                    </w:rPr>
                    <w:t>工程</w:t>
                  </w:r>
                </w:p>
              </w:tc>
              <w:tc>
                <w:tcPr>
                  <w:tcW w:w="1269" w:type="dxa"/>
                  <w:tcBorders>
                    <w:bottom w:val="single" w:color="auto" w:sz="4" w:space="0"/>
                  </w:tcBorders>
                  <w:vAlign w:val="center"/>
                </w:tcPr>
                <w:p>
                  <w:pPr>
                    <w:pStyle w:val="46"/>
                    <w:spacing w:line="300" w:lineRule="exact"/>
                    <w:jc w:val="center"/>
                    <w:rPr>
                      <w:rFonts w:ascii="Times New Roman" w:hAnsi="Times New Roman" w:cs="Times New Roman"/>
                      <w:sz w:val="18"/>
                      <w:szCs w:val="18"/>
                      <w:highlight w:val="none"/>
                    </w:rPr>
                  </w:pPr>
                  <w:r>
                    <w:rPr>
                      <w:rFonts w:ascii="Times New Roman" w:hAnsi="Times New Roman" w:cs="Times New Roman"/>
                      <w:sz w:val="18"/>
                      <w:szCs w:val="18"/>
                      <w:highlight w:val="none"/>
                    </w:rPr>
                    <w:t>办公室</w:t>
                  </w:r>
                </w:p>
              </w:tc>
              <w:tc>
                <w:tcPr>
                  <w:tcW w:w="4395" w:type="dxa"/>
                  <w:tcBorders>
                    <w:bottom w:val="single" w:color="auto" w:sz="4" w:space="0"/>
                    <w:right w:val="single" w:color="auto" w:sz="4" w:space="0"/>
                  </w:tcBorders>
                  <w:vAlign w:val="center"/>
                </w:tcPr>
                <w:p>
                  <w:pPr>
                    <w:pStyle w:val="46"/>
                    <w:spacing w:line="300" w:lineRule="exact"/>
                    <w:jc w:val="center"/>
                    <w:rPr>
                      <w:rFonts w:ascii="Times New Roman" w:hAnsi="Times New Roman" w:cs="Times New Roman"/>
                      <w:sz w:val="18"/>
                      <w:szCs w:val="18"/>
                      <w:highlight w:val="none"/>
                    </w:rPr>
                  </w:pPr>
                  <w:r>
                    <w:rPr>
                      <w:rFonts w:hint="eastAsia" w:ascii="Times New Roman" w:hAnsi="Times New Roman" w:cs="Times New Roman"/>
                      <w:sz w:val="18"/>
                      <w:szCs w:val="18"/>
                      <w:highlight w:val="none"/>
                      <w:lang w:val="en-US" w:eastAsia="zh-CN"/>
                    </w:rPr>
                    <w:t>2</w:t>
                  </w:r>
                  <w:r>
                    <w:rPr>
                      <w:rFonts w:hint="eastAsia" w:ascii="Times New Roman" w:hAnsi="Times New Roman" w:cs="Times New Roman"/>
                      <w:sz w:val="18"/>
                      <w:szCs w:val="18"/>
                      <w:highlight w:val="none"/>
                      <w:lang w:eastAsia="zh-CN"/>
                    </w:rPr>
                    <w:t>间</w:t>
                  </w:r>
                  <w:r>
                    <w:rPr>
                      <w:rFonts w:ascii="Times New Roman" w:hAnsi="Times New Roman" w:cs="Times New Roman"/>
                      <w:sz w:val="18"/>
                      <w:szCs w:val="18"/>
                      <w:highlight w:val="none"/>
                    </w:rPr>
                    <w:t>，1F，砖混结构，</w:t>
                  </w:r>
                  <w:r>
                    <w:rPr>
                      <w:rFonts w:hint="eastAsia" w:ascii="Times New Roman" w:hAnsi="Times New Roman" w:cs="Times New Roman"/>
                      <w:sz w:val="18"/>
                      <w:szCs w:val="18"/>
                      <w:highlight w:val="none"/>
                      <w:lang w:eastAsia="zh-CN"/>
                    </w:rPr>
                    <w:t>建筑面积</w:t>
                  </w:r>
                  <w:r>
                    <w:rPr>
                      <w:rFonts w:hint="eastAsia" w:ascii="Times New Roman" w:hAnsi="Times New Roman" w:cs="Times New Roman"/>
                      <w:sz w:val="18"/>
                      <w:szCs w:val="18"/>
                      <w:highlight w:val="none"/>
                      <w:lang w:val="en-US" w:eastAsia="zh-CN"/>
                    </w:rPr>
                    <w:t>70</w:t>
                  </w:r>
                  <w:r>
                    <w:rPr>
                      <w:rFonts w:ascii="Times New Roman" w:hAnsi="Times New Roman" w:cs="Times New Roman"/>
                      <w:sz w:val="18"/>
                      <w:szCs w:val="18"/>
                      <w:highlight w:val="none"/>
                    </w:rPr>
                    <w:t>m</w:t>
                  </w:r>
                  <w:r>
                    <w:rPr>
                      <w:rFonts w:ascii="Times New Roman" w:hAnsi="Times New Roman" w:cs="Times New Roman"/>
                      <w:sz w:val="18"/>
                      <w:szCs w:val="18"/>
                      <w:highlight w:val="none"/>
                      <w:vertAlign w:val="superscript"/>
                    </w:rPr>
                    <w:t>2</w:t>
                  </w:r>
                </w:p>
              </w:tc>
              <w:tc>
                <w:tcPr>
                  <w:tcW w:w="1607" w:type="dxa"/>
                  <w:tcBorders>
                    <w:bottom w:val="single" w:color="auto" w:sz="4" w:space="0"/>
                    <w:right w:val="single" w:color="auto" w:sz="4" w:space="0"/>
                  </w:tcBorders>
                  <w:vAlign w:val="center"/>
                </w:tcPr>
                <w:p>
                  <w:pPr>
                    <w:spacing w:line="300" w:lineRule="exact"/>
                    <w:jc w:val="center"/>
                    <w:rPr>
                      <w:sz w:val="18"/>
                      <w:szCs w:val="18"/>
                      <w:highlight w:val="none"/>
                    </w:rPr>
                  </w:pPr>
                  <w:r>
                    <w:rPr>
                      <w:rFonts w:ascii="Times New Roman" w:hAnsi="Times New Roman" w:cs="Times New Roman"/>
                      <w:sz w:val="18"/>
                      <w:szCs w:val="18"/>
                      <w:highlight w:val="none"/>
                    </w:rPr>
                    <w:t>租赁现有厂房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408" w:hRule="atLeast"/>
                <w:jc w:val="center"/>
              </w:trPr>
              <w:tc>
                <w:tcPr>
                  <w:tcW w:w="844" w:type="dxa"/>
                  <w:vMerge w:val="continue"/>
                  <w:vAlign w:val="center"/>
                </w:tcPr>
                <w:p>
                  <w:pPr>
                    <w:pStyle w:val="3"/>
                    <w:spacing w:line="300" w:lineRule="exact"/>
                    <w:ind w:left="69" w:leftChars="0"/>
                    <w:jc w:val="center"/>
                    <w:rPr>
                      <w:sz w:val="18"/>
                      <w:szCs w:val="18"/>
                    </w:rPr>
                  </w:pPr>
                </w:p>
              </w:tc>
              <w:tc>
                <w:tcPr>
                  <w:tcW w:w="1269" w:type="dxa"/>
                  <w:tcBorders>
                    <w:bottom w:val="single" w:color="auto" w:sz="4" w:space="0"/>
                  </w:tcBorders>
                  <w:vAlign w:val="center"/>
                </w:tcPr>
                <w:p>
                  <w:pPr>
                    <w:pStyle w:val="46"/>
                    <w:spacing w:line="300" w:lineRule="exact"/>
                    <w:jc w:val="center"/>
                    <w:rPr>
                      <w:rFonts w:hint="eastAsia" w:ascii="Times New Roman" w:hAnsi="Times New Roman" w:eastAsia="宋体" w:cs="Times New Roman"/>
                      <w:sz w:val="18"/>
                      <w:szCs w:val="18"/>
                      <w:highlight w:val="none"/>
                      <w:lang w:eastAsia="zh-CN"/>
                    </w:rPr>
                  </w:pPr>
                  <w:r>
                    <w:rPr>
                      <w:rFonts w:hint="eastAsia" w:ascii="Times New Roman" w:hAnsi="Times New Roman" w:cs="Times New Roman"/>
                      <w:sz w:val="18"/>
                      <w:szCs w:val="18"/>
                      <w:highlight w:val="none"/>
                      <w:lang w:eastAsia="zh-CN"/>
                    </w:rPr>
                    <w:t>杂物间</w:t>
                  </w:r>
                </w:p>
              </w:tc>
              <w:tc>
                <w:tcPr>
                  <w:tcW w:w="4395" w:type="dxa"/>
                  <w:tcBorders>
                    <w:bottom w:val="single" w:color="auto" w:sz="4" w:space="0"/>
                    <w:right w:val="single" w:color="auto" w:sz="4" w:space="0"/>
                  </w:tcBorders>
                  <w:vAlign w:val="center"/>
                </w:tcPr>
                <w:p>
                  <w:pPr>
                    <w:pStyle w:val="46"/>
                    <w:spacing w:line="300" w:lineRule="exact"/>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5间，1F，砖混结构，</w:t>
                  </w:r>
                  <w:r>
                    <w:rPr>
                      <w:rFonts w:hint="eastAsia" w:ascii="Times New Roman" w:hAnsi="Times New Roman" w:cs="Times New Roman"/>
                      <w:sz w:val="18"/>
                      <w:szCs w:val="18"/>
                      <w:highlight w:val="none"/>
                      <w:lang w:eastAsia="zh-CN"/>
                    </w:rPr>
                    <w:t>建筑面积</w:t>
                  </w:r>
                  <w:r>
                    <w:rPr>
                      <w:rFonts w:hint="eastAsia" w:ascii="Times New Roman" w:hAnsi="Times New Roman" w:cs="Times New Roman"/>
                      <w:sz w:val="18"/>
                      <w:szCs w:val="18"/>
                      <w:highlight w:val="none"/>
                      <w:lang w:val="en-US" w:eastAsia="zh-CN"/>
                    </w:rPr>
                    <w:t>90</w:t>
                  </w:r>
                  <w:r>
                    <w:rPr>
                      <w:rFonts w:ascii="Times New Roman" w:hAnsi="Times New Roman" w:cs="Times New Roman"/>
                      <w:sz w:val="18"/>
                      <w:szCs w:val="18"/>
                      <w:highlight w:val="none"/>
                    </w:rPr>
                    <w:t>m</w:t>
                  </w:r>
                  <w:r>
                    <w:rPr>
                      <w:rFonts w:ascii="Times New Roman" w:hAnsi="Times New Roman" w:cs="Times New Roman"/>
                      <w:sz w:val="18"/>
                      <w:szCs w:val="18"/>
                      <w:highlight w:val="none"/>
                      <w:vertAlign w:val="superscript"/>
                    </w:rPr>
                    <w:t>2</w:t>
                  </w:r>
                </w:p>
              </w:tc>
              <w:tc>
                <w:tcPr>
                  <w:tcW w:w="1607" w:type="dxa"/>
                  <w:tcBorders>
                    <w:bottom w:val="single" w:color="auto" w:sz="4" w:space="0"/>
                    <w:right w:val="single" w:color="auto" w:sz="4" w:space="0"/>
                  </w:tcBorders>
                  <w:vAlign w:val="center"/>
                </w:tcPr>
                <w:p>
                  <w:pPr>
                    <w:spacing w:line="300" w:lineRule="exact"/>
                    <w:jc w:val="center"/>
                    <w:rPr>
                      <w:sz w:val="18"/>
                      <w:szCs w:val="18"/>
                      <w:highlight w:val="none"/>
                    </w:rPr>
                  </w:pPr>
                  <w:r>
                    <w:rPr>
                      <w:rFonts w:ascii="Times New Roman" w:hAnsi="Times New Roman" w:cs="Times New Roman"/>
                      <w:sz w:val="18"/>
                      <w:szCs w:val="18"/>
                      <w:highlight w:val="none"/>
                    </w:rPr>
                    <w:t>租赁现有厂房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408" w:hRule="atLeast"/>
                <w:jc w:val="center"/>
              </w:trPr>
              <w:tc>
                <w:tcPr>
                  <w:tcW w:w="844" w:type="dxa"/>
                  <w:vMerge w:val="restart"/>
                  <w:vAlign w:val="center"/>
                </w:tcPr>
                <w:p>
                  <w:pPr>
                    <w:pStyle w:val="3"/>
                    <w:spacing w:line="300" w:lineRule="exact"/>
                    <w:ind w:left="69" w:leftChars="0"/>
                    <w:jc w:val="center"/>
                    <w:rPr>
                      <w:sz w:val="18"/>
                      <w:szCs w:val="18"/>
                    </w:rPr>
                  </w:pPr>
                  <w:r>
                    <w:rPr>
                      <w:sz w:val="18"/>
                      <w:szCs w:val="18"/>
                    </w:rPr>
                    <w:t>公用</w:t>
                  </w:r>
                </w:p>
                <w:p>
                  <w:pPr>
                    <w:pStyle w:val="3"/>
                    <w:spacing w:line="300" w:lineRule="exact"/>
                    <w:ind w:left="69" w:leftChars="0"/>
                    <w:jc w:val="center"/>
                    <w:rPr>
                      <w:sz w:val="18"/>
                      <w:szCs w:val="18"/>
                    </w:rPr>
                  </w:pPr>
                  <w:r>
                    <w:rPr>
                      <w:sz w:val="18"/>
                      <w:szCs w:val="18"/>
                    </w:rPr>
                    <w:t>工程</w:t>
                  </w:r>
                </w:p>
              </w:tc>
              <w:tc>
                <w:tcPr>
                  <w:tcW w:w="1269" w:type="dxa"/>
                  <w:vAlign w:val="center"/>
                </w:tcPr>
                <w:p>
                  <w:pPr>
                    <w:spacing w:line="300" w:lineRule="exact"/>
                    <w:jc w:val="center"/>
                    <w:rPr>
                      <w:sz w:val="18"/>
                      <w:szCs w:val="18"/>
                    </w:rPr>
                  </w:pPr>
                  <w:r>
                    <w:rPr>
                      <w:sz w:val="18"/>
                      <w:szCs w:val="18"/>
                    </w:rPr>
                    <w:t>供水系统</w:t>
                  </w:r>
                </w:p>
              </w:tc>
              <w:tc>
                <w:tcPr>
                  <w:tcW w:w="4395" w:type="dxa"/>
                  <w:tcBorders>
                    <w:right w:val="single" w:color="auto" w:sz="4" w:space="0"/>
                  </w:tcBorders>
                  <w:vAlign w:val="center"/>
                </w:tcPr>
                <w:p>
                  <w:pPr>
                    <w:pStyle w:val="46"/>
                    <w:spacing w:line="300" w:lineRule="exact"/>
                    <w:jc w:val="center"/>
                    <w:rPr>
                      <w:rFonts w:ascii="Times New Roman" w:hAnsi="Times New Roman" w:cs="Times New Roman"/>
                      <w:sz w:val="18"/>
                      <w:szCs w:val="18"/>
                    </w:rPr>
                  </w:pPr>
                  <w:r>
                    <w:rPr>
                      <w:rFonts w:ascii="Times New Roman" w:hAnsi="Times New Roman" w:cs="Times New Roman"/>
                      <w:sz w:val="18"/>
                      <w:szCs w:val="18"/>
                    </w:rPr>
                    <w:t>由</w:t>
                  </w:r>
                  <w:r>
                    <w:rPr>
                      <w:rFonts w:hint="eastAsia" w:ascii="Times New Roman" w:hAnsi="Times New Roman" w:cs="Times New Roman"/>
                      <w:sz w:val="18"/>
                      <w:szCs w:val="18"/>
                      <w:lang w:eastAsia="zh-CN"/>
                    </w:rPr>
                    <w:t>双杨</w:t>
                  </w:r>
                  <w:r>
                    <w:rPr>
                      <w:rFonts w:ascii="Times New Roman" w:hAnsi="Times New Roman" w:cs="Times New Roman"/>
                      <w:sz w:val="18"/>
                      <w:szCs w:val="18"/>
                    </w:rPr>
                    <w:t>镇自来水管网供给</w:t>
                  </w:r>
                </w:p>
              </w:tc>
              <w:tc>
                <w:tcPr>
                  <w:tcW w:w="1607" w:type="dxa"/>
                  <w:tcBorders>
                    <w:right w:val="single" w:color="auto" w:sz="4" w:space="0"/>
                  </w:tcBorders>
                  <w:vAlign w:val="center"/>
                </w:tcPr>
                <w:p>
                  <w:pPr>
                    <w:spacing w:line="300" w:lineRule="exact"/>
                    <w:jc w:val="center"/>
                    <w:rPr>
                      <w:sz w:val="18"/>
                      <w:szCs w:val="18"/>
                    </w:rPr>
                  </w:pPr>
                  <w:r>
                    <w:rPr>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1" w:type="dxa"/>
                  <w:bottom w:w="0" w:type="dxa"/>
                  <w:right w:w="51" w:type="dxa"/>
                </w:tblCellMar>
              </w:tblPrEx>
              <w:trPr>
                <w:trHeight w:val="408" w:hRule="atLeast"/>
                <w:jc w:val="center"/>
              </w:trPr>
              <w:tc>
                <w:tcPr>
                  <w:tcW w:w="844" w:type="dxa"/>
                  <w:vMerge w:val="continue"/>
                  <w:vAlign w:val="center"/>
                </w:tcPr>
                <w:p>
                  <w:pPr>
                    <w:pStyle w:val="3"/>
                    <w:spacing w:line="300" w:lineRule="exact"/>
                    <w:ind w:left="69" w:leftChars="0"/>
                    <w:jc w:val="center"/>
                    <w:rPr>
                      <w:sz w:val="18"/>
                      <w:szCs w:val="18"/>
                    </w:rPr>
                  </w:pPr>
                </w:p>
              </w:tc>
              <w:tc>
                <w:tcPr>
                  <w:tcW w:w="1269" w:type="dxa"/>
                  <w:vAlign w:val="center"/>
                </w:tcPr>
                <w:p>
                  <w:pPr>
                    <w:spacing w:line="300" w:lineRule="exact"/>
                    <w:jc w:val="center"/>
                    <w:rPr>
                      <w:sz w:val="18"/>
                      <w:szCs w:val="18"/>
                    </w:rPr>
                  </w:pPr>
                  <w:r>
                    <w:rPr>
                      <w:sz w:val="18"/>
                      <w:szCs w:val="18"/>
                    </w:rPr>
                    <w:t>供电系统</w:t>
                  </w:r>
                </w:p>
              </w:tc>
              <w:tc>
                <w:tcPr>
                  <w:tcW w:w="4395" w:type="dxa"/>
                  <w:tcBorders>
                    <w:right w:val="single" w:color="auto" w:sz="4" w:space="0"/>
                  </w:tcBorders>
                  <w:vAlign w:val="center"/>
                </w:tcPr>
                <w:p>
                  <w:pPr>
                    <w:pStyle w:val="46"/>
                    <w:spacing w:line="300" w:lineRule="exact"/>
                    <w:jc w:val="center"/>
                    <w:rPr>
                      <w:rFonts w:ascii="Times New Roman" w:hAnsi="Times New Roman" w:cs="Times New Roman"/>
                      <w:sz w:val="18"/>
                      <w:szCs w:val="18"/>
                    </w:rPr>
                  </w:pPr>
                  <w:r>
                    <w:rPr>
                      <w:rFonts w:ascii="Times New Roman" w:hAnsi="Times New Roman" w:cs="Times New Roman"/>
                      <w:sz w:val="18"/>
                      <w:szCs w:val="18"/>
                    </w:rPr>
                    <w:t>由淄川区供电所线路供应</w:t>
                  </w:r>
                </w:p>
              </w:tc>
              <w:tc>
                <w:tcPr>
                  <w:tcW w:w="1607" w:type="dxa"/>
                  <w:tcBorders>
                    <w:right w:val="single" w:color="auto" w:sz="4" w:space="0"/>
                  </w:tcBorders>
                  <w:vAlign w:val="center"/>
                </w:tcPr>
                <w:p>
                  <w:pPr>
                    <w:spacing w:line="300" w:lineRule="exact"/>
                    <w:jc w:val="center"/>
                    <w:rPr>
                      <w:sz w:val="18"/>
                      <w:szCs w:val="18"/>
                    </w:rPr>
                  </w:pPr>
                  <w:r>
                    <w:rPr>
                      <w:sz w:val="18"/>
                      <w:szCs w:val="1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04" w:hRule="atLeast"/>
                <w:jc w:val="center"/>
              </w:trPr>
              <w:tc>
                <w:tcPr>
                  <w:tcW w:w="844" w:type="dxa"/>
                  <w:vMerge w:val="restart"/>
                  <w:vAlign w:val="center"/>
                </w:tcPr>
                <w:p>
                  <w:pPr>
                    <w:pStyle w:val="3"/>
                    <w:spacing w:line="300" w:lineRule="exact"/>
                    <w:ind w:left="69" w:leftChars="0"/>
                    <w:jc w:val="center"/>
                    <w:rPr>
                      <w:sz w:val="18"/>
                      <w:szCs w:val="18"/>
                    </w:rPr>
                  </w:pPr>
                  <w:r>
                    <w:rPr>
                      <w:sz w:val="18"/>
                      <w:szCs w:val="18"/>
                    </w:rPr>
                    <w:t>环保</w:t>
                  </w:r>
                </w:p>
                <w:p>
                  <w:pPr>
                    <w:pStyle w:val="3"/>
                    <w:spacing w:line="300" w:lineRule="exact"/>
                    <w:ind w:left="69" w:leftChars="0"/>
                    <w:jc w:val="center"/>
                    <w:rPr>
                      <w:sz w:val="18"/>
                      <w:szCs w:val="18"/>
                    </w:rPr>
                  </w:pPr>
                  <w:r>
                    <w:rPr>
                      <w:sz w:val="18"/>
                      <w:szCs w:val="18"/>
                    </w:rPr>
                    <w:t>工程</w:t>
                  </w:r>
                </w:p>
              </w:tc>
              <w:tc>
                <w:tcPr>
                  <w:tcW w:w="1269" w:type="dxa"/>
                  <w:vAlign w:val="center"/>
                </w:tcPr>
                <w:p>
                  <w:pPr>
                    <w:pStyle w:val="3"/>
                    <w:spacing w:line="300" w:lineRule="exact"/>
                    <w:ind w:left="0" w:leftChars="0"/>
                    <w:jc w:val="center"/>
                    <w:rPr>
                      <w:sz w:val="18"/>
                      <w:szCs w:val="18"/>
                    </w:rPr>
                  </w:pPr>
                  <w:r>
                    <w:rPr>
                      <w:sz w:val="18"/>
                      <w:szCs w:val="18"/>
                    </w:rPr>
                    <w:t>噪声处理控制</w:t>
                  </w:r>
                </w:p>
              </w:tc>
              <w:tc>
                <w:tcPr>
                  <w:tcW w:w="4395" w:type="dxa"/>
                  <w:tcBorders>
                    <w:right w:val="single" w:color="auto" w:sz="4" w:space="0"/>
                  </w:tcBorders>
                  <w:vAlign w:val="center"/>
                </w:tcPr>
                <w:p>
                  <w:pPr>
                    <w:pStyle w:val="3"/>
                    <w:spacing w:line="300" w:lineRule="exact"/>
                    <w:ind w:left="0" w:leftChars="0"/>
                    <w:jc w:val="center"/>
                    <w:rPr>
                      <w:sz w:val="18"/>
                      <w:szCs w:val="18"/>
                    </w:rPr>
                  </w:pPr>
                  <w:r>
                    <w:rPr>
                      <w:sz w:val="18"/>
                      <w:szCs w:val="18"/>
                    </w:rPr>
                    <w:t>减振、隔声</w:t>
                  </w:r>
                </w:p>
              </w:tc>
              <w:tc>
                <w:tcPr>
                  <w:tcW w:w="1607" w:type="dxa"/>
                  <w:tcBorders>
                    <w:right w:val="single" w:color="auto" w:sz="4" w:space="0"/>
                  </w:tcBorders>
                  <w:vAlign w:val="center"/>
                </w:tcPr>
                <w:p>
                  <w:pPr>
                    <w:pStyle w:val="3"/>
                    <w:spacing w:line="300" w:lineRule="exact"/>
                    <w:ind w:left="40" w:leftChars="0"/>
                    <w:jc w:val="center"/>
                    <w:rPr>
                      <w:sz w:val="18"/>
                      <w:szCs w:val="18"/>
                    </w:rPr>
                  </w:pPr>
                  <w:r>
                    <w:rPr>
                      <w:sz w:val="18"/>
                      <w:szCs w:val="18"/>
                    </w:rPr>
                    <w:t>新建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9" w:hRule="atLeast"/>
                <w:jc w:val="center"/>
              </w:trPr>
              <w:tc>
                <w:tcPr>
                  <w:tcW w:w="844" w:type="dxa"/>
                  <w:vMerge w:val="continue"/>
                  <w:vAlign w:val="center"/>
                </w:tcPr>
                <w:p>
                  <w:pPr>
                    <w:pStyle w:val="3"/>
                    <w:spacing w:line="300" w:lineRule="exact"/>
                    <w:ind w:left="69" w:leftChars="0"/>
                    <w:jc w:val="center"/>
                    <w:rPr>
                      <w:sz w:val="18"/>
                      <w:szCs w:val="18"/>
                    </w:rPr>
                  </w:pPr>
                </w:p>
              </w:tc>
              <w:tc>
                <w:tcPr>
                  <w:tcW w:w="1269" w:type="dxa"/>
                  <w:vAlign w:val="center"/>
                </w:tcPr>
                <w:p>
                  <w:pPr>
                    <w:pStyle w:val="3"/>
                    <w:spacing w:line="300" w:lineRule="exact"/>
                    <w:ind w:left="0" w:leftChars="0"/>
                    <w:jc w:val="center"/>
                    <w:rPr>
                      <w:sz w:val="18"/>
                      <w:szCs w:val="18"/>
                    </w:rPr>
                  </w:pPr>
                  <w:r>
                    <w:rPr>
                      <w:sz w:val="18"/>
                      <w:szCs w:val="18"/>
                    </w:rPr>
                    <w:t>废气治理控制</w:t>
                  </w:r>
                </w:p>
              </w:tc>
              <w:tc>
                <w:tcPr>
                  <w:tcW w:w="4395" w:type="dxa"/>
                  <w:tcBorders>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sz w:val="18"/>
                      <w:szCs w:val="18"/>
                    </w:rPr>
                  </w:pPr>
                  <w:r>
                    <w:rPr>
                      <w:rFonts w:hint="eastAsia"/>
                      <w:color w:val="auto"/>
                      <w:sz w:val="18"/>
                      <w:szCs w:val="18"/>
                      <w:lang w:eastAsia="zh-CN"/>
                    </w:rPr>
                    <w:t>覆膜</w:t>
                  </w:r>
                  <w:r>
                    <w:rPr>
                      <w:color w:val="auto"/>
                      <w:sz w:val="18"/>
                      <w:szCs w:val="18"/>
                    </w:rPr>
                    <w:t>过程产生的VOCs</w:t>
                  </w:r>
                  <w:r>
                    <w:rPr>
                      <w:rFonts w:hint="eastAsia"/>
                      <w:color w:val="auto"/>
                      <w:sz w:val="18"/>
                      <w:szCs w:val="18"/>
                    </w:rPr>
                    <w:t>集气罩收集</w:t>
                  </w:r>
                  <w:r>
                    <w:rPr>
                      <w:rFonts w:hint="eastAsia"/>
                      <w:color w:val="auto"/>
                      <w:sz w:val="18"/>
                      <w:szCs w:val="18"/>
                      <w:lang w:eastAsia="zh-CN"/>
                    </w:rPr>
                    <w:t>后通过两</w:t>
                  </w:r>
                  <w:r>
                    <w:rPr>
                      <w:rFonts w:hint="eastAsia"/>
                      <w:color w:val="auto"/>
                      <w:sz w:val="18"/>
                      <w:szCs w:val="18"/>
                    </w:rPr>
                    <w:t>级活性炭吸附装置</w:t>
                  </w:r>
                  <w:r>
                    <w:rPr>
                      <w:color w:val="auto"/>
                      <w:sz w:val="18"/>
                      <w:szCs w:val="18"/>
                    </w:rPr>
                    <w:t>处理</w:t>
                  </w:r>
                  <w:r>
                    <w:rPr>
                      <w:rFonts w:hint="eastAsia"/>
                      <w:color w:val="auto"/>
                      <w:sz w:val="18"/>
                      <w:szCs w:val="18"/>
                      <w:lang w:eastAsia="zh-CN"/>
                    </w:rPr>
                    <w:t>后经</w:t>
                  </w:r>
                  <w:r>
                    <w:rPr>
                      <w:color w:val="auto"/>
                      <w:sz w:val="18"/>
                      <w:szCs w:val="18"/>
                    </w:rPr>
                    <w:t>15mDA001排气筒有组织排放；</w:t>
                  </w:r>
                  <w:r>
                    <w:rPr>
                      <w:rFonts w:hint="eastAsia"/>
                      <w:color w:val="auto"/>
                      <w:sz w:val="18"/>
                      <w:szCs w:val="18"/>
                      <w:lang w:eastAsia="zh-CN"/>
                    </w:rPr>
                    <w:t>电气两用蒸发器配套建设低氮燃烧器，液化石油气燃烧</w:t>
                  </w:r>
                  <w:r>
                    <w:rPr>
                      <w:rFonts w:hint="eastAsia"/>
                      <w:sz w:val="18"/>
                      <w:szCs w:val="18"/>
                    </w:rPr>
                    <w:t>产生的</w:t>
                  </w:r>
                  <w:r>
                    <w:rPr>
                      <w:rFonts w:hint="eastAsia"/>
                      <w:sz w:val="18"/>
                      <w:szCs w:val="18"/>
                      <w:lang w:eastAsia="zh-CN"/>
                    </w:rPr>
                    <w:t>颗粒物、二氧化硫、氮氧化物、林格曼黑度全部收集后经</w:t>
                  </w:r>
                  <w:r>
                    <w:rPr>
                      <w:rFonts w:hint="eastAsia"/>
                      <w:sz w:val="18"/>
                      <w:szCs w:val="18"/>
                      <w:lang w:val="en-US" w:eastAsia="zh-CN"/>
                    </w:rPr>
                    <w:t>15m</w:t>
                  </w:r>
                  <w:r>
                    <w:rPr>
                      <w:sz w:val="18"/>
                      <w:szCs w:val="18"/>
                    </w:rPr>
                    <w:t>DA002排气筒有组织排放</w:t>
                  </w:r>
                  <w:r>
                    <w:rPr>
                      <w:rFonts w:hint="eastAsia"/>
                      <w:sz w:val="18"/>
                      <w:szCs w:val="18"/>
                      <w:lang w:eastAsia="zh-CN"/>
                    </w:rPr>
                    <w:t>。</w:t>
                  </w:r>
                </w:p>
              </w:tc>
              <w:tc>
                <w:tcPr>
                  <w:tcW w:w="1607" w:type="dxa"/>
                  <w:tcBorders>
                    <w:right w:val="single" w:color="auto" w:sz="4" w:space="0"/>
                  </w:tcBorders>
                  <w:vAlign w:val="center"/>
                </w:tcPr>
                <w:p>
                  <w:pPr>
                    <w:spacing w:line="300" w:lineRule="exact"/>
                    <w:ind w:left="40"/>
                    <w:jc w:val="center"/>
                    <w:rPr>
                      <w:sz w:val="18"/>
                      <w:szCs w:val="18"/>
                    </w:rPr>
                  </w:pPr>
                  <w:r>
                    <w:rPr>
                      <w:sz w:val="18"/>
                      <w:szCs w:val="18"/>
                    </w:rPr>
                    <w:t>新建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4" w:hRule="atLeast"/>
                <w:jc w:val="center"/>
              </w:trPr>
              <w:tc>
                <w:tcPr>
                  <w:tcW w:w="844" w:type="dxa"/>
                  <w:vMerge w:val="continue"/>
                  <w:vAlign w:val="center"/>
                </w:tcPr>
                <w:p>
                  <w:pPr>
                    <w:pStyle w:val="3"/>
                    <w:spacing w:line="300" w:lineRule="exact"/>
                    <w:ind w:left="69" w:leftChars="0"/>
                    <w:jc w:val="left"/>
                    <w:rPr>
                      <w:sz w:val="18"/>
                      <w:szCs w:val="18"/>
                    </w:rPr>
                  </w:pPr>
                </w:p>
              </w:tc>
              <w:tc>
                <w:tcPr>
                  <w:tcW w:w="1269" w:type="dxa"/>
                  <w:vAlign w:val="center"/>
                </w:tcPr>
                <w:p>
                  <w:pPr>
                    <w:pStyle w:val="3"/>
                    <w:spacing w:line="300" w:lineRule="exact"/>
                    <w:ind w:left="0" w:leftChars="0"/>
                    <w:jc w:val="center"/>
                    <w:rPr>
                      <w:sz w:val="18"/>
                      <w:szCs w:val="18"/>
                    </w:rPr>
                  </w:pPr>
                  <w:r>
                    <w:rPr>
                      <w:sz w:val="18"/>
                      <w:szCs w:val="18"/>
                    </w:rPr>
                    <w:t>废水处理控制</w:t>
                  </w:r>
                </w:p>
              </w:tc>
              <w:tc>
                <w:tcPr>
                  <w:tcW w:w="4395" w:type="dxa"/>
                  <w:tcBorders>
                    <w:right w:val="single" w:color="auto" w:sz="4" w:space="0"/>
                  </w:tcBorders>
                  <w:vAlign w:val="center"/>
                </w:tcPr>
                <w:p>
                  <w:pPr>
                    <w:pStyle w:val="3"/>
                    <w:spacing w:after="0"/>
                    <w:ind w:left="0" w:leftChars="0"/>
                    <w:jc w:val="center"/>
                    <w:rPr>
                      <w:sz w:val="18"/>
                      <w:szCs w:val="18"/>
                    </w:rPr>
                  </w:pPr>
                  <w:r>
                    <w:rPr>
                      <w:sz w:val="18"/>
                      <w:szCs w:val="18"/>
                    </w:rPr>
                    <w:t>生活污水经化粪池收集后由环卫部门定期清运</w:t>
                  </w:r>
                </w:p>
              </w:tc>
              <w:tc>
                <w:tcPr>
                  <w:tcW w:w="1607" w:type="dxa"/>
                  <w:tcBorders>
                    <w:right w:val="single" w:color="auto" w:sz="4" w:space="0"/>
                  </w:tcBorders>
                  <w:vAlign w:val="center"/>
                </w:tcPr>
                <w:p>
                  <w:pPr>
                    <w:spacing w:line="300" w:lineRule="exact"/>
                    <w:ind w:left="40"/>
                    <w:jc w:val="center"/>
                    <w:rPr>
                      <w:sz w:val="18"/>
                      <w:szCs w:val="18"/>
                    </w:rPr>
                  </w:pPr>
                  <w:r>
                    <w:rPr>
                      <w:sz w:val="18"/>
                      <w:szCs w:val="18"/>
                    </w:rPr>
                    <w:t>新建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67" w:hRule="atLeast"/>
                <w:jc w:val="center"/>
              </w:trPr>
              <w:tc>
                <w:tcPr>
                  <w:tcW w:w="844" w:type="dxa"/>
                  <w:vMerge w:val="continue"/>
                  <w:vAlign w:val="center"/>
                </w:tcPr>
                <w:p>
                  <w:pPr>
                    <w:pStyle w:val="3"/>
                    <w:spacing w:line="300" w:lineRule="exact"/>
                    <w:ind w:left="69" w:leftChars="0"/>
                    <w:jc w:val="left"/>
                    <w:rPr>
                      <w:sz w:val="18"/>
                      <w:szCs w:val="18"/>
                    </w:rPr>
                  </w:pPr>
                </w:p>
              </w:tc>
              <w:tc>
                <w:tcPr>
                  <w:tcW w:w="1269" w:type="dxa"/>
                  <w:vAlign w:val="center"/>
                </w:tcPr>
                <w:p>
                  <w:pPr>
                    <w:pStyle w:val="3"/>
                    <w:spacing w:line="300" w:lineRule="exact"/>
                    <w:ind w:left="0" w:leftChars="0"/>
                    <w:jc w:val="center"/>
                    <w:rPr>
                      <w:sz w:val="18"/>
                      <w:szCs w:val="18"/>
                    </w:rPr>
                  </w:pPr>
                  <w:r>
                    <w:rPr>
                      <w:sz w:val="18"/>
                      <w:szCs w:val="18"/>
                    </w:rPr>
                    <w:t>固废处理控制</w:t>
                  </w:r>
                </w:p>
              </w:tc>
              <w:tc>
                <w:tcPr>
                  <w:tcW w:w="4395" w:type="dxa"/>
                  <w:tcBorders>
                    <w:right w:val="single" w:color="auto" w:sz="4" w:space="0"/>
                  </w:tcBorders>
                  <w:vAlign w:val="center"/>
                </w:tcPr>
                <w:p>
                  <w:pPr>
                    <w:pStyle w:val="3"/>
                    <w:spacing w:line="300" w:lineRule="exact"/>
                    <w:ind w:left="0" w:leftChars="0"/>
                    <w:jc w:val="center"/>
                    <w:rPr>
                      <w:sz w:val="18"/>
                      <w:szCs w:val="18"/>
                    </w:rPr>
                  </w:pPr>
                  <w:r>
                    <w:rPr>
                      <w:sz w:val="18"/>
                      <w:szCs w:val="18"/>
                    </w:rPr>
                    <w:t>一般固废暂存处1处（</w:t>
                  </w:r>
                  <w:r>
                    <w:rPr>
                      <w:rFonts w:hint="eastAsia"/>
                      <w:sz w:val="18"/>
                      <w:szCs w:val="18"/>
                      <w:lang w:val="en-US" w:eastAsia="zh-CN"/>
                    </w:rPr>
                    <w:t>30</w:t>
                  </w:r>
                  <w:r>
                    <w:rPr>
                      <w:sz w:val="18"/>
                      <w:szCs w:val="18"/>
                    </w:rPr>
                    <w:t>m</w:t>
                  </w:r>
                  <w:r>
                    <w:rPr>
                      <w:sz w:val="18"/>
                      <w:szCs w:val="18"/>
                      <w:vertAlign w:val="superscript"/>
                    </w:rPr>
                    <w:t>2</w:t>
                  </w:r>
                  <w:r>
                    <w:rPr>
                      <w:sz w:val="18"/>
                      <w:szCs w:val="18"/>
                    </w:rPr>
                    <w:t>）、危废暂存间一处（</w:t>
                  </w:r>
                  <w:r>
                    <w:rPr>
                      <w:rFonts w:hint="eastAsia"/>
                      <w:sz w:val="18"/>
                      <w:szCs w:val="18"/>
                      <w:lang w:val="en-US" w:eastAsia="zh-CN"/>
                    </w:rPr>
                    <w:t>8</w:t>
                  </w:r>
                  <w:r>
                    <w:rPr>
                      <w:sz w:val="18"/>
                      <w:szCs w:val="18"/>
                    </w:rPr>
                    <w:t>m</w:t>
                  </w:r>
                  <w:r>
                    <w:rPr>
                      <w:sz w:val="18"/>
                      <w:szCs w:val="18"/>
                      <w:vertAlign w:val="superscript"/>
                    </w:rPr>
                    <w:t>2</w:t>
                  </w:r>
                  <w:r>
                    <w:rPr>
                      <w:sz w:val="18"/>
                      <w:szCs w:val="18"/>
                    </w:rPr>
                    <w:t>）</w:t>
                  </w:r>
                </w:p>
              </w:tc>
              <w:tc>
                <w:tcPr>
                  <w:tcW w:w="1607" w:type="dxa"/>
                  <w:tcBorders>
                    <w:right w:val="single" w:color="auto" w:sz="4" w:space="0"/>
                  </w:tcBorders>
                  <w:vAlign w:val="center"/>
                </w:tcPr>
                <w:p>
                  <w:pPr>
                    <w:spacing w:line="300" w:lineRule="exact"/>
                    <w:ind w:left="40"/>
                    <w:jc w:val="center"/>
                    <w:rPr>
                      <w:rFonts w:hint="eastAsia" w:eastAsia="宋体"/>
                      <w:sz w:val="18"/>
                      <w:szCs w:val="18"/>
                      <w:lang w:eastAsia="zh-CN"/>
                    </w:rPr>
                  </w:pPr>
                  <w:r>
                    <w:rPr>
                      <w:rFonts w:hint="eastAsia"/>
                      <w:sz w:val="18"/>
                      <w:szCs w:val="18"/>
                      <w:lang w:eastAsia="zh-CN"/>
                    </w:rPr>
                    <w:t>利用现有改造</w:t>
                  </w:r>
                </w:p>
              </w:tc>
            </w:tr>
          </w:tbl>
          <w:p>
            <w:pPr>
              <w:adjustRightInd w:val="0"/>
              <w:snapToGrid w:val="0"/>
              <w:spacing w:line="360" w:lineRule="auto"/>
              <w:ind w:firstLine="420" w:firstLineChars="200"/>
            </w:pPr>
            <w:r>
              <w:t>3、工程总投资及环保投资：工程总投资</w:t>
            </w:r>
            <w:r>
              <w:rPr>
                <w:rFonts w:hint="eastAsia"/>
                <w:lang w:val="en-US" w:eastAsia="zh-CN"/>
              </w:rPr>
              <w:t>6</w:t>
            </w:r>
            <w:r>
              <w:t>00万元，环保投资</w:t>
            </w:r>
            <w:r>
              <w:rPr>
                <w:rFonts w:hint="eastAsia"/>
                <w:lang w:val="en-US" w:eastAsia="zh-CN"/>
              </w:rPr>
              <w:t>4</w:t>
            </w:r>
            <w:r>
              <w:t>0万元，占投资的</w:t>
            </w:r>
            <w:r>
              <w:rPr>
                <w:rFonts w:hint="eastAsia"/>
                <w:lang w:val="en-US" w:eastAsia="zh-CN"/>
              </w:rPr>
              <w:t>6.7</w:t>
            </w:r>
            <w:r>
              <w:t>%。</w:t>
            </w:r>
          </w:p>
          <w:p>
            <w:pPr>
              <w:adjustRightInd w:val="0"/>
              <w:snapToGrid w:val="0"/>
              <w:spacing w:line="360" w:lineRule="auto"/>
              <w:ind w:firstLine="420" w:firstLineChars="200"/>
            </w:pPr>
            <w:r>
              <w:rPr>
                <w:kern w:val="0"/>
              </w:rPr>
              <w:t>4、</w:t>
            </w:r>
            <w:r>
              <w:t>劳动制度及定员：项目劳动定员为</w:t>
            </w:r>
            <w:r>
              <w:rPr>
                <w:rFonts w:hint="eastAsia"/>
                <w:lang w:val="en-US" w:eastAsia="zh-CN"/>
              </w:rPr>
              <w:t>2</w:t>
            </w:r>
            <w:r>
              <w:t>0人，年运行</w:t>
            </w:r>
            <w:r>
              <w:rPr>
                <w:rFonts w:hint="eastAsia"/>
                <w:lang w:val="en-US" w:eastAsia="zh-CN"/>
              </w:rPr>
              <w:t>30</w:t>
            </w:r>
            <w:r>
              <w:t>0天，白班</w:t>
            </w:r>
            <w:r>
              <w:rPr>
                <w:rFonts w:hint="eastAsia"/>
                <w:lang w:val="en-US" w:eastAsia="zh-CN"/>
              </w:rPr>
              <w:t>8h工作制</w:t>
            </w:r>
            <w:r>
              <w:t>。本项目不设置食堂、宿舍。</w:t>
            </w:r>
          </w:p>
          <w:p>
            <w:pPr>
              <w:adjustRightInd w:val="0"/>
              <w:snapToGrid w:val="0"/>
              <w:spacing w:line="360" w:lineRule="auto"/>
              <w:ind w:firstLine="420" w:firstLineChars="200"/>
            </w:pPr>
            <w:r>
              <w:t>5、平面布置</w:t>
            </w:r>
          </w:p>
          <w:p>
            <w:pPr>
              <w:tabs>
                <w:tab w:val="left" w:pos="1800"/>
              </w:tabs>
              <w:adjustRightInd w:val="0"/>
              <w:snapToGrid w:val="0"/>
              <w:spacing w:line="360" w:lineRule="auto"/>
              <w:ind w:firstLine="420" w:firstLineChars="200"/>
              <w:rPr>
                <w:bCs/>
                <w:lang w:val="de-DE"/>
              </w:rPr>
            </w:pPr>
            <w:r>
              <w:rPr>
                <w:kern w:val="0"/>
                <w:lang w:val="de-DE"/>
              </w:rPr>
              <w:t>①地理位</w:t>
            </w:r>
            <w:r>
              <w:rPr>
                <w:kern w:val="0"/>
                <w:lang w:bidi="ar"/>
              </w:rPr>
              <w:t>置：本项目位于山东省淄博市</w:t>
            </w:r>
            <w:r>
              <w:rPr>
                <w:rFonts w:hint="eastAsia"/>
                <w:kern w:val="0"/>
                <w:lang w:eastAsia="zh-CN" w:bidi="ar"/>
              </w:rPr>
              <w:t>淄川区双杨镇十里铺村东</w:t>
            </w:r>
            <w:r>
              <w:rPr>
                <w:kern w:val="0"/>
                <w:lang w:bidi="ar"/>
              </w:rPr>
              <w:t>，地理坐标为</w:t>
            </w:r>
            <w:r>
              <w:rPr>
                <w:bCs/>
              </w:rPr>
              <w:t>东经</w:t>
            </w:r>
            <w:r>
              <w:rPr>
                <w:rFonts w:hint="eastAsia"/>
                <w:bCs/>
                <w:lang w:eastAsia="zh-CN"/>
              </w:rPr>
              <w:t>117°59′39.211"</w:t>
            </w:r>
            <w:r>
              <w:rPr>
                <w:bCs/>
              </w:rPr>
              <w:t>、北纬</w:t>
            </w:r>
            <w:r>
              <w:rPr>
                <w:rFonts w:hint="eastAsia"/>
                <w:bCs/>
                <w:lang w:eastAsia="zh-CN"/>
              </w:rPr>
              <w:t>36°40′34.003"</w:t>
            </w:r>
            <w:r>
              <w:t>，</w:t>
            </w:r>
            <w:r>
              <w:rPr>
                <w:kern w:val="0"/>
                <w:lang w:bidi="ar"/>
              </w:rPr>
              <w:t>详细地理位置见附图</w:t>
            </w:r>
            <w:r>
              <w:rPr>
                <w:rFonts w:hint="eastAsia"/>
                <w:kern w:val="0"/>
                <w:lang w:val="en-US" w:eastAsia="zh-CN" w:bidi="ar"/>
              </w:rPr>
              <w:t>2-</w:t>
            </w:r>
            <w:r>
              <w:rPr>
                <w:kern w:val="0"/>
                <w:lang w:bidi="ar"/>
              </w:rPr>
              <w:t>1。</w:t>
            </w:r>
          </w:p>
          <w:p>
            <w:pPr>
              <w:tabs>
                <w:tab w:val="left" w:pos="1800"/>
              </w:tabs>
              <w:adjustRightInd w:val="0"/>
              <w:snapToGrid w:val="0"/>
              <w:spacing w:line="360" w:lineRule="auto"/>
              <w:ind w:firstLine="420" w:firstLineChars="200"/>
              <w:rPr>
                <w:kern w:val="0"/>
                <w:highlight w:val="none"/>
              </w:rPr>
            </w:pPr>
            <w:r>
              <w:t>②周边关</w:t>
            </w:r>
            <w:r>
              <w:rPr>
                <w:spacing w:val="10"/>
              </w:rPr>
              <w:t>系：本项目位于</w:t>
            </w:r>
            <w:r>
              <w:rPr>
                <w:kern w:val="0"/>
                <w:lang w:bidi="ar"/>
              </w:rPr>
              <w:t>山东省淄博市</w:t>
            </w:r>
            <w:r>
              <w:rPr>
                <w:rFonts w:hint="eastAsia"/>
                <w:kern w:val="0"/>
                <w:lang w:eastAsia="zh-CN" w:bidi="ar"/>
              </w:rPr>
              <w:t>淄川区双杨镇十里铺村东</w:t>
            </w:r>
            <w:r>
              <w:rPr>
                <w:spacing w:val="10"/>
              </w:rPr>
              <w:t>。项目东侧</w:t>
            </w:r>
            <w:r>
              <w:rPr>
                <w:spacing w:val="10"/>
                <w:highlight w:val="none"/>
              </w:rPr>
              <w:t>为</w:t>
            </w:r>
            <w:r>
              <w:rPr>
                <w:rFonts w:hint="eastAsia"/>
                <w:spacing w:val="10"/>
                <w:highlight w:val="none"/>
                <w:lang w:eastAsia="zh-CN"/>
              </w:rPr>
              <w:t>空地</w:t>
            </w:r>
            <w:r>
              <w:rPr>
                <w:spacing w:val="10"/>
                <w:highlight w:val="none"/>
              </w:rPr>
              <w:t>，</w:t>
            </w:r>
            <w:r>
              <w:rPr>
                <w:rFonts w:hint="eastAsia"/>
                <w:spacing w:val="10"/>
                <w:highlight w:val="none"/>
                <w:lang w:eastAsia="zh-CN"/>
              </w:rPr>
              <w:t>南</w:t>
            </w:r>
            <w:r>
              <w:rPr>
                <w:spacing w:val="10"/>
                <w:highlight w:val="none"/>
              </w:rPr>
              <w:t>侧为</w:t>
            </w:r>
            <w:r>
              <w:rPr>
                <w:rFonts w:hint="eastAsia"/>
                <w:spacing w:val="10"/>
                <w:highlight w:val="none"/>
              </w:rPr>
              <w:t>淄博怡贝思玻璃制品有限公司</w:t>
            </w:r>
            <w:r>
              <w:rPr>
                <w:rFonts w:hint="eastAsia"/>
                <w:spacing w:val="10"/>
                <w:highlight w:val="none"/>
                <w:lang w:eastAsia="zh-CN"/>
              </w:rPr>
              <w:t>及</w:t>
            </w:r>
            <w:r>
              <w:rPr>
                <w:spacing w:val="10"/>
                <w:highlight w:val="none"/>
              </w:rPr>
              <w:t>道路，</w:t>
            </w:r>
            <w:r>
              <w:rPr>
                <w:rFonts w:hint="eastAsia"/>
                <w:spacing w:val="10"/>
                <w:highlight w:val="none"/>
                <w:lang w:eastAsia="zh-CN"/>
              </w:rPr>
              <w:t>西</w:t>
            </w:r>
            <w:r>
              <w:rPr>
                <w:spacing w:val="10"/>
                <w:highlight w:val="none"/>
              </w:rPr>
              <w:t>侧为</w:t>
            </w:r>
            <w:r>
              <w:rPr>
                <w:rFonts w:hint="eastAsia"/>
                <w:spacing w:val="10"/>
                <w:highlight w:val="none"/>
                <w:lang w:eastAsia="zh-CN"/>
              </w:rPr>
              <w:t>其他</w:t>
            </w:r>
            <w:r>
              <w:rPr>
                <w:spacing w:val="10"/>
                <w:highlight w:val="none"/>
              </w:rPr>
              <w:t>厂房</w:t>
            </w:r>
            <w:r>
              <w:rPr>
                <w:rFonts w:hint="eastAsia"/>
                <w:spacing w:val="10"/>
                <w:highlight w:val="none"/>
                <w:lang w:eastAsia="zh-CN"/>
              </w:rPr>
              <w:t>及空地</w:t>
            </w:r>
            <w:r>
              <w:rPr>
                <w:spacing w:val="10"/>
                <w:highlight w:val="none"/>
              </w:rPr>
              <w:t>，</w:t>
            </w:r>
            <w:r>
              <w:rPr>
                <w:rFonts w:hint="eastAsia"/>
                <w:spacing w:val="10"/>
                <w:highlight w:val="none"/>
                <w:lang w:eastAsia="zh-CN"/>
              </w:rPr>
              <w:t>北</w:t>
            </w:r>
            <w:r>
              <w:rPr>
                <w:spacing w:val="10"/>
                <w:highlight w:val="none"/>
              </w:rPr>
              <w:t>侧为</w:t>
            </w:r>
            <w:r>
              <w:rPr>
                <w:rFonts w:hint="eastAsia"/>
                <w:spacing w:val="10"/>
                <w:highlight w:val="none"/>
                <w:lang w:eastAsia="zh-CN"/>
              </w:rPr>
              <w:t>道路及空地</w:t>
            </w:r>
            <w:r>
              <w:rPr>
                <w:spacing w:val="10"/>
                <w:highlight w:val="none"/>
              </w:rPr>
              <w:t>。</w:t>
            </w:r>
            <w:r>
              <w:rPr>
                <w:spacing w:val="10"/>
              </w:rPr>
              <w:t>本项目</w:t>
            </w:r>
            <w:r>
              <w:rPr>
                <w:rFonts w:hint="eastAsia"/>
                <w:spacing w:val="10"/>
                <w:lang w:eastAsia="zh-CN"/>
              </w:rPr>
              <w:t>西</w:t>
            </w:r>
            <w:r>
              <w:rPr>
                <w:spacing w:val="10"/>
              </w:rPr>
              <w:t>北侧距离</w:t>
            </w:r>
            <w:r>
              <w:rPr>
                <w:rFonts w:hint="eastAsia"/>
                <w:spacing w:val="10"/>
                <w:lang w:eastAsia="zh-CN"/>
              </w:rPr>
              <w:t>孟机</w:t>
            </w:r>
            <w:r>
              <w:rPr>
                <w:spacing w:val="10"/>
              </w:rPr>
              <w:t>村</w:t>
            </w:r>
            <w:r>
              <w:rPr>
                <w:rFonts w:hint="eastAsia"/>
                <w:spacing w:val="10"/>
                <w:lang w:eastAsia="zh-CN"/>
              </w:rPr>
              <w:t>住户</w:t>
            </w:r>
            <w:r>
              <w:rPr>
                <w:rFonts w:hint="eastAsia"/>
                <w:spacing w:val="10"/>
                <w:lang w:val="en-US" w:eastAsia="zh-CN"/>
              </w:rPr>
              <w:t>70</w:t>
            </w:r>
            <w:r>
              <w:rPr>
                <w:spacing w:val="10"/>
              </w:rPr>
              <w:t>m，</w:t>
            </w:r>
            <w:r>
              <w:rPr>
                <w:rFonts w:hint="eastAsia"/>
                <w:spacing w:val="10"/>
                <w:lang w:eastAsia="zh-CN"/>
              </w:rPr>
              <w:t>西</w:t>
            </w:r>
            <w:r>
              <w:rPr>
                <w:spacing w:val="10"/>
              </w:rPr>
              <w:t>南侧距离</w:t>
            </w:r>
            <w:r>
              <w:rPr>
                <w:rFonts w:hint="eastAsia"/>
                <w:spacing w:val="10"/>
                <w:lang w:eastAsia="zh-CN"/>
              </w:rPr>
              <w:t>孟机</w:t>
            </w:r>
            <w:r>
              <w:rPr>
                <w:spacing w:val="10"/>
              </w:rPr>
              <w:t>村</w:t>
            </w:r>
            <w:r>
              <w:rPr>
                <w:rFonts w:hint="eastAsia"/>
                <w:spacing w:val="10"/>
                <w:lang w:val="en-US" w:eastAsia="zh-CN"/>
              </w:rPr>
              <w:t>173</w:t>
            </w:r>
            <w:r>
              <w:rPr>
                <w:spacing w:val="10"/>
              </w:rPr>
              <w:t>m</w:t>
            </w:r>
            <w:r>
              <w:rPr>
                <w:rFonts w:hint="eastAsia"/>
                <w:spacing w:val="10"/>
                <w:lang w:val="en-US" w:eastAsia="zh-CN"/>
              </w:rPr>
              <w:t>，</w:t>
            </w:r>
            <w:r>
              <w:rPr>
                <w:spacing w:val="10"/>
              </w:rPr>
              <w:t>南侧距离</w:t>
            </w:r>
            <w:r>
              <w:rPr>
                <w:rFonts w:hint="eastAsia"/>
                <w:spacing w:val="10"/>
                <w:lang w:eastAsia="zh-CN"/>
              </w:rPr>
              <w:t>孟机</w:t>
            </w:r>
            <w:r>
              <w:rPr>
                <w:spacing w:val="10"/>
              </w:rPr>
              <w:t>村</w:t>
            </w:r>
            <w:r>
              <w:rPr>
                <w:rFonts w:hint="eastAsia"/>
                <w:spacing w:val="10"/>
                <w:lang w:val="en-US" w:eastAsia="zh-CN"/>
              </w:rPr>
              <w:t>168</w:t>
            </w:r>
            <w:r>
              <w:rPr>
                <w:spacing w:val="10"/>
              </w:rPr>
              <w:t>m。项目所在地理位置优越</w:t>
            </w:r>
            <w:r>
              <w:rPr>
                <w:spacing w:val="10"/>
                <w:highlight w:val="none"/>
              </w:rPr>
              <w:t>，交通便利。周边关系详见附图</w:t>
            </w:r>
            <w:r>
              <w:rPr>
                <w:rFonts w:hint="eastAsia"/>
                <w:spacing w:val="10"/>
                <w:highlight w:val="none"/>
                <w:lang w:val="en-US" w:eastAsia="zh-CN"/>
              </w:rPr>
              <w:t>2-</w:t>
            </w:r>
            <w:r>
              <w:rPr>
                <w:spacing w:val="10"/>
                <w:highlight w:val="none"/>
              </w:rPr>
              <w:t>2。</w:t>
            </w:r>
          </w:p>
          <w:p>
            <w:pPr>
              <w:adjustRightInd w:val="0"/>
              <w:snapToGrid w:val="0"/>
              <w:spacing w:line="360" w:lineRule="auto"/>
              <w:ind w:firstLine="420" w:firstLineChars="200"/>
              <w:rPr>
                <w:kern w:val="0"/>
                <w:highlight w:val="none"/>
              </w:rPr>
            </w:pPr>
            <w:r>
              <w:rPr>
                <w:kern w:val="0"/>
                <w:highlight w:val="none"/>
              </w:rPr>
              <w:t>③平面布置及合理性分析：本项目</w:t>
            </w:r>
            <w:r>
              <w:rPr>
                <w:rFonts w:hint="eastAsia"/>
                <w:kern w:val="0"/>
                <w:highlight w:val="none"/>
                <w:lang w:eastAsia="zh-CN"/>
              </w:rPr>
              <w:t>生产</w:t>
            </w:r>
            <w:r>
              <w:rPr>
                <w:kern w:val="0"/>
                <w:highlight w:val="none"/>
              </w:rPr>
              <w:t>车间位于厂区的</w:t>
            </w:r>
            <w:r>
              <w:rPr>
                <w:rFonts w:hint="eastAsia"/>
                <w:kern w:val="0"/>
                <w:highlight w:val="none"/>
                <w:lang w:eastAsia="zh-CN"/>
              </w:rPr>
              <w:t>中间</w:t>
            </w:r>
            <w:r>
              <w:rPr>
                <w:kern w:val="0"/>
                <w:highlight w:val="none"/>
              </w:rPr>
              <w:t>，办公室位于整个</w:t>
            </w:r>
            <w:r>
              <w:rPr>
                <w:rFonts w:hint="eastAsia"/>
                <w:kern w:val="0"/>
                <w:highlight w:val="none"/>
              </w:rPr>
              <w:t>厂区</w:t>
            </w:r>
            <w:r>
              <w:rPr>
                <w:kern w:val="0"/>
                <w:highlight w:val="none"/>
              </w:rPr>
              <w:t>的</w:t>
            </w:r>
            <w:r>
              <w:rPr>
                <w:rFonts w:hint="eastAsia"/>
                <w:kern w:val="0"/>
                <w:highlight w:val="none"/>
                <w:lang w:eastAsia="zh-CN"/>
              </w:rPr>
              <w:t>西北</w:t>
            </w:r>
            <w:r>
              <w:rPr>
                <w:kern w:val="0"/>
                <w:highlight w:val="none"/>
              </w:rPr>
              <w:t>部。项目生产总平面布置较好的满足了工艺流程的顺畅性，体现了物料输送的便捷性，使物料的输送简单化，方便了生产，厂区平面布置基本合理。厂区平面布置图详见附图</w:t>
            </w:r>
            <w:r>
              <w:rPr>
                <w:rFonts w:hint="eastAsia"/>
                <w:kern w:val="0"/>
                <w:highlight w:val="none"/>
                <w:lang w:val="en-US" w:eastAsia="zh-CN"/>
              </w:rPr>
              <w:t>2-</w:t>
            </w:r>
            <w:r>
              <w:rPr>
                <w:kern w:val="0"/>
                <w:highlight w:val="none"/>
              </w:rPr>
              <w:t>3。</w:t>
            </w:r>
          </w:p>
          <w:p>
            <w:pPr>
              <w:adjustRightInd w:val="0"/>
              <w:snapToGrid w:val="0"/>
              <w:spacing w:line="360" w:lineRule="auto"/>
              <w:ind w:firstLine="420" w:firstLineChars="200"/>
              <w:jc w:val="left"/>
            </w:pPr>
            <w:r>
              <w:rPr>
                <w:kern w:val="0"/>
              </w:rPr>
              <w:t>6、投产日期：本项目拟于202</w:t>
            </w:r>
            <w:r>
              <w:rPr>
                <w:kern w:val="0"/>
                <w:highlight w:val="none"/>
              </w:rPr>
              <w:t>3年</w:t>
            </w:r>
            <w:r>
              <w:rPr>
                <w:rFonts w:hint="eastAsia"/>
                <w:kern w:val="0"/>
                <w:highlight w:val="none"/>
                <w:lang w:val="en-US" w:eastAsia="zh-CN"/>
              </w:rPr>
              <w:t>7</w:t>
            </w:r>
            <w:r>
              <w:rPr>
                <w:kern w:val="0"/>
                <w:highlight w:val="none"/>
              </w:rPr>
              <w:t>月投产。</w:t>
            </w:r>
          </w:p>
          <w:p>
            <w:pPr>
              <w:adjustRightInd w:val="0"/>
              <w:snapToGrid w:val="0"/>
              <w:spacing w:line="360" w:lineRule="auto"/>
              <w:ind w:firstLine="420" w:firstLineChars="200"/>
              <w:rPr>
                <w:kern w:val="0"/>
              </w:rPr>
            </w:pPr>
            <w:r>
              <w:rPr>
                <w:kern w:val="0"/>
              </w:rPr>
              <w:t>7、产品方案</w:t>
            </w:r>
          </w:p>
          <w:p>
            <w:pPr>
              <w:adjustRightInd w:val="0"/>
              <w:snapToGrid w:val="0"/>
              <w:spacing w:line="360" w:lineRule="auto"/>
              <w:ind w:firstLine="420" w:firstLineChars="200"/>
            </w:pPr>
            <w:r>
              <w:t>本项目产能见表2-</w:t>
            </w:r>
            <w:r>
              <w:rPr>
                <w:rFonts w:hint="eastAsia"/>
              </w:rPr>
              <w:t>3</w:t>
            </w:r>
            <w:r>
              <w:t>。</w:t>
            </w:r>
          </w:p>
          <w:p>
            <w:pPr>
              <w:adjustRightInd w:val="0"/>
              <w:snapToGrid w:val="0"/>
              <w:spacing w:line="360" w:lineRule="auto"/>
              <w:jc w:val="center"/>
              <w:rPr>
                <w:snapToGrid w:val="0"/>
                <w:color w:val="FF0000"/>
                <w:kern w:val="0"/>
              </w:rPr>
            </w:pPr>
            <w:r>
              <w:rPr>
                <w:b/>
                <w:kern w:val="0"/>
              </w:rPr>
              <w:t>表2-</w:t>
            </w:r>
            <w:r>
              <w:rPr>
                <w:rFonts w:hint="eastAsia"/>
                <w:b/>
                <w:kern w:val="0"/>
              </w:rPr>
              <w:t>3</w:t>
            </w:r>
            <w:r>
              <w:rPr>
                <w:b/>
                <w:kern w:val="0"/>
              </w:rPr>
              <w:t xml:space="preserve"> 项目产品方案一览表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3"/>
              <w:gridCol w:w="3261"/>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03" w:type="dxa"/>
                  <w:tcBorders>
                    <w:tl2br w:val="nil"/>
                    <w:tr2bl w:val="nil"/>
                  </w:tcBorders>
                  <w:vAlign w:val="center"/>
                </w:tcPr>
                <w:p>
                  <w:pPr>
                    <w:spacing w:line="360" w:lineRule="exact"/>
                    <w:jc w:val="center"/>
                    <w:rPr>
                      <w:b/>
                      <w:color w:val="000000"/>
                      <w:sz w:val="18"/>
                      <w:szCs w:val="18"/>
                    </w:rPr>
                  </w:pPr>
                  <w:r>
                    <w:rPr>
                      <w:b/>
                      <w:color w:val="000000"/>
                      <w:sz w:val="18"/>
                      <w:szCs w:val="18"/>
                    </w:rPr>
                    <w:t>序号</w:t>
                  </w:r>
                </w:p>
              </w:tc>
              <w:tc>
                <w:tcPr>
                  <w:tcW w:w="3261" w:type="dxa"/>
                  <w:tcBorders>
                    <w:tl2br w:val="nil"/>
                    <w:tr2bl w:val="nil"/>
                  </w:tcBorders>
                  <w:vAlign w:val="center"/>
                </w:tcPr>
                <w:p>
                  <w:pPr>
                    <w:spacing w:line="360" w:lineRule="exact"/>
                    <w:jc w:val="center"/>
                    <w:rPr>
                      <w:b/>
                      <w:color w:val="000000"/>
                      <w:sz w:val="18"/>
                      <w:szCs w:val="18"/>
                    </w:rPr>
                  </w:pPr>
                  <w:r>
                    <w:rPr>
                      <w:b/>
                      <w:color w:val="000000"/>
                      <w:sz w:val="18"/>
                      <w:szCs w:val="18"/>
                    </w:rPr>
                    <w:t>名称</w:t>
                  </w:r>
                </w:p>
              </w:tc>
              <w:tc>
                <w:tcPr>
                  <w:tcW w:w="3314" w:type="dxa"/>
                  <w:tcBorders>
                    <w:tl2br w:val="nil"/>
                    <w:tr2bl w:val="nil"/>
                  </w:tcBorders>
                  <w:vAlign w:val="center"/>
                </w:tcPr>
                <w:p>
                  <w:pPr>
                    <w:spacing w:line="360" w:lineRule="exact"/>
                    <w:jc w:val="center"/>
                    <w:rPr>
                      <w:b/>
                      <w:color w:val="000000"/>
                      <w:sz w:val="18"/>
                      <w:szCs w:val="18"/>
                    </w:rPr>
                  </w:pPr>
                  <w:r>
                    <w:rPr>
                      <w:b/>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03" w:type="dxa"/>
                  <w:tcBorders>
                    <w:tl2br w:val="nil"/>
                    <w:tr2bl w:val="nil"/>
                  </w:tcBorders>
                  <w:vAlign w:val="center"/>
                </w:tcPr>
                <w:p>
                  <w:pPr>
                    <w:pStyle w:val="46"/>
                    <w:jc w:val="center"/>
                    <w:rPr>
                      <w:rFonts w:ascii="Times New Roman" w:hAnsi="Times New Roman" w:cs="Times New Roman"/>
                      <w:sz w:val="18"/>
                      <w:szCs w:val="18"/>
                    </w:rPr>
                  </w:pPr>
                  <w:r>
                    <w:rPr>
                      <w:rFonts w:ascii="Times New Roman" w:hAnsi="Times New Roman" w:cs="Times New Roman"/>
                      <w:sz w:val="18"/>
                      <w:szCs w:val="18"/>
                    </w:rPr>
                    <w:t>1</w:t>
                  </w:r>
                </w:p>
              </w:tc>
              <w:tc>
                <w:tcPr>
                  <w:tcW w:w="3261" w:type="dxa"/>
                  <w:tcBorders>
                    <w:tl2br w:val="nil"/>
                    <w:tr2bl w:val="nil"/>
                  </w:tcBorders>
                  <w:vAlign w:val="center"/>
                </w:tcPr>
                <w:p>
                  <w:pPr>
                    <w:pStyle w:val="46"/>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彩盒</w:t>
                  </w:r>
                </w:p>
              </w:tc>
              <w:tc>
                <w:tcPr>
                  <w:tcW w:w="3314" w:type="dxa"/>
                  <w:tcBorders>
                    <w:tl2br w:val="nil"/>
                    <w:tr2bl w:val="nil"/>
                  </w:tcBorders>
                  <w:vAlign w:val="center"/>
                </w:tcPr>
                <w:p>
                  <w:pPr>
                    <w:pStyle w:val="46"/>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val="en-US" w:eastAsia="zh-CN"/>
                    </w:rPr>
                    <w:t>600t</w:t>
                  </w:r>
                  <w:r>
                    <w:rPr>
                      <w:rFonts w:ascii="Times New Roman" w:hAnsi="Times New Roman" w:cs="Times New Roman"/>
                      <w:sz w:val="18"/>
                      <w:szCs w:val="18"/>
                    </w:rPr>
                    <w:t>/</w:t>
                  </w:r>
                  <w:r>
                    <w:rPr>
                      <w:rFonts w:hint="eastAsia" w:ascii="Times New Roman" w:hAnsi="Times New Roman" w:cs="Times New Roman"/>
                      <w:sz w:val="18"/>
                      <w:szCs w:val="18"/>
                      <w:lang w:val="en-US" w:eastAsia="zh-CN"/>
                    </w:rPr>
                    <w:t>a</w:t>
                  </w:r>
                </w:p>
              </w:tc>
            </w:tr>
          </w:tbl>
          <w:p>
            <w:pPr>
              <w:spacing w:line="360" w:lineRule="auto"/>
              <w:ind w:firstLine="420" w:firstLineChars="200"/>
              <w:rPr>
                <w:kern w:val="0"/>
              </w:rPr>
            </w:pPr>
            <w:r>
              <w:rPr>
                <w:snapToGrid w:val="0"/>
                <w:kern w:val="0"/>
              </w:rPr>
              <w:t>8、主要原辅材料及能源消耗</w:t>
            </w:r>
          </w:p>
          <w:p>
            <w:pPr>
              <w:adjustRightInd w:val="0"/>
              <w:snapToGrid w:val="0"/>
              <w:spacing w:line="360" w:lineRule="auto"/>
              <w:ind w:firstLine="420" w:firstLineChars="200"/>
              <w:rPr>
                <w:snapToGrid w:val="0"/>
                <w:kern w:val="0"/>
              </w:rPr>
            </w:pPr>
            <w:r>
              <w:rPr>
                <w:snapToGrid w:val="0"/>
                <w:kern w:val="0"/>
              </w:rPr>
              <w:t>本项目主要原辅材料及能源消耗，具体情况见表2-</w:t>
            </w:r>
            <w:r>
              <w:rPr>
                <w:rFonts w:hint="eastAsia"/>
                <w:snapToGrid w:val="0"/>
                <w:kern w:val="0"/>
              </w:rPr>
              <w:t>4</w:t>
            </w:r>
            <w:r>
              <w:rPr>
                <w:snapToGrid w:val="0"/>
                <w:kern w:val="0"/>
              </w:rPr>
              <w:t>。</w:t>
            </w:r>
          </w:p>
          <w:p>
            <w:pPr>
              <w:adjustRightInd w:val="0"/>
              <w:snapToGrid w:val="0"/>
              <w:spacing w:line="360" w:lineRule="auto"/>
              <w:jc w:val="center"/>
              <w:rPr>
                <w:b/>
                <w:kern w:val="0"/>
              </w:rPr>
            </w:pPr>
            <w:r>
              <w:rPr>
                <w:b/>
                <w:kern w:val="0"/>
              </w:rPr>
              <w:t>表2-</w:t>
            </w:r>
            <w:r>
              <w:rPr>
                <w:rFonts w:hint="eastAsia"/>
                <w:b/>
                <w:kern w:val="0"/>
              </w:rPr>
              <w:t>4</w:t>
            </w:r>
            <w:r>
              <w:rPr>
                <w:b/>
                <w:kern w:val="0"/>
              </w:rPr>
              <w:t xml:space="preserve">  主要原辅料及能源消耗</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2251"/>
              <w:gridCol w:w="1530"/>
              <w:gridCol w:w="2027"/>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553" w:type="dxa"/>
                  <w:vAlign w:val="center"/>
                </w:tcPr>
                <w:p>
                  <w:pPr>
                    <w:tabs>
                      <w:tab w:val="left" w:pos="1680"/>
                    </w:tabs>
                    <w:spacing w:line="0" w:lineRule="atLeast"/>
                    <w:ind w:right="-108"/>
                    <w:jc w:val="center"/>
                    <w:rPr>
                      <w:rFonts w:eastAsiaTheme="minorEastAsia"/>
                      <w:b/>
                      <w:color w:val="000000" w:themeColor="text1"/>
                      <w:sz w:val="18"/>
                      <w:szCs w:val="18"/>
                      <w14:textFill>
                        <w14:solidFill>
                          <w14:schemeClr w14:val="tx1"/>
                        </w14:solidFill>
                      </w14:textFill>
                    </w:rPr>
                  </w:pPr>
                  <w:bookmarkStart w:id="4" w:name="_Hlk79228775"/>
                  <w:r>
                    <w:rPr>
                      <w:rFonts w:eastAsiaTheme="minorEastAsia"/>
                      <w:b/>
                      <w:color w:val="000000" w:themeColor="text1"/>
                      <w:sz w:val="18"/>
                      <w:szCs w:val="18"/>
                      <w14:textFill>
                        <w14:solidFill>
                          <w14:schemeClr w14:val="tx1"/>
                        </w14:solidFill>
                      </w14:textFill>
                    </w:rPr>
                    <w:t>序号</w:t>
                  </w:r>
                </w:p>
              </w:tc>
              <w:tc>
                <w:tcPr>
                  <w:tcW w:w="2177" w:type="dxa"/>
                  <w:vAlign w:val="center"/>
                </w:tcPr>
                <w:p>
                  <w:pPr>
                    <w:tabs>
                      <w:tab w:val="left" w:pos="1680"/>
                    </w:tabs>
                    <w:spacing w:line="0" w:lineRule="atLeast"/>
                    <w:ind w:right="-108"/>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名称</w:t>
                  </w:r>
                </w:p>
              </w:tc>
              <w:tc>
                <w:tcPr>
                  <w:tcW w:w="1479" w:type="dxa"/>
                  <w:vAlign w:val="center"/>
                </w:tcPr>
                <w:p>
                  <w:pPr>
                    <w:tabs>
                      <w:tab w:val="left" w:pos="1680"/>
                    </w:tabs>
                    <w:spacing w:line="0" w:lineRule="atLeast"/>
                    <w:ind w:right="-108"/>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用量</w:t>
                  </w:r>
                </w:p>
              </w:tc>
              <w:tc>
                <w:tcPr>
                  <w:tcW w:w="1960" w:type="dxa"/>
                  <w:vAlign w:val="center"/>
                </w:tcPr>
                <w:p>
                  <w:pPr>
                    <w:tabs>
                      <w:tab w:val="left" w:pos="1680"/>
                    </w:tabs>
                    <w:spacing w:line="0" w:lineRule="atLeast"/>
                    <w:ind w:right="-108"/>
                    <w:jc w:val="center"/>
                    <w:rPr>
                      <w:rFonts w:hint="eastAsia" w:eastAsiaTheme="minorEastAsia"/>
                      <w:b/>
                      <w:color w:val="000000" w:themeColor="text1"/>
                      <w:sz w:val="18"/>
                      <w:szCs w:val="18"/>
                      <w:lang w:eastAsia="zh-CN"/>
                      <w14:textFill>
                        <w14:solidFill>
                          <w14:schemeClr w14:val="tx1"/>
                        </w14:solidFill>
                      </w14:textFill>
                    </w:rPr>
                  </w:pPr>
                  <w:r>
                    <w:rPr>
                      <w:rFonts w:hint="eastAsia" w:eastAsiaTheme="minorEastAsia"/>
                      <w:b/>
                      <w:color w:val="000000" w:themeColor="text1"/>
                      <w:sz w:val="18"/>
                      <w:szCs w:val="18"/>
                      <w:lang w:eastAsia="zh-CN"/>
                      <w14:textFill>
                        <w14:solidFill>
                          <w14:schemeClr w14:val="tx1"/>
                        </w14:solidFill>
                      </w14:textFill>
                    </w:rPr>
                    <w:t>单位</w:t>
                  </w:r>
                </w:p>
              </w:tc>
              <w:tc>
                <w:tcPr>
                  <w:tcW w:w="1960" w:type="dxa"/>
                  <w:vAlign w:val="center"/>
                </w:tcPr>
                <w:p>
                  <w:pPr>
                    <w:tabs>
                      <w:tab w:val="left" w:pos="1680"/>
                    </w:tabs>
                    <w:spacing w:line="0" w:lineRule="atLeast"/>
                    <w:ind w:right="-108"/>
                    <w:jc w:val="center"/>
                    <w:rPr>
                      <w:rFonts w:eastAsiaTheme="minorEastAsia"/>
                      <w:b/>
                      <w:color w:val="000000" w:themeColor="text1"/>
                      <w:sz w:val="18"/>
                      <w:szCs w:val="18"/>
                      <w14:textFill>
                        <w14:solidFill>
                          <w14:schemeClr w14:val="tx1"/>
                        </w14:solidFill>
                      </w14:textFill>
                    </w:rPr>
                  </w:pPr>
                  <w:r>
                    <w:rPr>
                      <w:rFonts w:eastAsiaTheme="minorEastAsia"/>
                      <w:b/>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3" w:type="dxa"/>
                  <w:vAlign w:val="center"/>
                </w:tcPr>
                <w:p>
                  <w:pPr>
                    <w:pStyle w:val="1040"/>
                    <w:numPr>
                      <w:ilvl w:val="0"/>
                      <w:numId w:val="19"/>
                    </w:numPr>
                    <w:ind w:firstLineChars="0"/>
                    <w:jc w:val="center"/>
                    <w:rPr>
                      <w:rFonts w:eastAsiaTheme="minorEastAsia"/>
                      <w:color w:val="000000" w:themeColor="text1"/>
                      <w:sz w:val="18"/>
                      <w:szCs w:val="18"/>
                      <w14:textFill>
                        <w14:solidFill>
                          <w14:schemeClr w14:val="tx1"/>
                        </w14:solidFill>
                      </w14:textFill>
                    </w:rPr>
                  </w:pPr>
                </w:p>
              </w:tc>
              <w:tc>
                <w:tcPr>
                  <w:tcW w:w="2177"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color w:val="auto"/>
                      <w:sz w:val="18"/>
                      <w:szCs w:val="18"/>
                      <w:highlight w:val="none"/>
                      <w:lang w:eastAsia="zh-CN"/>
                    </w:rPr>
                    <w:t>卷筒原纸</w:t>
                  </w:r>
                </w:p>
              </w:tc>
              <w:tc>
                <w:tcPr>
                  <w:tcW w:w="1479"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500</w:t>
                  </w:r>
                </w:p>
              </w:tc>
              <w:tc>
                <w:tcPr>
                  <w:tcW w:w="1960" w:type="dxa"/>
                  <w:vAlign w:val="center"/>
                </w:tcPr>
                <w:p>
                  <w:pPr>
                    <w:tabs>
                      <w:tab w:val="left" w:pos="1680"/>
                    </w:tabs>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960" w:type="dxa"/>
                  <w:vAlign w:val="center"/>
                </w:tcPr>
                <w:p>
                  <w:pPr>
                    <w:tabs>
                      <w:tab w:val="left" w:pos="1680"/>
                    </w:tabs>
                    <w:jc w:val="center"/>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3" w:type="dxa"/>
                  <w:vAlign w:val="center"/>
                </w:tcPr>
                <w:p>
                  <w:pPr>
                    <w:pStyle w:val="1040"/>
                    <w:numPr>
                      <w:ilvl w:val="0"/>
                      <w:numId w:val="19"/>
                    </w:numPr>
                    <w:ind w:firstLineChars="0"/>
                    <w:jc w:val="center"/>
                    <w:rPr>
                      <w:rFonts w:eastAsiaTheme="minorEastAsia"/>
                      <w:color w:val="000000" w:themeColor="text1"/>
                      <w:sz w:val="18"/>
                      <w:szCs w:val="18"/>
                      <w14:textFill>
                        <w14:solidFill>
                          <w14:schemeClr w14:val="tx1"/>
                        </w14:solidFill>
                      </w14:textFill>
                    </w:rPr>
                  </w:pPr>
                </w:p>
              </w:tc>
              <w:tc>
                <w:tcPr>
                  <w:tcW w:w="2177"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白板纸</w:t>
                  </w:r>
                </w:p>
              </w:tc>
              <w:tc>
                <w:tcPr>
                  <w:tcW w:w="147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150</w:t>
                  </w:r>
                </w:p>
              </w:tc>
              <w:tc>
                <w:tcPr>
                  <w:tcW w:w="1960" w:type="dxa"/>
                  <w:vAlign w:val="center"/>
                </w:tcPr>
                <w:p>
                  <w:pPr>
                    <w:jc w:val="center"/>
                    <w:rPr>
                      <w:rFonts w:eastAsiaTheme="minorEastAsia"/>
                      <w:bCs/>
                      <w:color w:val="000000" w:themeColor="text1"/>
                      <w:sz w:val="18"/>
                      <w:szCs w:val="18"/>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960" w:type="dxa"/>
                  <w:vAlign w:val="center"/>
                </w:tcPr>
                <w:p>
                  <w:pPr>
                    <w:jc w:val="center"/>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3" w:type="dxa"/>
                  <w:vAlign w:val="center"/>
                </w:tcPr>
                <w:p>
                  <w:pPr>
                    <w:pStyle w:val="1040"/>
                    <w:numPr>
                      <w:ilvl w:val="0"/>
                      <w:numId w:val="19"/>
                    </w:numPr>
                    <w:ind w:firstLineChars="0"/>
                    <w:jc w:val="center"/>
                    <w:rPr>
                      <w:rFonts w:eastAsiaTheme="minorEastAsia"/>
                      <w:color w:val="000000" w:themeColor="text1"/>
                      <w:sz w:val="18"/>
                      <w:szCs w:val="18"/>
                      <w14:textFill>
                        <w14:solidFill>
                          <w14:schemeClr w14:val="tx1"/>
                        </w14:solidFill>
                      </w14:textFill>
                    </w:rPr>
                  </w:pPr>
                </w:p>
              </w:tc>
              <w:tc>
                <w:tcPr>
                  <w:tcW w:w="2177"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预涂膜</w:t>
                  </w:r>
                </w:p>
              </w:tc>
              <w:tc>
                <w:tcPr>
                  <w:tcW w:w="1479" w:type="dxa"/>
                  <w:vAlign w:val="center"/>
                </w:tcPr>
                <w:p>
                  <w:pPr>
                    <w:jc w:val="center"/>
                    <w:rPr>
                      <w:rFonts w:eastAsiaTheme="minorEastAsia"/>
                      <w:bCs/>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20</w:t>
                  </w:r>
                </w:p>
              </w:tc>
              <w:tc>
                <w:tcPr>
                  <w:tcW w:w="1960" w:type="dxa"/>
                  <w:vAlign w:val="center"/>
                </w:tcPr>
                <w:p>
                  <w:pPr>
                    <w:jc w:val="center"/>
                    <w:rPr>
                      <w:rFonts w:eastAsiaTheme="minorEastAsia"/>
                      <w:bCs/>
                      <w:color w:val="000000" w:themeColor="text1"/>
                      <w:sz w:val="18"/>
                      <w:szCs w:val="18"/>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960" w:type="dxa"/>
                  <w:vAlign w:val="center"/>
                </w:tcPr>
                <w:p>
                  <w:pPr>
                    <w:jc w:val="center"/>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53" w:type="dxa"/>
                  <w:vAlign w:val="center"/>
                </w:tcPr>
                <w:p>
                  <w:pPr>
                    <w:pStyle w:val="1040"/>
                    <w:numPr>
                      <w:ilvl w:val="0"/>
                      <w:numId w:val="19"/>
                    </w:numPr>
                    <w:ind w:firstLineChars="0"/>
                    <w:jc w:val="center"/>
                    <w:rPr>
                      <w:rFonts w:eastAsiaTheme="minorEastAsia"/>
                      <w:color w:val="000000" w:themeColor="text1"/>
                      <w:sz w:val="18"/>
                      <w:szCs w:val="18"/>
                      <w14:textFill>
                        <w14:solidFill>
                          <w14:schemeClr w14:val="tx1"/>
                        </w14:solidFill>
                      </w14:textFill>
                    </w:rPr>
                  </w:pPr>
                </w:p>
              </w:tc>
              <w:tc>
                <w:tcPr>
                  <w:tcW w:w="2177"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淀粉胶</w:t>
                  </w:r>
                </w:p>
              </w:tc>
              <w:tc>
                <w:tcPr>
                  <w:tcW w:w="1479" w:type="dxa"/>
                  <w:vAlign w:val="center"/>
                </w:tcPr>
                <w:p>
                  <w:pPr>
                    <w:jc w:val="center"/>
                    <w:rPr>
                      <w:rFonts w:hint="default" w:eastAsiaTheme="minorEastAsia"/>
                      <w:bCs/>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20</w:t>
                  </w:r>
                </w:p>
              </w:tc>
              <w:tc>
                <w:tcPr>
                  <w:tcW w:w="1960" w:type="dxa"/>
                  <w:vAlign w:val="center"/>
                </w:tcPr>
                <w:p>
                  <w:pPr>
                    <w:jc w:val="center"/>
                    <w:rPr>
                      <w:rFonts w:eastAsiaTheme="minorEastAsia"/>
                      <w:bCs/>
                      <w:color w:val="000000" w:themeColor="text1"/>
                      <w:sz w:val="18"/>
                      <w:szCs w:val="18"/>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t/a</w:t>
                  </w:r>
                </w:p>
              </w:tc>
              <w:tc>
                <w:tcPr>
                  <w:tcW w:w="1960" w:type="dxa"/>
                  <w:vAlign w:val="center"/>
                </w:tcPr>
                <w:p>
                  <w:pPr>
                    <w:jc w:val="center"/>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53" w:type="dxa"/>
                  <w:vAlign w:val="center"/>
                </w:tcPr>
                <w:p>
                  <w:pPr>
                    <w:pStyle w:val="1040"/>
                    <w:numPr>
                      <w:ilvl w:val="0"/>
                      <w:numId w:val="19"/>
                    </w:numPr>
                    <w:ind w:firstLineChars="0"/>
                    <w:jc w:val="center"/>
                    <w:rPr>
                      <w:rFonts w:eastAsiaTheme="minorEastAsia"/>
                      <w:color w:val="000000" w:themeColor="text1"/>
                      <w:sz w:val="18"/>
                      <w:szCs w:val="18"/>
                      <w14:textFill>
                        <w14:solidFill>
                          <w14:schemeClr w14:val="tx1"/>
                        </w14:solidFill>
                      </w14:textFill>
                    </w:rPr>
                  </w:pPr>
                </w:p>
              </w:tc>
              <w:tc>
                <w:tcPr>
                  <w:tcW w:w="2177" w:type="dxa"/>
                  <w:vAlign w:val="center"/>
                </w:tcPr>
                <w:p>
                  <w:pPr>
                    <w:tabs>
                      <w:tab w:val="left" w:pos="1680"/>
                    </w:tabs>
                    <w:jc w:val="center"/>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t>水</w:t>
                  </w:r>
                </w:p>
              </w:tc>
              <w:tc>
                <w:tcPr>
                  <w:tcW w:w="1479"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300</w:t>
                  </w:r>
                </w:p>
              </w:tc>
              <w:tc>
                <w:tcPr>
                  <w:tcW w:w="1960" w:type="dxa"/>
                  <w:vAlign w:val="center"/>
                </w:tcPr>
                <w:p>
                  <w:pPr>
                    <w:tabs>
                      <w:tab w:val="left" w:pos="1680"/>
                    </w:tabs>
                    <w:jc w:val="center"/>
                    <w:rPr>
                      <w:rFonts w:eastAsiaTheme="minorEastAsia"/>
                      <w:color w:val="000000" w:themeColor="text1"/>
                      <w:sz w:val="18"/>
                      <w:szCs w:val="18"/>
                      <w14:textFill>
                        <w14:solidFill>
                          <w14:schemeClr w14:val="tx1"/>
                        </w14:solidFill>
                      </w14:textFill>
                    </w:rPr>
                  </w:pPr>
                  <w:r>
                    <w:rPr>
                      <w:rFonts w:hint="eastAsia" w:eastAsiaTheme="minorEastAsia"/>
                      <w:bCs/>
                      <w:color w:val="000000" w:themeColor="text1"/>
                      <w:sz w:val="18"/>
                      <w:szCs w:val="18"/>
                      <w:lang w:val="en-US" w:eastAsia="zh-CN"/>
                      <w14:textFill>
                        <w14:solidFill>
                          <w14:schemeClr w14:val="tx1"/>
                        </w14:solidFill>
                      </w14:textFill>
                    </w:rPr>
                    <w:t>m</w:t>
                  </w:r>
                  <w:r>
                    <w:rPr>
                      <w:rFonts w:hint="eastAsia" w:eastAsiaTheme="minorEastAsia"/>
                      <w:bCs/>
                      <w:color w:val="000000" w:themeColor="text1"/>
                      <w:sz w:val="18"/>
                      <w:szCs w:val="18"/>
                      <w:vertAlign w:val="superscript"/>
                      <w:lang w:val="en-US" w:eastAsia="zh-CN"/>
                      <w14:textFill>
                        <w14:solidFill>
                          <w14:schemeClr w14:val="tx1"/>
                        </w14:solidFill>
                      </w14:textFill>
                    </w:rPr>
                    <w:t>3</w:t>
                  </w:r>
                  <w:r>
                    <w:rPr>
                      <w:rFonts w:hint="eastAsia" w:eastAsiaTheme="minorEastAsia"/>
                      <w:bCs/>
                      <w:color w:val="000000" w:themeColor="text1"/>
                      <w:sz w:val="18"/>
                      <w:szCs w:val="18"/>
                      <w:vertAlign w:val="baseline"/>
                      <w:lang w:val="en-US" w:eastAsia="zh-CN"/>
                      <w14:textFill>
                        <w14:solidFill>
                          <w14:schemeClr w14:val="tx1"/>
                        </w14:solidFill>
                      </w14:textFill>
                    </w:rPr>
                    <w:t>/</w:t>
                  </w:r>
                  <w:r>
                    <w:rPr>
                      <w:rFonts w:hint="eastAsia" w:eastAsiaTheme="minorEastAsia"/>
                      <w:bCs/>
                      <w:color w:val="000000" w:themeColor="text1"/>
                      <w:sz w:val="18"/>
                      <w:szCs w:val="18"/>
                      <w:lang w:val="en-US" w:eastAsia="zh-CN"/>
                      <w14:textFill>
                        <w14:solidFill>
                          <w14:schemeClr w14:val="tx1"/>
                        </w14:solidFill>
                      </w14:textFill>
                    </w:rPr>
                    <w:t>a</w:t>
                  </w:r>
                </w:p>
              </w:tc>
              <w:tc>
                <w:tcPr>
                  <w:tcW w:w="1960" w:type="dxa"/>
                  <w:vAlign w:val="center"/>
                </w:tcPr>
                <w:p>
                  <w:pPr>
                    <w:tabs>
                      <w:tab w:val="left" w:pos="1680"/>
                    </w:tabs>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由淄川区自来水管网提供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53" w:type="dxa"/>
                  <w:vAlign w:val="center"/>
                </w:tcPr>
                <w:p>
                  <w:pPr>
                    <w:pStyle w:val="1040"/>
                    <w:numPr>
                      <w:ilvl w:val="0"/>
                      <w:numId w:val="19"/>
                    </w:numPr>
                    <w:ind w:firstLineChars="0"/>
                    <w:jc w:val="center"/>
                    <w:rPr>
                      <w:rFonts w:eastAsiaTheme="minorEastAsia"/>
                      <w:color w:val="000000" w:themeColor="text1"/>
                      <w:sz w:val="18"/>
                      <w:szCs w:val="18"/>
                      <w14:textFill>
                        <w14:solidFill>
                          <w14:schemeClr w14:val="tx1"/>
                        </w14:solidFill>
                      </w14:textFill>
                    </w:rPr>
                  </w:pPr>
                </w:p>
              </w:tc>
              <w:tc>
                <w:tcPr>
                  <w:tcW w:w="2177" w:type="dxa"/>
                  <w:vAlign w:val="center"/>
                </w:tcPr>
                <w:p>
                  <w:pPr>
                    <w:tabs>
                      <w:tab w:val="left" w:pos="1680"/>
                    </w:tabs>
                    <w:jc w:val="center"/>
                    <w:rPr>
                      <w:rFonts w:eastAsiaTheme="minorEastAsia"/>
                      <w:bCs/>
                      <w:color w:val="000000" w:themeColor="text1"/>
                      <w:sz w:val="18"/>
                      <w:szCs w:val="18"/>
                      <w14:textFill>
                        <w14:solidFill>
                          <w14:schemeClr w14:val="tx1"/>
                        </w14:solidFill>
                      </w14:textFill>
                    </w:rPr>
                  </w:pPr>
                  <w:r>
                    <w:rPr>
                      <w:rFonts w:eastAsiaTheme="minorEastAsia"/>
                      <w:bCs/>
                      <w:color w:val="000000" w:themeColor="text1"/>
                      <w:sz w:val="18"/>
                      <w:szCs w:val="18"/>
                      <w14:textFill>
                        <w14:solidFill>
                          <w14:schemeClr w14:val="tx1"/>
                        </w14:solidFill>
                      </w14:textFill>
                    </w:rPr>
                    <w:t>电</w:t>
                  </w:r>
                </w:p>
              </w:tc>
              <w:tc>
                <w:tcPr>
                  <w:tcW w:w="1479" w:type="dxa"/>
                  <w:vAlign w:val="center"/>
                </w:tcPr>
                <w:p>
                  <w:pPr>
                    <w:tabs>
                      <w:tab w:val="left" w:pos="1680"/>
                    </w:tabs>
                    <w:jc w:val="center"/>
                    <w:rPr>
                      <w:rFonts w:eastAsiaTheme="minorEastAsia"/>
                      <w:color w:val="000000" w:themeColor="text1"/>
                      <w:sz w:val="18"/>
                      <w:szCs w:val="18"/>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2</w:t>
                  </w:r>
                  <w:r>
                    <w:rPr>
                      <w:rFonts w:eastAsiaTheme="minorEastAsia"/>
                      <w:color w:val="000000" w:themeColor="text1"/>
                      <w:sz w:val="18"/>
                      <w:szCs w:val="18"/>
                      <w14:textFill>
                        <w14:solidFill>
                          <w14:schemeClr w14:val="tx1"/>
                        </w14:solidFill>
                      </w14:textFill>
                    </w:rPr>
                    <w:t>0</w:t>
                  </w:r>
                </w:p>
              </w:tc>
              <w:tc>
                <w:tcPr>
                  <w:tcW w:w="1960"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万kWh/a</w:t>
                  </w:r>
                </w:p>
              </w:tc>
              <w:tc>
                <w:tcPr>
                  <w:tcW w:w="1960" w:type="dxa"/>
                  <w:vAlign w:val="center"/>
                </w:tcPr>
                <w:p>
                  <w:pPr>
                    <w:tabs>
                      <w:tab w:val="left" w:pos="1680"/>
                    </w:tabs>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由淄川区供电所线路</w:t>
                  </w:r>
                  <w:r>
                    <w:rPr>
                      <w:rFonts w:eastAsiaTheme="minorEastAsia"/>
                      <w:bCs/>
                      <w:color w:val="000000" w:themeColor="text1"/>
                      <w:sz w:val="18"/>
                      <w:szCs w:val="18"/>
                      <w:lang w:val="de-DE"/>
                      <w14:textFill>
                        <w14:solidFill>
                          <w14:schemeClr w14:val="tx1"/>
                        </w14:solidFill>
                      </w14:textFill>
                    </w:rPr>
                    <w:t>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3" w:type="dxa"/>
                  <w:vAlign w:val="center"/>
                </w:tcPr>
                <w:p>
                  <w:pPr>
                    <w:pStyle w:val="1040"/>
                    <w:numPr>
                      <w:ilvl w:val="0"/>
                      <w:numId w:val="19"/>
                    </w:numPr>
                    <w:ind w:firstLineChars="0"/>
                    <w:jc w:val="center"/>
                    <w:rPr>
                      <w:rFonts w:eastAsiaTheme="minorEastAsia"/>
                      <w:color w:val="000000" w:themeColor="text1"/>
                      <w:sz w:val="18"/>
                      <w:szCs w:val="18"/>
                      <w14:textFill>
                        <w14:solidFill>
                          <w14:schemeClr w14:val="tx1"/>
                        </w14:solidFill>
                      </w14:textFill>
                    </w:rPr>
                  </w:pPr>
                </w:p>
              </w:tc>
              <w:tc>
                <w:tcPr>
                  <w:tcW w:w="2177" w:type="dxa"/>
                  <w:vAlign w:val="center"/>
                </w:tcPr>
                <w:p>
                  <w:pPr>
                    <w:tabs>
                      <w:tab w:val="left" w:pos="1680"/>
                    </w:tabs>
                    <w:jc w:val="center"/>
                    <w:rPr>
                      <w:rFonts w:hint="eastAsia" w:eastAsiaTheme="minorEastAsia"/>
                      <w:bCs/>
                      <w:color w:val="000000" w:themeColor="text1"/>
                      <w:sz w:val="18"/>
                      <w:szCs w:val="18"/>
                      <w:lang w:eastAsia="zh-CN"/>
                      <w14:textFill>
                        <w14:solidFill>
                          <w14:schemeClr w14:val="tx1"/>
                        </w14:solidFill>
                      </w14:textFill>
                    </w:rPr>
                  </w:pPr>
                  <w:r>
                    <w:rPr>
                      <w:rFonts w:hint="eastAsia" w:eastAsiaTheme="minorEastAsia"/>
                      <w:bCs/>
                      <w:color w:val="000000" w:themeColor="text1"/>
                      <w:sz w:val="18"/>
                      <w:szCs w:val="18"/>
                      <w:lang w:eastAsia="zh-CN"/>
                      <w14:textFill>
                        <w14:solidFill>
                          <w14:schemeClr w14:val="tx1"/>
                        </w14:solidFill>
                      </w14:textFill>
                    </w:rPr>
                    <w:t>液化石油气</w:t>
                  </w:r>
                </w:p>
              </w:tc>
              <w:tc>
                <w:tcPr>
                  <w:tcW w:w="1479"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84</w:t>
                  </w:r>
                </w:p>
              </w:tc>
              <w:tc>
                <w:tcPr>
                  <w:tcW w:w="1960"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t/a</w:t>
                  </w:r>
                </w:p>
              </w:tc>
              <w:tc>
                <w:tcPr>
                  <w:tcW w:w="1960" w:type="dxa"/>
                  <w:vAlign w:val="center"/>
                </w:tcPr>
                <w:p>
                  <w:pPr>
                    <w:tabs>
                      <w:tab w:val="left" w:pos="1680"/>
                    </w:tabs>
                    <w:jc w:val="center"/>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eastAsia="zh-CN"/>
                      <w14:textFill>
                        <w14:solidFill>
                          <w14:schemeClr w14:val="tx1"/>
                        </w14:solidFill>
                      </w14:textFill>
                    </w:rPr>
                    <w:t>外购</w:t>
                  </w:r>
                  <w:r>
                    <w:rPr>
                      <w:rFonts w:hint="eastAsia" w:eastAsiaTheme="minorEastAsia"/>
                      <w:color w:val="000000" w:themeColor="text1"/>
                      <w:sz w:val="18"/>
                      <w:szCs w:val="18"/>
                      <w:highlight w:val="none"/>
                      <w:lang w:eastAsia="zh-CN"/>
                      <w14:textFill>
                        <w14:solidFill>
                          <w14:schemeClr w14:val="tx1"/>
                        </w14:solidFill>
                      </w14:textFill>
                    </w:rPr>
                    <w:t>，瓶装，</w:t>
                  </w:r>
                  <w:r>
                    <w:rPr>
                      <w:rFonts w:hint="eastAsia" w:eastAsiaTheme="minorEastAsia"/>
                      <w:color w:val="000000" w:themeColor="text1"/>
                      <w:sz w:val="18"/>
                      <w:szCs w:val="18"/>
                      <w:highlight w:val="none"/>
                      <w:lang w:val="en-US" w:eastAsia="zh-CN"/>
                      <w14:textFill>
                        <w14:solidFill>
                          <w14:schemeClr w14:val="tx1"/>
                        </w14:solidFill>
                      </w14:textFill>
                    </w:rPr>
                    <w:t>50kg/瓶</w:t>
                  </w:r>
                </w:p>
              </w:tc>
            </w:tr>
            <w:bookmarkEnd w:id="4"/>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firstLine="422" w:firstLineChars="200"/>
              <w:jc w:val="left"/>
              <w:textAlignment w:val="auto"/>
              <w:rPr>
                <w:rFonts w:hint="eastAsia"/>
                <w:kern w:val="2"/>
                <w:sz w:val="21"/>
                <w:szCs w:val="21"/>
              </w:rPr>
            </w:pPr>
            <w:r>
              <w:rPr>
                <w:rFonts w:hint="eastAsia"/>
                <w:b/>
                <w:bCs/>
                <w:kern w:val="2"/>
                <w:sz w:val="21"/>
                <w:szCs w:val="21"/>
                <w:lang w:eastAsia="zh-CN"/>
              </w:rPr>
              <w:t>淀粉胶</w:t>
            </w:r>
            <w:r>
              <w:rPr>
                <w:rFonts w:hint="eastAsia"/>
                <w:kern w:val="2"/>
                <w:sz w:val="21"/>
                <w:szCs w:val="21"/>
              </w:rPr>
              <w:t>：</w:t>
            </w:r>
            <w:r>
              <w:rPr>
                <w:rFonts w:hint="eastAsia"/>
                <w:kern w:val="2"/>
                <w:sz w:val="21"/>
                <w:szCs w:val="21"/>
                <w:lang w:eastAsia="zh-CN"/>
              </w:rPr>
              <w:t>主要成分为</w:t>
            </w:r>
            <w:r>
              <w:rPr>
                <w:rFonts w:hint="eastAsia"/>
                <w:kern w:val="2"/>
                <w:sz w:val="21"/>
                <w:szCs w:val="21"/>
                <w:lang w:val="en-US" w:eastAsia="zh-CN"/>
              </w:rPr>
              <w:t>60%~70%的淀粉，30%~40%的轻钙粉，不含有机物成分</w:t>
            </w:r>
            <w:r>
              <w:rPr>
                <w:rFonts w:hint="eastAsia"/>
                <w:kern w:val="2"/>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eastAsia="宋体"/>
                <w:b/>
                <w:bCs/>
                <w:color w:val="000000"/>
                <w:sz w:val="21"/>
                <w:szCs w:val="21"/>
                <w:lang w:val="en-US" w:eastAsia="zh-CN"/>
              </w:rPr>
            </w:pPr>
            <w:r>
              <w:rPr>
                <w:rFonts w:hint="eastAsia"/>
                <w:b/>
                <w:bCs/>
                <w:color w:val="000000"/>
                <w:sz w:val="21"/>
                <w:szCs w:val="21"/>
                <w:lang w:eastAsia="zh-CN"/>
              </w:rPr>
              <w:t>预涂膜：</w:t>
            </w:r>
            <w:r>
              <w:rPr>
                <w:rFonts w:hint="eastAsia" w:ascii="Times New Roman" w:hAnsi="Times New Roman" w:eastAsia="宋体" w:cs="Times New Roman"/>
                <w:kern w:val="2"/>
                <w:sz w:val="21"/>
                <w:szCs w:val="21"/>
                <w:lang w:val="en-US" w:eastAsia="zh-CN"/>
              </w:rPr>
              <w:t>主要成分为聚丙烯，占比60%~70%；EVA热熔胶，占比30%~40%。具体MSDS见附件。</w:t>
            </w:r>
          </w:p>
          <w:p>
            <w:pPr>
              <w:spacing w:line="420" w:lineRule="exact"/>
              <w:ind w:firstLine="420" w:firstLineChars="200"/>
            </w:pPr>
            <w:r>
              <w:t>9、主要生产设备</w:t>
            </w:r>
          </w:p>
          <w:p>
            <w:pPr>
              <w:spacing w:line="420" w:lineRule="exact"/>
              <w:ind w:firstLine="420" w:firstLineChars="200"/>
              <w:rPr>
                <w:kern w:val="0"/>
              </w:rPr>
            </w:pPr>
            <w:r>
              <w:rPr>
                <w:kern w:val="0"/>
              </w:rPr>
              <w:t>本项目主要设备见表2-</w:t>
            </w:r>
            <w:r>
              <w:rPr>
                <w:rFonts w:hint="eastAsia"/>
                <w:kern w:val="0"/>
              </w:rPr>
              <w:t>5</w:t>
            </w:r>
            <w:r>
              <w:rPr>
                <w:kern w:val="0"/>
              </w:rPr>
              <w:t>。</w:t>
            </w:r>
          </w:p>
          <w:p>
            <w:pPr>
              <w:spacing w:line="420" w:lineRule="exact"/>
              <w:jc w:val="center"/>
              <w:rPr>
                <w:rFonts w:hint="eastAsia" w:eastAsia="宋体"/>
                <w:b/>
                <w:bCs/>
                <w:lang w:eastAsia="zh-CN"/>
              </w:rPr>
            </w:pPr>
            <w:bookmarkStart w:id="5" w:name="_Hlk76365667"/>
            <w:r>
              <w:rPr>
                <w:b/>
                <w:bCs/>
              </w:rPr>
              <w:t>表2-</w:t>
            </w:r>
            <w:r>
              <w:rPr>
                <w:rFonts w:hint="eastAsia"/>
                <w:b/>
                <w:bCs/>
              </w:rPr>
              <w:t>5</w:t>
            </w:r>
            <w:r>
              <w:rPr>
                <w:b/>
                <w:bCs/>
              </w:rPr>
              <w:t>项目主要设备</w:t>
            </w:r>
            <w:r>
              <w:rPr>
                <w:rFonts w:hint="eastAsia"/>
                <w:b/>
                <w:bCs/>
                <w:lang w:eastAsia="zh-CN"/>
              </w:rPr>
              <w:t>清单</w:t>
            </w:r>
          </w:p>
          <w:bookmarkEnd w:id="5"/>
          <w:tbl>
            <w:tblPr>
              <w:tblStyle w:val="8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128"/>
              <w:gridCol w:w="970"/>
              <w:gridCol w:w="1165"/>
              <w:gridCol w:w="1044"/>
              <w:gridCol w:w="987"/>
              <w:gridCol w:w="753"/>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tabs>
                      <w:tab w:val="left" w:pos="1680"/>
                    </w:tabs>
                    <w:spacing w:line="0" w:lineRule="atLeast"/>
                    <w:ind w:right="-108"/>
                    <w:jc w:val="center"/>
                    <w:rPr>
                      <w:b/>
                      <w:color w:val="000000"/>
                      <w:sz w:val="18"/>
                      <w:szCs w:val="18"/>
                    </w:rPr>
                  </w:pPr>
                  <w:bookmarkStart w:id="6" w:name="_Hlk60127126"/>
                  <w:r>
                    <w:rPr>
                      <w:rFonts w:hint="eastAsia"/>
                      <w:b/>
                      <w:color w:val="000000"/>
                      <w:sz w:val="18"/>
                      <w:szCs w:val="18"/>
                    </w:rPr>
                    <w:t>序号</w:t>
                  </w:r>
                </w:p>
              </w:tc>
              <w:tc>
                <w:tcPr>
                  <w:tcW w:w="671"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tabs>
                      <w:tab w:val="left" w:pos="1680"/>
                    </w:tabs>
                    <w:spacing w:line="0" w:lineRule="atLeast"/>
                    <w:ind w:right="-108" w:rightChars="0"/>
                    <w:jc w:val="center"/>
                    <w:rPr>
                      <w:b/>
                      <w:color w:val="000000"/>
                      <w:sz w:val="18"/>
                      <w:szCs w:val="18"/>
                    </w:rPr>
                  </w:pPr>
                  <w:r>
                    <w:rPr>
                      <w:b/>
                      <w:sz w:val="18"/>
                      <w:szCs w:val="18"/>
                    </w:rPr>
                    <w:t>主要生产单元</w:t>
                  </w:r>
                </w:p>
              </w:tc>
              <w:tc>
                <w:tcPr>
                  <w:tcW w:w="577"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spacing w:line="0" w:lineRule="atLeast"/>
                    <w:ind w:right="-108" w:rightChars="0"/>
                    <w:jc w:val="center"/>
                    <w:rPr>
                      <w:rFonts w:hint="eastAsia"/>
                      <w:b/>
                      <w:color w:val="000000"/>
                      <w:sz w:val="18"/>
                      <w:szCs w:val="18"/>
                    </w:rPr>
                  </w:pPr>
                  <w:r>
                    <w:rPr>
                      <w:b/>
                      <w:sz w:val="18"/>
                      <w:szCs w:val="18"/>
                    </w:rPr>
                    <w:t>主要工艺</w:t>
                  </w: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spacing w:line="0" w:lineRule="atLeast"/>
                    <w:ind w:right="-108" w:rightChars="0"/>
                    <w:jc w:val="center"/>
                    <w:rPr>
                      <w:b/>
                      <w:color w:val="000000"/>
                      <w:sz w:val="18"/>
                      <w:szCs w:val="18"/>
                    </w:rPr>
                  </w:pPr>
                  <w:r>
                    <w:rPr>
                      <w:rFonts w:hint="eastAsia"/>
                      <w:b/>
                      <w:color w:val="000000"/>
                      <w:sz w:val="18"/>
                      <w:szCs w:val="18"/>
                    </w:rPr>
                    <w:t>设备名称</w:t>
                  </w:r>
                </w:p>
              </w:tc>
              <w:tc>
                <w:tcPr>
                  <w:tcW w:w="621"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spacing w:line="0" w:lineRule="atLeast"/>
                    <w:ind w:right="-108" w:rightChars="0"/>
                    <w:jc w:val="center"/>
                    <w:rPr>
                      <w:b/>
                      <w:color w:val="000000"/>
                      <w:sz w:val="18"/>
                      <w:szCs w:val="18"/>
                    </w:rPr>
                  </w:pPr>
                  <w:r>
                    <w:rPr>
                      <w:rFonts w:hint="eastAsia"/>
                      <w:b/>
                      <w:color w:val="000000"/>
                      <w:sz w:val="18"/>
                      <w:szCs w:val="18"/>
                    </w:rPr>
                    <w:t>型号</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tabs>
                      <w:tab w:val="left" w:pos="1680"/>
                    </w:tabs>
                    <w:spacing w:line="0" w:lineRule="atLeast"/>
                    <w:ind w:right="-108"/>
                    <w:jc w:val="center"/>
                    <w:rPr>
                      <w:b/>
                      <w:color w:val="000000"/>
                      <w:sz w:val="18"/>
                      <w:szCs w:val="18"/>
                    </w:rPr>
                  </w:pPr>
                  <w:r>
                    <w:rPr>
                      <w:rFonts w:hint="eastAsia"/>
                      <w:b/>
                      <w:color w:val="000000"/>
                      <w:sz w:val="18"/>
                      <w:szCs w:val="18"/>
                    </w:rPr>
                    <w:t>数量</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tabs>
                      <w:tab w:val="left" w:pos="1680"/>
                    </w:tabs>
                    <w:spacing w:line="0" w:lineRule="atLeast"/>
                    <w:ind w:right="-108"/>
                    <w:jc w:val="center"/>
                    <w:rPr>
                      <w:rFonts w:hint="eastAsia" w:eastAsia="宋体"/>
                      <w:b/>
                      <w:color w:val="000000"/>
                      <w:sz w:val="18"/>
                      <w:szCs w:val="18"/>
                      <w:lang w:eastAsia="zh-CN"/>
                    </w:rPr>
                  </w:pPr>
                  <w:r>
                    <w:rPr>
                      <w:rFonts w:hint="eastAsia"/>
                      <w:b/>
                      <w:color w:val="000000"/>
                      <w:sz w:val="18"/>
                      <w:szCs w:val="18"/>
                      <w:lang w:eastAsia="zh-CN"/>
                    </w:rPr>
                    <w:t>单位</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tabs>
                      <w:tab w:val="left" w:pos="1680"/>
                    </w:tabs>
                    <w:spacing w:line="0" w:lineRule="atLeast"/>
                    <w:ind w:right="-108"/>
                    <w:jc w:val="center"/>
                    <w:rPr>
                      <w:b/>
                      <w:color w:val="000000"/>
                      <w:sz w:val="18"/>
                      <w:szCs w:val="18"/>
                    </w:rPr>
                  </w:pPr>
                  <w:r>
                    <w:rPr>
                      <w:rFonts w:hint="eastAsia"/>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restart"/>
                  <w:tcBorders>
                    <w:top w:val="single" w:color="auto" w:sz="4" w:space="0"/>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rFonts w:hint="eastAsia" w:eastAsia="宋体"/>
                      <w:color w:val="000000"/>
                      <w:sz w:val="18"/>
                      <w:szCs w:val="18"/>
                      <w:lang w:eastAsia="zh-CN"/>
                    </w:rPr>
                  </w:pPr>
                  <w:r>
                    <w:rPr>
                      <w:rFonts w:hint="eastAsia"/>
                      <w:color w:val="000000"/>
                      <w:sz w:val="18"/>
                      <w:szCs w:val="18"/>
                      <w:lang w:eastAsia="zh-CN"/>
                    </w:rPr>
                    <w:t>主体工程</w:t>
                  </w:r>
                </w:p>
              </w:tc>
              <w:tc>
                <w:tcPr>
                  <w:tcW w:w="577" w:type="pct"/>
                  <w:vMerge w:val="restart"/>
                  <w:tcBorders>
                    <w:top w:val="single" w:color="auto" w:sz="4" w:space="0"/>
                    <w:left w:val="single" w:color="auto" w:sz="4" w:space="0"/>
                    <w:right w:val="single" w:color="auto" w:sz="4" w:space="0"/>
                  </w:tcBorders>
                  <w:noWrap w:val="0"/>
                  <w:vAlign w:val="center"/>
                </w:tcPr>
                <w:p>
                  <w:pPr>
                    <w:tabs>
                      <w:tab w:val="left" w:pos="1680"/>
                    </w:tabs>
                    <w:jc w:val="center"/>
                    <w:rPr>
                      <w:rFonts w:hint="eastAsia" w:eastAsia="宋体"/>
                      <w:color w:val="000000"/>
                      <w:sz w:val="18"/>
                      <w:szCs w:val="18"/>
                      <w:lang w:eastAsia="zh-CN"/>
                    </w:rPr>
                  </w:pPr>
                  <w:r>
                    <w:rPr>
                      <w:rFonts w:hint="eastAsia"/>
                      <w:color w:val="000000"/>
                      <w:sz w:val="18"/>
                      <w:szCs w:val="18"/>
                      <w:lang w:eastAsia="zh-CN"/>
                    </w:rPr>
                    <w:t>主要生产线</w:t>
                  </w: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eastAsia="宋体"/>
                      <w:color w:val="000000"/>
                      <w:sz w:val="18"/>
                      <w:szCs w:val="18"/>
                      <w:lang w:eastAsia="zh-CN"/>
                    </w:rPr>
                  </w:pPr>
                  <w:r>
                    <w:rPr>
                      <w:rFonts w:hint="eastAsia" w:eastAsia="宋体"/>
                      <w:color w:val="000000"/>
                      <w:sz w:val="18"/>
                      <w:szCs w:val="18"/>
                      <w:lang w:eastAsia="zh-CN"/>
                    </w:rPr>
                    <w:t>全自动预覆膜机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覆膜工序用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default" w:eastAsia="宋体"/>
                      <w:color w:val="000000"/>
                      <w:sz w:val="18"/>
                      <w:szCs w:val="18"/>
                      <w:lang w:val="en-US" w:eastAsia="zh-CN"/>
                    </w:rPr>
                  </w:pPr>
                  <w:r>
                    <w:rPr>
                      <w:rFonts w:hint="eastAsia" w:ascii="宋体" w:hAnsi="宋体" w:eastAsia="宋体" w:cs="宋体"/>
                      <w:sz w:val="18"/>
                      <w:szCs w:val="18"/>
                      <w:lang w:val="en-US" w:eastAsia="zh-CN"/>
                    </w:rPr>
                    <w:t>平压平切纸机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color w:val="000000"/>
                      <w:sz w:val="18"/>
                      <w:szCs w:val="18"/>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color w:val="000000"/>
                      <w:sz w:val="18"/>
                      <w:szCs w:val="18"/>
                      <w:lang w:eastAsia="zh-CN"/>
                    </w:rPr>
                    <w:t>裁切工序使用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eastAsia="宋体"/>
                      <w:color w:val="000000"/>
                      <w:sz w:val="18"/>
                      <w:szCs w:val="18"/>
                      <w:lang w:eastAsia="zh-CN"/>
                    </w:rPr>
                  </w:pPr>
                  <w:r>
                    <w:rPr>
                      <w:rFonts w:hint="eastAsia" w:ascii="宋体" w:hAnsi="宋体" w:eastAsia="宋体" w:cs="宋体"/>
                      <w:sz w:val="18"/>
                      <w:szCs w:val="18"/>
                      <w:lang w:val="en-US" w:eastAsia="zh-CN"/>
                    </w:rPr>
                    <w:t>贴面机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color w:val="000000"/>
                      <w:sz w:val="18"/>
                      <w:szCs w:val="18"/>
                      <w:lang w:eastAsia="zh-CN"/>
                    </w:rPr>
                    <w:t>贴面工序使用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eastAsia="宋体"/>
                      <w:color w:val="000000"/>
                      <w:sz w:val="18"/>
                      <w:szCs w:val="18"/>
                      <w:lang w:eastAsia="zh-CN"/>
                    </w:rPr>
                  </w:pPr>
                  <w:r>
                    <w:rPr>
                      <w:rFonts w:hint="eastAsia" w:ascii="宋体" w:hAnsi="宋体" w:eastAsia="宋体" w:cs="宋体"/>
                      <w:sz w:val="18"/>
                      <w:szCs w:val="18"/>
                      <w:lang w:val="en-US" w:eastAsia="zh-CN"/>
                    </w:rPr>
                    <w:t>切纸机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color w:val="000000"/>
                      <w:sz w:val="18"/>
                      <w:szCs w:val="18"/>
                    </w:rPr>
                  </w:pPr>
                  <w:r>
                    <w:rPr>
                      <w:rFonts w:hint="eastAsia"/>
                      <w:color w:val="000000"/>
                      <w:sz w:val="18"/>
                      <w:szCs w:val="18"/>
                      <w:lang w:eastAsia="zh-CN"/>
                    </w:rPr>
                    <w:t>裁切工序使用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钉箱机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eastAsia="宋体"/>
                      <w:color w:val="000000"/>
                      <w:sz w:val="18"/>
                      <w:szCs w:val="18"/>
                      <w:lang w:eastAsia="zh-CN"/>
                    </w:rPr>
                  </w:pPr>
                  <w:r>
                    <w:rPr>
                      <w:rFonts w:hint="eastAsia" w:ascii="宋体" w:hAnsi="宋体" w:eastAsia="宋体" w:cs="宋体"/>
                      <w:sz w:val="18"/>
                      <w:szCs w:val="18"/>
                      <w:lang w:val="en-US" w:eastAsia="zh-CN"/>
                    </w:rPr>
                    <w:t>打包机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highlight w:val="none"/>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highlight w:val="none"/>
                      <w:lang w:eastAsia="zh-CN"/>
                    </w:rPr>
                    <w:t>打包用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废纸打包机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ascii="宋体" w:hAnsi="宋体" w:cs="宋体"/>
                      <w:sz w:val="18"/>
                      <w:szCs w:val="18"/>
                      <w:lang w:val="en-US" w:eastAsia="zh-CN"/>
                    </w:rPr>
                  </w:pPr>
                  <w:r>
                    <w:rPr>
                      <w:rFonts w:hint="eastAsia" w:ascii="宋体" w:hAnsi="宋体" w:cs="宋体"/>
                      <w:sz w:val="18"/>
                      <w:szCs w:val="18"/>
                      <w:lang w:val="en-US" w:eastAsia="zh-CN"/>
                    </w:rPr>
                    <w:t>甩纸机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ascii="宋体" w:hAnsi="宋体" w:cs="宋体"/>
                      <w:sz w:val="18"/>
                      <w:szCs w:val="18"/>
                      <w:lang w:val="en-US" w:eastAsia="zh-CN"/>
                    </w:rPr>
                  </w:pPr>
                  <w:r>
                    <w:rPr>
                      <w:rFonts w:hint="eastAsia" w:ascii="宋体" w:hAnsi="宋体" w:cs="宋体"/>
                      <w:sz w:val="18"/>
                      <w:szCs w:val="18"/>
                      <w:lang w:val="en-US" w:eastAsia="zh-CN"/>
                    </w:rPr>
                    <w:t>手工辅助压盒机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rFonts w:hint="eastAsia"/>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eastAsia="宋体"/>
                      <w:color w:val="000000"/>
                      <w:sz w:val="18"/>
                      <w:szCs w:val="18"/>
                      <w:lang w:eastAsia="zh-CN"/>
                    </w:rPr>
                  </w:pPr>
                  <w:r>
                    <w:rPr>
                      <w:rFonts w:hint="eastAsia" w:ascii="宋体" w:hAnsi="宋体" w:eastAsia="宋体" w:cs="宋体"/>
                      <w:sz w:val="18"/>
                      <w:szCs w:val="18"/>
                      <w:lang w:val="en-US" w:eastAsia="zh-CN"/>
                    </w:rPr>
                    <w:t>高档礼盒生产线</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套</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ascii="宋体" w:hAnsi="宋体" w:eastAsia="宋体" w:cs="宋体"/>
                      <w:sz w:val="18"/>
                      <w:szCs w:val="18"/>
                      <w:lang w:val="en-US" w:eastAsia="zh-CN"/>
                    </w:rPr>
                    <w:t>包含开槽机、贴面流水线</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皮壳机、包角机、订角机、成型机等相关设备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tabs>
                      <w:tab w:val="left" w:pos="1680"/>
                    </w:tabs>
                    <w:jc w:val="center"/>
                    <w:rPr>
                      <w:color w:val="000000"/>
                      <w:sz w:val="18"/>
                      <w:szCs w:val="18"/>
                    </w:rPr>
                  </w:pPr>
                </w:p>
              </w:tc>
              <w:tc>
                <w:tcPr>
                  <w:tcW w:w="577" w:type="pct"/>
                  <w:vMerge w:val="continue"/>
                  <w:tcBorders>
                    <w:left w:val="single" w:color="auto" w:sz="4" w:space="0"/>
                    <w:right w:val="single" w:color="auto" w:sz="4" w:space="0"/>
                  </w:tcBorders>
                  <w:noWrap w:val="0"/>
                  <w:vAlign w:val="center"/>
                </w:tcPr>
                <w:p>
                  <w:pPr>
                    <w:tabs>
                      <w:tab w:val="left" w:pos="1680"/>
                    </w:tabs>
                    <w:jc w:val="center"/>
                    <w:rPr>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tabs>
                      <w:tab w:val="left" w:pos="1680"/>
                    </w:tabs>
                    <w:jc w:val="center"/>
                    <w:rPr>
                      <w:rFonts w:hint="eastAsia" w:eastAsia="宋体"/>
                      <w:color w:val="000000"/>
                      <w:sz w:val="18"/>
                      <w:szCs w:val="18"/>
                      <w:lang w:eastAsia="zh-CN"/>
                    </w:rPr>
                  </w:pPr>
                  <w:r>
                    <w:rPr>
                      <w:rFonts w:hint="eastAsia" w:ascii="宋体" w:hAnsi="宋体" w:eastAsia="宋体" w:cs="宋体"/>
                      <w:sz w:val="18"/>
                      <w:szCs w:val="18"/>
                      <w:lang w:val="en-US" w:eastAsia="zh-CN"/>
                    </w:rPr>
                    <w:t>瓦楞生产线</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2</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color w:val="000000"/>
                      <w:sz w:val="18"/>
                      <w:szCs w:val="18"/>
                      <w:lang w:eastAsia="zh-CN"/>
                    </w:rPr>
                    <w:t>套</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瓦楞纸生产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jc w:val="center"/>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jc w:val="center"/>
                    <w:rPr>
                      <w:rFonts w:hint="eastAsia"/>
                      <w:color w:val="000000"/>
                      <w:sz w:val="18"/>
                      <w:szCs w:val="18"/>
                    </w:rPr>
                  </w:pPr>
                </w:p>
              </w:tc>
              <w:tc>
                <w:tcPr>
                  <w:tcW w:w="577" w:type="pct"/>
                  <w:vMerge w:val="continue"/>
                  <w:tcBorders>
                    <w:left w:val="single" w:color="auto" w:sz="4" w:space="0"/>
                    <w:right w:val="single" w:color="auto" w:sz="4" w:space="0"/>
                  </w:tcBorders>
                  <w:noWrap w:val="0"/>
                  <w:vAlign w:val="center"/>
                </w:tcPr>
                <w:p>
                  <w:pPr>
                    <w:jc w:val="center"/>
                    <w:rPr>
                      <w:b/>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ascii="宋体" w:hAnsi="宋体" w:eastAsia="宋体" w:cs="宋体"/>
                      <w:sz w:val="18"/>
                      <w:szCs w:val="18"/>
                      <w:lang w:val="en-US" w:eastAsia="zh-CN"/>
                    </w:rPr>
                    <w:t>纸面处理机</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default" w:eastAsia="宋体"/>
                      <w:color w:val="000000"/>
                      <w:sz w:val="18"/>
                      <w:szCs w:val="18"/>
                      <w:lang w:val="en-US" w:eastAsia="zh-CN"/>
                    </w:rPr>
                  </w:pPr>
                  <w:r>
                    <w:rPr>
                      <w:rFonts w:hint="eastAsia" w:eastAsia="宋体"/>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jc w:val="center"/>
                    <w:rPr>
                      <w:color w:val="000000"/>
                      <w:sz w:val="18"/>
                      <w:szCs w:val="18"/>
                    </w:rPr>
                  </w:pPr>
                </w:p>
              </w:tc>
              <w:tc>
                <w:tcPr>
                  <w:tcW w:w="671" w:type="pct"/>
                  <w:vMerge w:val="continue"/>
                  <w:tcBorders>
                    <w:left w:val="single" w:color="auto" w:sz="4" w:space="0"/>
                    <w:right w:val="single" w:color="auto" w:sz="4" w:space="0"/>
                  </w:tcBorders>
                  <w:noWrap w:val="0"/>
                  <w:tcMar>
                    <w:top w:w="28" w:type="dxa"/>
                    <w:left w:w="85" w:type="dxa"/>
                    <w:bottom w:w="28" w:type="dxa"/>
                    <w:right w:w="85" w:type="dxa"/>
                  </w:tcMar>
                  <w:vAlign w:val="center"/>
                </w:tcPr>
                <w:p>
                  <w:pPr>
                    <w:jc w:val="center"/>
                    <w:rPr>
                      <w:rFonts w:hint="eastAsia"/>
                      <w:color w:val="000000"/>
                      <w:sz w:val="18"/>
                      <w:szCs w:val="18"/>
                    </w:rPr>
                  </w:pPr>
                </w:p>
              </w:tc>
              <w:tc>
                <w:tcPr>
                  <w:tcW w:w="577" w:type="pct"/>
                  <w:vMerge w:val="continue"/>
                  <w:tcBorders>
                    <w:left w:val="single" w:color="auto" w:sz="4" w:space="0"/>
                    <w:right w:val="single" w:color="auto" w:sz="4" w:space="0"/>
                  </w:tcBorders>
                  <w:noWrap w:val="0"/>
                  <w:vAlign w:val="center"/>
                </w:tcPr>
                <w:p>
                  <w:pPr>
                    <w:jc w:val="center"/>
                    <w:rPr>
                      <w:color w:val="000000"/>
                      <w:sz w:val="18"/>
                      <w:szCs w:val="18"/>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sz w:val="18"/>
                      <w:szCs w:val="18"/>
                      <w:lang w:eastAsia="zh-CN"/>
                    </w:rPr>
                  </w:pPr>
                  <w:r>
                    <w:rPr>
                      <w:rFonts w:hint="eastAsia" w:ascii="宋体" w:hAnsi="宋体" w:eastAsia="宋体" w:cs="宋体"/>
                      <w:sz w:val="18"/>
                      <w:szCs w:val="18"/>
                      <w:lang w:val="en-US" w:eastAsia="zh-CN"/>
                    </w:rPr>
                    <w:t>医用级电气</w:t>
                  </w:r>
                  <w:r>
                    <w:rPr>
                      <w:rFonts w:hint="eastAsia" w:ascii="宋体" w:hAnsi="宋体" w:cs="宋体"/>
                      <w:sz w:val="18"/>
                      <w:szCs w:val="18"/>
                      <w:lang w:val="en-US" w:eastAsia="zh-CN"/>
                    </w:rPr>
                    <w:t>两</w:t>
                  </w:r>
                  <w:r>
                    <w:rPr>
                      <w:rFonts w:hint="eastAsia" w:ascii="宋体" w:hAnsi="宋体" w:eastAsia="宋体" w:cs="宋体"/>
                      <w:sz w:val="18"/>
                      <w:szCs w:val="18"/>
                      <w:lang w:val="en-US" w:eastAsia="zh-CN"/>
                    </w:rPr>
                    <w:t>用蒸发器</w:t>
                  </w:r>
                </w:p>
              </w:tc>
              <w:tc>
                <w:tcPr>
                  <w:tcW w:w="6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sz w:val="18"/>
                      <w:szCs w:val="18"/>
                      <w:lang w:val="en-US" w:eastAsia="zh-CN"/>
                    </w:rPr>
                  </w:pPr>
                  <w:r>
                    <w:rPr>
                      <w:rFonts w:hint="eastAsia" w:eastAsia="宋体"/>
                      <w:color w:val="000000"/>
                      <w:sz w:val="18"/>
                      <w:szCs w:val="18"/>
                      <w:lang w:val="en-US" w:eastAsia="zh-CN"/>
                    </w:rPr>
                    <w:t>0.3t/h</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val="en-US" w:eastAsia="zh-CN"/>
                    </w:rPr>
                  </w:pPr>
                  <w:r>
                    <w:rPr>
                      <w:rFonts w:hint="eastAsia"/>
                      <w:color w:val="000000"/>
                      <w:sz w:val="18"/>
                      <w:szCs w:val="18"/>
                      <w:lang w:val="en-US" w:eastAsia="zh-CN"/>
                    </w:rPr>
                    <w:t>2</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eastAsia="宋体"/>
                      <w:color w:val="000000"/>
                      <w:sz w:val="18"/>
                      <w:szCs w:val="18"/>
                      <w:lang w:eastAsia="zh-CN"/>
                    </w:rPr>
                    <w:t>生产蒸汽用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3"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pStyle w:val="1040"/>
                    <w:numPr>
                      <w:ilvl w:val="0"/>
                      <w:numId w:val="20"/>
                    </w:numPr>
                    <w:ind w:firstLineChars="0"/>
                    <w:jc w:val="center"/>
                    <w:rPr>
                      <w:color w:val="000000"/>
                      <w:sz w:val="18"/>
                      <w:szCs w:val="18"/>
                    </w:rPr>
                  </w:pPr>
                </w:p>
              </w:tc>
              <w:tc>
                <w:tcPr>
                  <w:tcW w:w="671"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widowControl/>
                    <w:jc w:val="center"/>
                    <w:textAlignment w:val="bottom"/>
                    <w:rPr>
                      <w:rFonts w:hint="eastAsia" w:eastAsia="宋体"/>
                      <w:color w:val="000000"/>
                      <w:sz w:val="18"/>
                      <w:szCs w:val="18"/>
                      <w:lang w:eastAsia="zh-CN"/>
                    </w:rPr>
                  </w:pPr>
                  <w:r>
                    <w:rPr>
                      <w:rFonts w:hint="eastAsia"/>
                      <w:color w:val="000000"/>
                      <w:sz w:val="18"/>
                      <w:szCs w:val="18"/>
                      <w:lang w:eastAsia="zh-CN"/>
                    </w:rPr>
                    <w:t>环保工程</w:t>
                  </w:r>
                </w:p>
              </w:tc>
              <w:tc>
                <w:tcPr>
                  <w:tcW w:w="5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eastAsia="宋体"/>
                      <w:color w:val="000000"/>
                      <w:sz w:val="18"/>
                      <w:szCs w:val="18"/>
                      <w:lang w:eastAsia="zh-CN"/>
                    </w:rPr>
                  </w:pPr>
                  <w:r>
                    <w:rPr>
                      <w:rFonts w:hint="eastAsia"/>
                      <w:color w:val="000000"/>
                      <w:sz w:val="18"/>
                      <w:szCs w:val="18"/>
                      <w:lang w:eastAsia="zh-CN"/>
                    </w:rPr>
                    <w:t>废气处理</w:t>
                  </w:r>
                </w:p>
              </w:tc>
              <w:tc>
                <w:tcPr>
                  <w:tcW w:w="69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eastAsia="宋体"/>
                      <w:color w:val="000000"/>
                      <w:sz w:val="18"/>
                      <w:szCs w:val="18"/>
                      <w:lang w:val="en-US" w:eastAsia="zh-CN"/>
                    </w:rPr>
                  </w:pPr>
                  <w:r>
                    <w:rPr>
                      <w:rFonts w:hint="eastAsia"/>
                      <w:color w:val="000000"/>
                      <w:sz w:val="18"/>
                      <w:szCs w:val="18"/>
                      <w:lang w:val="en-US" w:eastAsia="zh-CN"/>
                    </w:rPr>
                    <w:t>两级活性炭吸附设备</w:t>
                  </w:r>
                </w:p>
              </w:tc>
              <w:tc>
                <w:tcPr>
                  <w:tcW w:w="62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default" w:eastAsia="宋体"/>
                      <w:color w:val="000000"/>
                      <w:sz w:val="18"/>
                      <w:szCs w:val="18"/>
                      <w:lang w:val="en-US" w:eastAsia="zh-CN"/>
                    </w:rPr>
                  </w:pPr>
                  <w:r>
                    <w:rPr>
                      <w:rFonts w:hint="eastAsia"/>
                      <w:color w:val="000000"/>
                      <w:sz w:val="18"/>
                      <w:szCs w:val="18"/>
                      <w:lang w:val="en-US" w:eastAsia="zh-CN"/>
                    </w:rPr>
                    <w:t>--</w:t>
                  </w:r>
                </w:p>
              </w:tc>
              <w:tc>
                <w:tcPr>
                  <w:tcW w:w="58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widowControl/>
                    <w:jc w:val="center"/>
                    <w:textAlignment w:val="bottom"/>
                    <w:rPr>
                      <w:rFonts w:hint="eastAsia" w:eastAsia="宋体"/>
                      <w:color w:val="000000"/>
                      <w:sz w:val="18"/>
                      <w:szCs w:val="18"/>
                      <w:lang w:val="en-US" w:eastAsia="zh-CN"/>
                    </w:rPr>
                  </w:pPr>
                  <w:r>
                    <w:rPr>
                      <w:rFonts w:hint="eastAsia"/>
                      <w:color w:val="000000"/>
                      <w:sz w:val="18"/>
                      <w:szCs w:val="18"/>
                      <w:lang w:val="en-US" w:eastAsia="zh-CN"/>
                    </w:rPr>
                    <w:t>1</w:t>
                  </w:r>
                </w:p>
              </w:tc>
              <w:tc>
                <w:tcPr>
                  <w:tcW w:w="448"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eastAsia="宋体"/>
                      <w:color w:val="000000"/>
                      <w:sz w:val="18"/>
                      <w:szCs w:val="18"/>
                      <w:lang w:eastAsia="zh-CN"/>
                    </w:rPr>
                  </w:pPr>
                  <w:r>
                    <w:rPr>
                      <w:rFonts w:hint="eastAsia"/>
                      <w:color w:val="000000"/>
                      <w:sz w:val="18"/>
                      <w:szCs w:val="18"/>
                      <w:lang w:eastAsia="zh-CN"/>
                    </w:rPr>
                    <w:t>台</w:t>
                  </w:r>
                </w:p>
              </w:tc>
              <w:tc>
                <w:tcPr>
                  <w:tcW w:w="1137" w:type="pct"/>
                  <w:tcBorders>
                    <w:top w:val="single" w:color="auto" w:sz="4" w:space="0"/>
                    <w:left w:val="single" w:color="auto" w:sz="4" w:space="0"/>
                    <w:bottom w:val="single" w:color="auto" w:sz="4" w:space="0"/>
                    <w:right w:val="single" w:color="auto" w:sz="4" w:space="0"/>
                  </w:tcBorders>
                  <w:noWrap w:val="0"/>
                  <w:tcMar>
                    <w:top w:w="28" w:type="dxa"/>
                    <w:left w:w="85" w:type="dxa"/>
                    <w:bottom w:w="28" w:type="dxa"/>
                    <w:right w:w="85" w:type="dxa"/>
                  </w:tcMar>
                  <w:vAlign w:val="center"/>
                </w:tcPr>
                <w:p>
                  <w:pPr>
                    <w:jc w:val="center"/>
                    <w:rPr>
                      <w:rFonts w:hint="eastAsia"/>
                      <w:color w:val="000000"/>
                      <w:sz w:val="18"/>
                      <w:szCs w:val="18"/>
                    </w:rPr>
                  </w:pPr>
                  <w:r>
                    <w:rPr>
                      <w:rFonts w:hint="eastAsia"/>
                      <w:color w:val="000000"/>
                      <w:sz w:val="18"/>
                      <w:szCs w:val="18"/>
                    </w:rPr>
                    <w:t>环保设备</w:t>
                  </w:r>
                </w:p>
              </w:tc>
            </w:tr>
            <w:bookmarkEnd w:id="6"/>
          </w:tbl>
          <w:p>
            <w:pPr>
              <w:adjustRightInd w:val="0"/>
              <w:snapToGrid w:val="0"/>
              <w:spacing w:line="360" w:lineRule="auto"/>
              <w:ind w:firstLine="361" w:firstLineChars="200"/>
              <w:rPr>
                <w:b/>
                <w:kern w:val="0"/>
                <w:sz w:val="18"/>
                <w:szCs w:val="18"/>
              </w:rPr>
            </w:pPr>
            <w:r>
              <w:rPr>
                <w:b/>
                <w:kern w:val="0"/>
                <w:sz w:val="18"/>
                <w:szCs w:val="18"/>
              </w:rPr>
              <w:t>注：</w:t>
            </w:r>
            <w:r>
              <w:rPr>
                <w:b/>
                <w:sz w:val="18"/>
                <w:szCs w:val="18"/>
              </w:rPr>
              <w:t>以上设备均不属于</w:t>
            </w:r>
            <w:r>
              <w:rPr>
                <w:b/>
                <w:kern w:val="0"/>
                <w:sz w:val="18"/>
                <w:szCs w:val="18"/>
              </w:rPr>
              <w:t>《产业结构调整指导目录（2019年本）》中规定淘汰类、限制类设备。</w:t>
            </w:r>
          </w:p>
          <w:p>
            <w:pPr>
              <w:tabs>
                <w:tab w:val="left" w:pos="1800"/>
              </w:tabs>
              <w:adjustRightInd w:val="0"/>
              <w:snapToGrid w:val="0"/>
              <w:spacing w:line="360" w:lineRule="auto"/>
              <w:ind w:firstLine="420" w:firstLineChars="200"/>
              <w:rPr>
                <w:kern w:val="24"/>
              </w:rPr>
            </w:pPr>
            <w:r>
              <w:rPr>
                <w:kern w:val="24"/>
              </w:rPr>
              <w:t>10、给排水</w:t>
            </w:r>
          </w:p>
          <w:p>
            <w:pPr>
              <w:adjustRightInd w:val="0"/>
              <w:snapToGrid w:val="0"/>
              <w:spacing w:line="360" w:lineRule="auto"/>
              <w:ind w:firstLine="420" w:firstLineChars="200"/>
            </w:pPr>
            <w:r>
              <w:t>（1）给水</w:t>
            </w:r>
          </w:p>
          <w:p>
            <w:pPr>
              <w:adjustRightInd w:val="0"/>
              <w:snapToGrid w:val="0"/>
              <w:spacing w:line="360" w:lineRule="auto"/>
              <w:ind w:firstLine="412" w:firstLineChars="200"/>
              <w:rPr>
                <w:spacing w:val="-2"/>
                <w:kern w:val="0"/>
              </w:rPr>
            </w:pPr>
            <w:r>
              <w:rPr>
                <w:spacing w:val="-2"/>
                <w:kern w:val="0"/>
              </w:rPr>
              <w:t>项目主要用水为生活用水</w:t>
            </w:r>
            <w:r>
              <w:t>、</w:t>
            </w:r>
            <w:r>
              <w:rPr>
                <w:rFonts w:hint="eastAsia"/>
                <w:lang w:eastAsia="zh-CN"/>
              </w:rPr>
              <w:t>医用级蒸发器</w:t>
            </w:r>
            <w:r>
              <w:t>用水，</w:t>
            </w:r>
            <w:r>
              <w:rPr>
                <w:spacing w:val="-2"/>
                <w:kern w:val="0"/>
              </w:rPr>
              <w:t>用水量为</w:t>
            </w:r>
            <w:r>
              <w:rPr>
                <w:rFonts w:hint="eastAsia"/>
                <w:spacing w:val="-2"/>
                <w:kern w:val="0"/>
                <w:lang w:val="en-US" w:eastAsia="zh-CN"/>
              </w:rPr>
              <w:t>300</w:t>
            </w:r>
            <w:r>
              <w:rPr>
                <w:spacing w:val="-2"/>
                <w:kern w:val="0"/>
              </w:rPr>
              <w:t>m</w:t>
            </w:r>
            <w:r>
              <w:rPr>
                <w:spacing w:val="-2"/>
                <w:kern w:val="0"/>
                <w:vertAlign w:val="superscript"/>
              </w:rPr>
              <w:t>3</w:t>
            </w:r>
            <w:r>
              <w:rPr>
                <w:spacing w:val="-2"/>
                <w:kern w:val="0"/>
              </w:rPr>
              <w:t>/a，由</w:t>
            </w:r>
            <w:r>
              <w:rPr>
                <w:rFonts w:hint="eastAsia"/>
                <w:spacing w:val="-2"/>
                <w:kern w:val="0"/>
                <w:lang w:eastAsia="zh-CN"/>
              </w:rPr>
              <w:t>双杨</w:t>
            </w:r>
            <w:r>
              <w:rPr>
                <w:spacing w:val="-2"/>
                <w:kern w:val="0"/>
              </w:rPr>
              <w:t>镇自来水管网供给。</w:t>
            </w:r>
          </w:p>
          <w:p>
            <w:pPr>
              <w:adjustRightInd w:val="0"/>
              <w:snapToGrid w:val="0"/>
              <w:spacing w:line="360" w:lineRule="auto"/>
              <w:ind w:firstLine="420" w:firstLineChars="200"/>
            </w:pPr>
            <w:r>
              <w:t>①生活用水：项目</w:t>
            </w:r>
            <w:r>
              <w:rPr>
                <w:bCs/>
                <w:lang w:val="de-DE"/>
              </w:rPr>
              <w:t>职工定员</w:t>
            </w:r>
            <w:r>
              <w:rPr>
                <w:rFonts w:hint="eastAsia"/>
                <w:bCs/>
                <w:lang w:val="en-US" w:eastAsia="zh-CN"/>
              </w:rPr>
              <w:t>2</w:t>
            </w:r>
            <w:r>
              <w:rPr>
                <w:bCs/>
              </w:rPr>
              <w:t>0</w:t>
            </w:r>
            <w:r>
              <w:rPr>
                <w:bCs/>
                <w:lang w:val="de-DE"/>
              </w:rPr>
              <w:t>人，全年工作</w:t>
            </w:r>
            <w:r>
              <w:rPr>
                <w:rFonts w:hint="eastAsia"/>
                <w:bCs/>
                <w:lang w:val="en-US" w:eastAsia="zh-CN"/>
              </w:rPr>
              <w:t>30</w:t>
            </w:r>
            <w:r>
              <w:rPr>
                <w:bCs/>
              </w:rPr>
              <w:t>0</w:t>
            </w:r>
            <w:r>
              <w:rPr>
                <w:bCs/>
                <w:lang w:val="de-DE"/>
              </w:rPr>
              <w:t>天，厂内不设食堂、宿舍，根据《建筑给水排水设计标准》（GB50015-2019）中3.2.11管理人员及车间工人生活用水定额采用30~50L/人·班，项目职工生活用水量按照</w:t>
            </w:r>
            <w:r>
              <w:rPr>
                <w:rFonts w:hint="eastAsia"/>
                <w:bCs/>
                <w:lang w:val="en-US" w:eastAsia="zh-CN"/>
              </w:rPr>
              <w:t>4</w:t>
            </w:r>
            <w:r>
              <w:rPr>
                <w:bCs/>
                <w:lang w:val="de-DE"/>
              </w:rPr>
              <w:t>0L/人·班计，则生活用水量为</w:t>
            </w:r>
            <w:r>
              <w:rPr>
                <w:rFonts w:hint="eastAsia"/>
                <w:bCs/>
                <w:lang w:val="en-US" w:eastAsia="zh-CN"/>
              </w:rPr>
              <w:t>240</w:t>
            </w:r>
            <w:r>
              <w:rPr>
                <w:bCs/>
              </w:rPr>
              <w:t>m</w:t>
            </w:r>
            <w:r>
              <w:rPr>
                <w:bCs/>
                <w:vertAlign w:val="superscript"/>
              </w:rPr>
              <w:t>3</w:t>
            </w:r>
            <w:r>
              <w:rPr>
                <w:bCs/>
              </w:rPr>
              <w:t>/a</w:t>
            </w:r>
            <w:r>
              <w:t>。</w:t>
            </w:r>
          </w:p>
          <w:p>
            <w:pPr>
              <w:spacing w:line="360" w:lineRule="auto"/>
              <w:ind w:firstLine="420" w:firstLineChars="200"/>
              <w:rPr>
                <w:spacing w:val="-2"/>
                <w:kern w:val="0"/>
                <w:highlight w:val="none"/>
              </w:rPr>
            </w:pPr>
            <w:r>
              <w:rPr>
                <w:highlight w:val="none"/>
              </w:rPr>
              <w:t>②</w:t>
            </w:r>
            <w:r>
              <w:rPr>
                <w:rFonts w:hint="eastAsia" w:eastAsiaTheme="minorEastAsia"/>
                <w:bCs/>
                <w:kern w:val="24"/>
                <w:highlight w:val="none"/>
                <w:lang w:eastAsia="zh-CN"/>
              </w:rPr>
              <w:t>医用级电气两用蒸发器</w:t>
            </w:r>
            <w:r>
              <w:rPr>
                <w:highlight w:val="none"/>
              </w:rPr>
              <w:t>补水</w:t>
            </w:r>
            <w:r>
              <w:rPr>
                <w:rFonts w:eastAsiaTheme="minorEastAsia"/>
                <w:bCs/>
                <w:kern w:val="24"/>
                <w:highlight w:val="none"/>
              </w:rPr>
              <w:t>：项目</w:t>
            </w:r>
            <w:r>
              <w:rPr>
                <w:rFonts w:hint="eastAsia" w:eastAsiaTheme="minorEastAsia"/>
                <w:bCs/>
                <w:kern w:val="24"/>
                <w:highlight w:val="none"/>
                <w:lang w:eastAsia="zh-CN"/>
              </w:rPr>
              <w:t>医用级电气两用蒸发器对水质要求较低，使用自来水即可满足要求，循环使用无废水产生，仅定期补充损耗</w:t>
            </w:r>
            <w:r>
              <w:rPr>
                <w:rFonts w:eastAsiaTheme="minorEastAsia"/>
                <w:bCs/>
                <w:kern w:val="24"/>
                <w:highlight w:val="none"/>
              </w:rPr>
              <w:t>，</w:t>
            </w:r>
            <w:r>
              <w:rPr>
                <w:rFonts w:hint="eastAsia" w:eastAsiaTheme="minorEastAsia"/>
                <w:bCs/>
                <w:kern w:val="24"/>
                <w:highlight w:val="none"/>
                <w:lang w:eastAsia="zh-CN"/>
              </w:rPr>
              <w:t>年补充</w:t>
            </w:r>
            <w:r>
              <w:rPr>
                <w:rFonts w:eastAsiaTheme="minorEastAsia"/>
                <w:bCs/>
                <w:kern w:val="24"/>
                <w:highlight w:val="none"/>
              </w:rPr>
              <w:t>损耗量为</w:t>
            </w:r>
            <w:r>
              <w:rPr>
                <w:rFonts w:hint="eastAsia" w:eastAsiaTheme="minorEastAsia"/>
                <w:bCs/>
                <w:kern w:val="24"/>
                <w:highlight w:val="none"/>
                <w:lang w:val="en-US" w:eastAsia="zh-CN"/>
              </w:rPr>
              <w:t>60</w:t>
            </w:r>
            <w:r>
              <w:rPr>
                <w:rFonts w:eastAsiaTheme="minorEastAsia"/>
                <w:bCs/>
                <w:kern w:val="24"/>
                <w:highlight w:val="none"/>
              </w:rPr>
              <w:t>m</w:t>
            </w:r>
            <w:r>
              <w:rPr>
                <w:rFonts w:eastAsiaTheme="minorEastAsia"/>
                <w:bCs/>
                <w:kern w:val="24"/>
                <w:highlight w:val="none"/>
                <w:vertAlign w:val="superscript"/>
              </w:rPr>
              <w:t>3</w:t>
            </w:r>
            <w:r>
              <w:rPr>
                <w:rFonts w:eastAsiaTheme="minorEastAsia"/>
                <w:bCs/>
                <w:kern w:val="24"/>
                <w:highlight w:val="none"/>
              </w:rPr>
              <w:t>/a</w:t>
            </w:r>
            <w:r>
              <w:rPr>
                <w:spacing w:val="-2"/>
                <w:kern w:val="0"/>
                <w:highlight w:val="none"/>
              </w:rPr>
              <w:t>。</w:t>
            </w:r>
          </w:p>
          <w:p>
            <w:pPr>
              <w:adjustRightInd w:val="0"/>
              <w:snapToGrid w:val="0"/>
              <w:spacing w:line="360" w:lineRule="auto"/>
              <w:ind w:firstLine="420" w:firstLineChars="200"/>
            </w:pPr>
            <w:r>
              <w:t>（2）排水</w:t>
            </w:r>
          </w:p>
          <w:p>
            <w:pPr>
              <w:pStyle w:val="2"/>
              <w:adjustRightInd w:val="0"/>
              <w:snapToGrid w:val="0"/>
              <w:spacing w:line="360" w:lineRule="auto"/>
              <w:ind w:left="0" w:leftChars="0" w:firstLine="420" w:firstLineChars="200"/>
              <w:rPr>
                <w:sz w:val="21"/>
                <w:szCs w:val="21"/>
              </w:rPr>
            </w:pPr>
            <w:r>
              <w:rPr>
                <w:sz w:val="21"/>
                <w:szCs w:val="21"/>
              </w:rPr>
              <w:t>项目产生的废水主要为职工生活污水，</w:t>
            </w:r>
            <w:r>
              <w:rPr>
                <w:rFonts w:hint="eastAsia"/>
                <w:sz w:val="21"/>
                <w:szCs w:val="21"/>
                <w:lang w:eastAsia="zh-CN"/>
              </w:rPr>
              <w:t>蒸发器</w:t>
            </w:r>
            <w:r>
              <w:rPr>
                <w:sz w:val="21"/>
                <w:szCs w:val="21"/>
              </w:rPr>
              <w:t>用水补水全部蒸发损耗。</w:t>
            </w:r>
          </w:p>
          <w:p>
            <w:pPr>
              <w:pStyle w:val="2"/>
              <w:adjustRightInd w:val="0"/>
              <w:snapToGrid w:val="0"/>
              <w:spacing w:line="360" w:lineRule="auto"/>
              <w:ind w:left="0" w:leftChars="0" w:firstLine="420" w:firstLineChars="200"/>
              <w:rPr>
                <w:b/>
                <w:szCs w:val="21"/>
              </w:rPr>
            </w:pPr>
            <w:r>
              <w:rPr>
                <w:sz w:val="21"/>
                <w:szCs w:val="21"/>
              </w:rPr>
              <w:t>项目生活污水产生量按用水量的80%计，为</w:t>
            </w:r>
            <w:r>
              <w:rPr>
                <w:rFonts w:hint="eastAsia"/>
                <w:sz w:val="21"/>
                <w:szCs w:val="21"/>
                <w:lang w:val="en-US" w:eastAsia="zh-CN"/>
              </w:rPr>
              <w:t>192</w:t>
            </w:r>
            <w:r>
              <w:rPr>
                <w:sz w:val="21"/>
                <w:szCs w:val="21"/>
              </w:rPr>
              <w:t>m</w:t>
            </w:r>
            <w:r>
              <w:rPr>
                <w:sz w:val="21"/>
                <w:szCs w:val="21"/>
                <w:vertAlign w:val="superscript"/>
              </w:rPr>
              <w:t>3</w:t>
            </w:r>
            <w:r>
              <w:rPr>
                <w:sz w:val="21"/>
                <w:szCs w:val="21"/>
              </w:rPr>
              <w:t>/a。生活污水经化粪池预处理后由环卫部门定期清运</w:t>
            </w:r>
            <w:r>
              <w:rPr>
                <w:szCs w:val="21"/>
              </w:rPr>
              <w:t>。</w:t>
            </w:r>
          </w:p>
          <w:p>
            <w:pPr>
              <w:spacing w:line="360" w:lineRule="auto"/>
              <w:ind w:firstLine="420" w:firstLineChars="200"/>
            </w:pPr>
            <w:r>
              <w:t>项目水平衡图见下图：</w:t>
            </w:r>
          </w:p>
          <w:p>
            <w:pPr>
              <w:spacing w:line="360" w:lineRule="auto"/>
              <w:jc w:val="center"/>
              <w:rPr>
                <w:b/>
                <w:bCs/>
                <w:color w:val="FF0000"/>
              </w:rPr>
            </w:pPr>
            <w:r>
              <w:rPr>
                <w:b/>
                <w:bCs/>
                <w:color w:val="FF0000"/>
              </w:rPr>
              <w:object>
                <v:shape id="_x0000_i1025" o:spt="75" type="#_x0000_t75" style="height:146.25pt;width:253.3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pPr>
              <w:spacing w:line="360" w:lineRule="auto"/>
              <w:jc w:val="center"/>
              <w:rPr>
                <w:b/>
                <w:bCs/>
                <w:highlight w:val="none"/>
              </w:rPr>
            </w:pPr>
            <w:r>
              <w:rPr>
                <w:b/>
                <w:bCs/>
                <w:highlight w:val="none"/>
              </w:rPr>
              <w:t>图2-1项目水平衡图 单位：m</w:t>
            </w:r>
            <w:r>
              <w:rPr>
                <w:b/>
                <w:bCs/>
                <w:highlight w:val="none"/>
                <w:vertAlign w:val="superscript"/>
              </w:rPr>
              <w:t>3</w:t>
            </w:r>
            <w:r>
              <w:rPr>
                <w:b/>
                <w:bCs/>
                <w:highlight w:val="none"/>
              </w:rPr>
              <w:t>/a</w:t>
            </w:r>
          </w:p>
          <w:p>
            <w:pPr>
              <w:tabs>
                <w:tab w:val="left" w:pos="1800"/>
              </w:tabs>
              <w:adjustRightInd w:val="0"/>
              <w:snapToGrid w:val="0"/>
              <w:spacing w:line="360" w:lineRule="auto"/>
              <w:ind w:firstLine="460" w:firstLineChars="200"/>
              <w:rPr>
                <w:spacing w:val="10"/>
              </w:rPr>
            </w:pPr>
            <w:r>
              <w:rPr>
                <w:spacing w:val="10"/>
                <w:highlight w:val="none"/>
              </w:rPr>
              <w:t>11、供电：项目用电量约为</w:t>
            </w:r>
            <w:r>
              <w:rPr>
                <w:rFonts w:hint="eastAsia"/>
                <w:spacing w:val="10"/>
                <w:highlight w:val="none"/>
                <w:lang w:val="en-US" w:eastAsia="zh-CN"/>
              </w:rPr>
              <w:t>20</w:t>
            </w:r>
            <w:r>
              <w:rPr>
                <w:spacing w:val="10"/>
                <w:highlight w:val="none"/>
              </w:rPr>
              <w:t>万k</w:t>
            </w:r>
            <w:r>
              <w:rPr>
                <w:spacing w:val="10"/>
              </w:rPr>
              <w:t>Wh/a，由</w:t>
            </w:r>
            <w:r>
              <w:rPr>
                <w:kern w:val="24"/>
              </w:rPr>
              <w:t>淄川区</w:t>
            </w:r>
            <w:r>
              <w:rPr>
                <w:spacing w:val="10"/>
              </w:rPr>
              <w:t>供电所供给。</w:t>
            </w:r>
          </w:p>
          <w:p>
            <w:pPr>
              <w:tabs>
                <w:tab w:val="left" w:pos="1800"/>
              </w:tabs>
              <w:adjustRightInd w:val="0"/>
              <w:snapToGrid w:val="0"/>
              <w:spacing w:line="360" w:lineRule="auto"/>
              <w:ind w:firstLine="460" w:firstLineChars="200"/>
              <w:rPr>
                <w:color w:val="FF0000"/>
              </w:rPr>
            </w:pPr>
            <w:r>
              <w:rPr>
                <w:spacing w:val="10"/>
              </w:rPr>
              <w:t>12、供热：</w:t>
            </w:r>
            <w:r>
              <w:rPr>
                <w:lang w:val="de-DE"/>
              </w:rPr>
              <w:t>本项目</w:t>
            </w:r>
            <w:r>
              <w:rPr>
                <w:spacing w:val="10"/>
              </w:rPr>
              <w:t>厂区内不设燃煤锅炉，办公室冬季取暖使用空调。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16" w:type="dxa"/>
            <w:vAlign w:val="center"/>
          </w:tcPr>
          <w:p>
            <w:pPr>
              <w:pStyle w:val="80"/>
              <w:adjustRightInd w:val="0"/>
              <w:snapToGrid w:val="0"/>
              <w:spacing w:before="0" w:beforeAutospacing="0" w:after="0" w:afterAutospacing="0" w:line="420" w:lineRule="exact"/>
              <w:jc w:val="center"/>
              <w:rPr>
                <w:rFonts w:ascii="Times New Roman" w:hAnsi="Times New Roman"/>
                <w:color w:val="FF0000"/>
                <w:sz w:val="21"/>
                <w:szCs w:val="21"/>
              </w:rPr>
            </w:pPr>
            <w:r>
              <w:rPr>
                <w:rFonts w:ascii="Times New Roman" w:hAnsi="Times New Roman"/>
                <w:sz w:val="21"/>
                <w:szCs w:val="21"/>
              </w:rPr>
              <w:t>工艺流程和产排污环节</w:t>
            </w:r>
          </w:p>
        </w:tc>
        <w:tc>
          <w:tcPr>
            <w:tcW w:w="8426" w:type="dxa"/>
          </w:tcPr>
          <w:p>
            <w:pPr>
              <w:pStyle w:val="1040"/>
              <w:spacing w:line="420" w:lineRule="exact"/>
              <w:ind w:firstLine="0" w:firstLineChars="0"/>
              <w:rPr>
                <w:b/>
                <w:szCs w:val="21"/>
                <w:lang w:val="de-DE"/>
              </w:rPr>
            </w:pPr>
            <w:r>
              <w:rPr>
                <w:b/>
                <w:szCs w:val="21"/>
                <w:lang w:val="de-DE"/>
              </w:rPr>
              <w:t>工艺流程</w:t>
            </w:r>
          </w:p>
          <w:p>
            <w:pPr>
              <w:pStyle w:val="1040"/>
              <w:spacing w:line="420" w:lineRule="exact"/>
              <w:ind w:firstLine="422"/>
              <w:rPr>
                <w:b/>
                <w:szCs w:val="21"/>
              </w:rPr>
            </w:pPr>
            <w:r>
              <w:rPr>
                <w:b/>
                <w:szCs w:val="21"/>
              </w:rPr>
              <w:t>1、施工期</w:t>
            </w:r>
          </w:p>
          <w:p>
            <w:pPr>
              <w:adjustRightInd w:val="0"/>
              <w:spacing w:line="400" w:lineRule="exact"/>
              <w:ind w:firstLine="420" w:firstLineChars="200"/>
            </w:pPr>
            <w:r>
              <w:rPr>
                <w:szCs w:val="24"/>
              </w:rPr>
              <w:t>本项目租赁现有</w:t>
            </w:r>
            <w:r>
              <w:rPr>
                <w:rFonts w:hint="eastAsia"/>
                <w:szCs w:val="24"/>
                <w:lang w:eastAsia="zh-CN"/>
              </w:rPr>
              <w:t>已建成</w:t>
            </w:r>
            <w:r>
              <w:rPr>
                <w:szCs w:val="24"/>
              </w:rPr>
              <w:t>厂房进行建设，施工期主要为设备安装及调试，故施工期的主要影响因素是设备调试运行时产生的机械噪声和设备安装时产生的少量固废，对周围环境影响较小，本环评不再对施工期进行环境影响分析</w:t>
            </w:r>
            <w:r>
              <w:t>。</w:t>
            </w:r>
          </w:p>
          <w:p>
            <w:pPr>
              <w:pStyle w:val="1040"/>
              <w:spacing w:line="420" w:lineRule="exact"/>
              <w:ind w:firstLine="422"/>
              <w:rPr>
                <w:b/>
                <w:szCs w:val="21"/>
              </w:rPr>
            </w:pPr>
            <w:r>
              <w:rPr>
                <w:b/>
                <w:szCs w:val="21"/>
              </w:rPr>
              <w:t>2、运营期</w:t>
            </w:r>
          </w:p>
          <w:p>
            <w:pPr>
              <w:pStyle w:val="1040"/>
              <w:adjustRightInd w:val="0"/>
              <w:snapToGrid w:val="0"/>
              <w:spacing w:line="360" w:lineRule="auto"/>
              <w:ind w:firstLine="422"/>
              <w:rPr>
                <w:b/>
                <w:szCs w:val="21"/>
                <w:highlight w:val="none"/>
              </w:rPr>
            </w:pPr>
            <w:r>
              <w:rPr>
                <w:b/>
                <w:szCs w:val="21"/>
                <w:highlight w:val="none"/>
              </w:rPr>
              <w:t>（1）主要生产工艺</w:t>
            </w:r>
          </w:p>
          <w:p>
            <w:pPr>
              <w:pStyle w:val="1040"/>
              <w:adjustRightInd w:val="0"/>
              <w:snapToGrid w:val="0"/>
              <w:spacing w:line="360" w:lineRule="auto"/>
              <w:ind w:firstLine="422"/>
              <w:rPr>
                <w:rFonts w:hint="eastAsia" w:eastAsia="宋体"/>
                <w:b/>
                <w:szCs w:val="21"/>
                <w:highlight w:val="none"/>
                <w:lang w:val="en-US" w:eastAsia="zh-CN"/>
              </w:rPr>
            </w:pPr>
            <w:r>
              <w:rPr>
                <w:rFonts w:hint="eastAsia"/>
                <w:b/>
                <w:szCs w:val="21"/>
                <w:highlight w:val="none"/>
                <w:lang w:val="en-US" w:eastAsia="zh-CN"/>
              </w:rPr>
              <w:t>1）瓦楞纸生产工艺</w:t>
            </w:r>
          </w:p>
          <w:p>
            <w:pPr>
              <w:tabs>
                <w:tab w:val="left" w:pos="9116"/>
              </w:tabs>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object>
                <v:shape id="_x0000_i1026" o:spt="75" type="#_x0000_t75" style="height:191.75pt;width:397.7pt;" o:ole="t" filled="f" o:preferrelative="t" stroked="f" coordsize="21600,21600">
                  <v:path/>
                  <v:fill on="f" focussize="0,0"/>
                  <v:stroke on="f"/>
                  <v:imagedata r:id="rId11" o:title=""/>
                  <o:lock v:ext="edit" aspectratio="f"/>
                  <w10:wrap type="none"/>
                  <w10:anchorlock/>
                </v:shape>
                <o:OLEObject Type="Embed" ProgID="Visio.Drawing.15" ShapeID="_x0000_i1026" DrawAspect="Content" ObjectID="_1468075726" r:id="rId10">
                  <o:LockedField>false</o:LockedField>
                </o:OLEObject>
              </w:object>
            </w:r>
          </w:p>
          <w:p>
            <w:pPr>
              <w:tabs>
                <w:tab w:val="left" w:pos="9116"/>
              </w:tabs>
              <w:spacing w:line="360" w:lineRule="auto"/>
              <w:jc w:val="center"/>
              <w:rPr>
                <w:rFonts w:eastAsiaTheme="minorEastAsia"/>
                <w:b/>
                <w:color w:val="000000" w:themeColor="text1"/>
                <w:szCs w:val="18"/>
                <w:highlight w:val="none"/>
                <w14:textFill>
                  <w14:solidFill>
                    <w14:schemeClr w14:val="tx1"/>
                  </w14:solidFill>
                </w14:textFill>
              </w:rPr>
            </w:pPr>
            <w:r>
              <w:rPr>
                <w:rFonts w:eastAsiaTheme="minorEastAsia"/>
                <w:b/>
                <w:color w:val="000000" w:themeColor="text1"/>
                <w:szCs w:val="18"/>
                <w:highlight w:val="none"/>
                <w14:textFill>
                  <w14:solidFill>
                    <w14:schemeClr w14:val="tx1"/>
                  </w14:solidFill>
                </w14:textFill>
              </w:rPr>
              <w:t>图</w:t>
            </w:r>
            <w:r>
              <w:rPr>
                <w:rFonts w:hint="eastAsia" w:eastAsiaTheme="minorEastAsia"/>
                <w:b/>
                <w:color w:val="000000" w:themeColor="text1"/>
                <w:szCs w:val="18"/>
                <w:highlight w:val="none"/>
                <w14:textFill>
                  <w14:solidFill>
                    <w14:schemeClr w14:val="tx1"/>
                  </w14:solidFill>
                </w14:textFill>
              </w:rPr>
              <w:t>2-2</w:t>
            </w:r>
            <w:r>
              <w:rPr>
                <w:rFonts w:hint="eastAsia" w:eastAsiaTheme="minorEastAsia"/>
                <w:b/>
                <w:color w:val="000000" w:themeColor="text1"/>
                <w:szCs w:val="18"/>
                <w:highlight w:val="none"/>
                <w:lang w:eastAsia="zh-CN"/>
                <w14:textFill>
                  <w14:solidFill>
                    <w14:schemeClr w14:val="tx1"/>
                  </w14:solidFill>
                </w14:textFill>
              </w:rPr>
              <w:t>瓦楞纸</w:t>
            </w:r>
            <w:r>
              <w:rPr>
                <w:rFonts w:eastAsiaTheme="minorEastAsia"/>
                <w:b/>
                <w:color w:val="000000" w:themeColor="text1"/>
                <w:szCs w:val="18"/>
                <w:highlight w:val="none"/>
                <w14:textFill>
                  <w14:solidFill>
                    <w14:schemeClr w14:val="tx1"/>
                  </w14:solidFill>
                </w14:textFill>
              </w:rPr>
              <w:t>生产工艺流程及产污环节图</w:t>
            </w:r>
          </w:p>
          <w:p>
            <w:pPr>
              <w:spacing w:line="360" w:lineRule="auto"/>
              <w:ind w:firstLine="420" w:firstLineChars="200"/>
              <w:rPr>
                <w:color w:val="auto"/>
                <w:highlight w:val="none"/>
              </w:rPr>
            </w:pPr>
            <w:r>
              <w:rPr>
                <w:rFonts w:hint="eastAsia"/>
                <w:color w:val="auto"/>
                <w:highlight w:val="none"/>
                <w:lang w:eastAsia="zh-CN"/>
              </w:rPr>
              <w:t>卷筒原纸上料开卷进行张力测试，之后进行瓦楞成型，该过程需使用蒸汽进行加热，蒸汽来源于医用级电气两用蒸发器，燃料使用液化石油气。成型后，使用淀粉胶进行粘合，然后继续使用蒸汽进行烘压，最后进行分切制得瓦楞纸，作为本项目彩盒生产的原料，不作为产品外售。</w:t>
            </w:r>
          </w:p>
          <w:p>
            <w:pPr>
              <w:spacing w:line="360" w:lineRule="auto"/>
              <w:ind w:firstLine="420" w:firstLineChars="200"/>
              <w:rPr>
                <w:color w:val="auto"/>
                <w:highlight w:val="none"/>
              </w:rPr>
            </w:pPr>
            <w:r>
              <w:rPr>
                <w:color w:val="auto"/>
                <w:highlight w:val="none"/>
              </w:rPr>
              <w:t>产污环节：</w:t>
            </w:r>
            <w:r>
              <w:rPr>
                <w:rFonts w:hint="eastAsia"/>
                <w:color w:val="auto"/>
                <w:highlight w:val="none"/>
                <w:lang w:eastAsia="zh-CN"/>
              </w:rPr>
              <w:t>上料开卷</w:t>
            </w:r>
            <w:r>
              <w:rPr>
                <w:color w:val="auto"/>
                <w:highlight w:val="none"/>
              </w:rPr>
              <w:t>过程产生</w:t>
            </w:r>
            <w:r>
              <w:rPr>
                <w:rFonts w:hint="eastAsia"/>
                <w:color w:val="auto"/>
                <w:highlight w:val="none"/>
                <w:lang w:eastAsia="zh-CN"/>
              </w:rPr>
              <w:t>噪声</w:t>
            </w:r>
            <w:r>
              <w:rPr>
                <w:color w:val="auto"/>
                <w:highlight w:val="none"/>
              </w:rPr>
              <w:t>；</w:t>
            </w:r>
            <w:r>
              <w:rPr>
                <w:rFonts w:hint="eastAsia"/>
                <w:color w:val="auto"/>
                <w:highlight w:val="none"/>
                <w:lang w:eastAsia="zh-CN"/>
              </w:rPr>
              <w:t>液化石油气燃烧会有颗粒物、二氧化硫、氮氧化物、林格曼黑度产生；分切工序会有固废、噪声产生</w:t>
            </w:r>
            <w:r>
              <w:rPr>
                <w:color w:val="auto"/>
                <w:highlight w:val="none"/>
              </w:rPr>
              <w:t>。</w:t>
            </w:r>
          </w:p>
          <w:p>
            <w:pPr>
              <w:adjustRightInd w:val="0"/>
              <w:snapToGrid w:val="0"/>
              <w:spacing w:line="360" w:lineRule="auto"/>
              <w:ind w:firstLine="422" w:firstLineChars="200"/>
              <w:rPr>
                <w:rFonts w:hint="eastAsia" w:eastAsia="宋体"/>
                <w:b/>
                <w:bCs/>
                <w:color w:val="auto"/>
                <w:highlight w:val="none"/>
                <w:lang w:val="en-US" w:eastAsia="zh-CN"/>
              </w:rPr>
            </w:pPr>
            <w:r>
              <w:rPr>
                <w:rFonts w:hint="eastAsia"/>
                <w:b/>
                <w:bCs/>
                <w:color w:val="auto"/>
                <w:highlight w:val="none"/>
                <w:lang w:val="en-US" w:eastAsia="zh-CN"/>
              </w:rPr>
              <w:t>2）彩盒生产工艺</w:t>
            </w:r>
          </w:p>
          <w:p>
            <w:pPr>
              <w:pStyle w:val="1040"/>
              <w:adjustRightInd w:val="0"/>
              <w:snapToGrid w:val="0"/>
              <w:spacing w:line="360" w:lineRule="auto"/>
              <w:ind w:left="0" w:leftChars="0" w:firstLine="0" w:firstLineChars="0"/>
              <w:jc w:val="center"/>
              <w:rPr>
                <w:b/>
                <w:color w:val="auto"/>
                <w:szCs w:val="21"/>
                <w:highlight w:val="none"/>
              </w:rPr>
            </w:pPr>
            <w:r>
              <w:rPr>
                <w:b/>
                <w:color w:val="auto"/>
                <w:szCs w:val="21"/>
                <w:highlight w:val="none"/>
              </w:rPr>
              <w:object>
                <v:shape id="_x0000_i1027" o:spt="75" type="#_x0000_t75" style="height:104.5pt;width:425.55pt;" o:ole="t" filled="f" o:preferrelative="t" stroked="f" coordsize="21600,21600">
                  <v:path/>
                  <v:fill on="f" focussize="0,0"/>
                  <v:stroke on="f"/>
                  <v:imagedata r:id="rId13" o:title=""/>
                  <o:lock v:ext="edit" aspectratio="f"/>
                  <w10:wrap type="none"/>
                  <w10:anchorlock/>
                </v:shape>
                <o:OLEObject Type="Embed" ProgID="Visio.Drawing.15" ShapeID="_x0000_i1027" DrawAspect="Content" ObjectID="_1468075727" r:id="rId12">
                  <o:LockedField>false</o:LockedField>
                </o:OLEObject>
              </w:object>
            </w:r>
            <w:r>
              <w:rPr>
                <w:rFonts w:eastAsiaTheme="minorEastAsia"/>
                <w:b/>
                <w:color w:val="auto"/>
                <w:szCs w:val="18"/>
                <w:highlight w:val="none"/>
              </w:rPr>
              <w:t>图</w:t>
            </w:r>
            <w:r>
              <w:rPr>
                <w:rFonts w:hint="eastAsia" w:eastAsiaTheme="minorEastAsia"/>
                <w:b/>
                <w:color w:val="auto"/>
                <w:szCs w:val="18"/>
                <w:highlight w:val="none"/>
              </w:rPr>
              <w:t>2-</w:t>
            </w:r>
            <w:r>
              <w:rPr>
                <w:rFonts w:hint="eastAsia" w:eastAsiaTheme="minorEastAsia"/>
                <w:b/>
                <w:color w:val="auto"/>
                <w:szCs w:val="18"/>
                <w:highlight w:val="none"/>
                <w:lang w:val="en-US" w:eastAsia="zh-CN"/>
              </w:rPr>
              <w:t>3</w:t>
            </w:r>
            <w:r>
              <w:rPr>
                <w:rFonts w:hint="eastAsia" w:eastAsiaTheme="minorEastAsia"/>
                <w:b/>
                <w:color w:val="auto"/>
                <w:szCs w:val="18"/>
                <w:highlight w:val="none"/>
                <w:lang w:eastAsia="zh-CN"/>
              </w:rPr>
              <w:t>彩盒</w:t>
            </w:r>
            <w:r>
              <w:rPr>
                <w:rFonts w:eastAsiaTheme="minorEastAsia"/>
                <w:b/>
                <w:color w:val="auto"/>
                <w:szCs w:val="18"/>
                <w:highlight w:val="none"/>
              </w:rPr>
              <w:t>生产工艺流程及产污环节图</w:t>
            </w:r>
          </w:p>
          <w:p>
            <w:pPr>
              <w:spacing w:line="360" w:lineRule="auto"/>
              <w:ind w:firstLine="420" w:firstLineChars="200"/>
              <w:rPr>
                <w:rFonts w:hint="eastAsia" w:eastAsia="宋体"/>
                <w:color w:val="auto"/>
                <w:highlight w:val="none"/>
                <w:lang w:eastAsia="zh-CN"/>
              </w:rPr>
            </w:pPr>
            <w:r>
              <w:rPr>
                <w:rFonts w:hint="eastAsia"/>
                <w:color w:val="auto"/>
                <w:sz w:val="21"/>
                <w:szCs w:val="21"/>
                <w:highlight w:val="none"/>
                <w:lang w:eastAsia="zh-CN"/>
              </w:rPr>
              <w:t>外购白板纸，外协进行裁切、印刷。印刷完成后的白板纸，需对表面进行覆膜处理，保护表面印刷图案。将预涂膜使用全自动预覆膜机贴覆在印刷好的白板纸上，之后将裁切好的瓦楞纸与覆膜完成的白板纸通过贴面机进行粘贴，粘贴过程使用淀粉胶</w:t>
            </w:r>
            <w:r>
              <w:rPr>
                <w:rFonts w:hint="eastAsia"/>
                <w:color w:val="auto"/>
                <w:sz w:val="21"/>
                <w:szCs w:val="21"/>
                <w:highlight w:val="none"/>
              </w:rPr>
              <w:t>。</w:t>
            </w:r>
            <w:r>
              <w:rPr>
                <w:rFonts w:hint="eastAsia"/>
                <w:color w:val="auto"/>
                <w:sz w:val="21"/>
                <w:szCs w:val="21"/>
                <w:highlight w:val="none"/>
                <w:lang w:eastAsia="zh-CN"/>
              </w:rPr>
              <w:t>使用平压平切纸机对贴面完成的板纸进行模切</w:t>
            </w:r>
            <w:r>
              <w:rPr>
                <w:rFonts w:hint="eastAsia"/>
                <w:color w:val="auto"/>
                <w:sz w:val="21"/>
                <w:szCs w:val="21"/>
                <w:highlight w:val="none"/>
              </w:rPr>
              <w:t>。</w:t>
            </w:r>
            <w:r>
              <w:rPr>
                <w:rFonts w:hint="eastAsia"/>
                <w:color w:val="auto"/>
                <w:sz w:val="21"/>
                <w:szCs w:val="21"/>
                <w:highlight w:val="none"/>
                <w:lang w:eastAsia="zh-CN"/>
              </w:rPr>
              <w:t>人工使用淀粉胶对模切完成的半成品进行粘合，粘合完成即为成品</w:t>
            </w:r>
            <w:r>
              <w:rPr>
                <w:rFonts w:hint="eastAsia"/>
                <w:color w:val="auto"/>
                <w:sz w:val="21"/>
                <w:szCs w:val="21"/>
                <w:highlight w:val="none"/>
              </w:rPr>
              <w:t>。</w:t>
            </w:r>
            <w:r>
              <w:rPr>
                <w:rFonts w:hint="eastAsia"/>
                <w:color w:val="auto"/>
                <w:sz w:val="21"/>
                <w:szCs w:val="21"/>
                <w:highlight w:val="none"/>
                <w:lang w:eastAsia="zh-CN"/>
              </w:rPr>
              <w:t>淀粉胶主要成分为淀粉、钙粉等无机物，无废气产生。</w:t>
            </w:r>
          </w:p>
          <w:p>
            <w:pPr>
              <w:spacing w:line="360" w:lineRule="auto"/>
              <w:ind w:firstLine="420" w:firstLineChars="200"/>
              <w:rPr>
                <w:rFonts w:hint="eastAsia" w:eastAsia="宋体"/>
                <w:color w:val="000000" w:themeColor="text1"/>
                <w:highlight w:val="yellow"/>
                <w:lang w:eastAsia="zh-CN"/>
                <w14:textFill>
                  <w14:solidFill>
                    <w14:schemeClr w14:val="tx1"/>
                  </w14:solidFill>
                </w14:textFill>
              </w:rPr>
            </w:pPr>
            <w:r>
              <w:rPr>
                <w:color w:val="auto"/>
                <w:highlight w:val="none"/>
              </w:rPr>
              <w:t>产污环节：</w:t>
            </w:r>
            <w:r>
              <w:rPr>
                <w:rFonts w:hint="eastAsia"/>
                <w:color w:val="auto"/>
                <w:highlight w:val="none"/>
                <w:lang w:eastAsia="zh-CN"/>
              </w:rPr>
              <w:t>覆膜工序会产生</w:t>
            </w:r>
            <w:r>
              <w:rPr>
                <w:rFonts w:hint="eastAsia"/>
                <w:color w:val="auto"/>
                <w:highlight w:val="none"/>
                <w:lang w:val="en-US" w:eastAsia="zh-CN"/>
              </w:rPr>
              <w:t>VOCs、</w:t>
            </w:r>
            <w:r>
              <w:rPr>
                <w:rFonts w:hint="eastAsia"/>
                <w:color w:val="auto"/>
                <w:highlight w:val="none"/>
                <w:lang w:eastAsia="zh-CN"/>
              </w:rPr>
              <w:t>噪声</w:t>
            </w:r>
            <w:r>
              <w:rPr>
                <w:color w:val="auto"/>
                <w:highlight w:val="none"/>
              </w:rPr>
              <w:t>；</w:t>
            </w:r>
            <w:r>
              <w:rPr>
                <w:rFonts w:hint="eastAsia"/>
                <w:color w:val="auto"/>
                <w:highlight w:val="none"/>
                <w:lang w:eastAsia="zh-CN"/>
              </w:rPr>
              <w:t>贴面工序会产生噪声；模切工序会有固废、噪声产生</w:t>
            </w:r>
            <w:r>
              <w:rPr>
                <w:color w:val="auto"/>
                <w:highlight w:val="none"/>
              </w:rPr>
              <w:t>。</w:t>
            </w:r>
          </w:p>
          <w:p>
            <w:pPr>
              <w:pStyle w:val="1040"/>
              <w:adjustRightInd w:val="0"/>
              <w:snapToGrid w:val="0"/>
              <w:spacing w:line="360" w:lineRule="auto"/>
              <w:ind w:firstLine="422"/>
              <w:rPr>
                <w:b/>
                <w:color w:val="auto"/>
                <w:szCs w:val="21"/>
              </w:rPr>
            </w:pPr>
            <w:r>
              <w:rPr>
                <w:b/>
                <w:color w:val="auto"/>
                <w:szCs w:val="21"/>
              </w:rPr>
              <w:t>（4）废气处理工艺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eastAsia="宋体"/>
                <w:bCs/>
                <w:lang w:val="en-US" w:eastAsia="zh-CN"/>
              </w:rPr>
            </w:pPr>
            <w:r>
              <w:rPr>
                <w:rFonts w:hint="eastAsia"/>
                <w:bCs/>
                <w:color w:val="auto"/>
                <w:lang w:eastAsia="zh-CN"/>
              </w:rPr>
              <w:t>覆膜</w:t>
            </w:r>
            <w:r>
              <w:rPr>
                <w:bCs/>
                <w:color w:val="auto"/>
              </w:rPr>
              <w:t>过程产生的VOCs</w:t>
            </w:r>
            <w:r>
              <w:rPr>
                <w:rFonts w:hint="eastAsia"/>
                <w:bCs/>
                <w:color w:val="auto"/>
              </w:rPr>
              <w:t>经集气罩收集</w:t>
            </w:r>
            <w:r>
              <w:rPr>
                <w:rFonts w:hint="eastAsia"/>
                <w:bCs/>
                <w:color w:val="auto"/>
                <w:lang w:eastAsia="zh-CN"/>
              </w:rPr>
              <w:t>后通过两</w:t>
            </w:r>
            <w:r>
              <w:rPr>
                <w:rFonts w:hint="eastAsia"/>
                <w:bCs/>
                <w:color w:val="auto"/>
              </w:rPr>
              <w:t>级活性炭吸附装置</w:t>
            </w:r>
            <w:r>
              <w:rPr>
                <w:bCs/>
                <w:color w:val="auto"/>
              </w:rPr>
              <w:t>处理后由15mDA001排气筒有组织排放；</w:t>
            </w:r>
            <w:r>
              <w:rPr>
                <w:rFonts w:hint="eastAsia"/>
                <w:bCs/>
                <w:color w:val="auto"/>
                <w:lang w:eastAsia="zh-CN"/>
              </w:rPr>
              <w:t>医用级</w:t>
            </w:r>
            <w:r>
              <w:rPr>
                <w:rFonts w:hint="eastAsia" w:ascii="Times New Roman" w:hAnsi="Times New Roman" w:eastAsia="宋体" w:cs="Times New Roman"/>
                <w:bCs/>
                <w:color w:val="auto"/>
                <w:lang w:eastAsia="zh-CN"/>
              </w:rPr>
              <w:t>电气两用蒸发器配套建设低氮燃烧器，液化石油气燃烧</w:t>
            </w:r>
            <w:r>
              <w:rPr>
                <w:rFonts w:hint="eastAsia" w:ascii="Times New Roman" w:hAnsi="Times New Roman" w:eastAsia="宋体" w:cs="Times New Roman"/>
                <w:bCs/>
                <w:color w:val="auto"/>
              </w:rPr>
              <w:t>产生的</w:t>
            </w:r>
            <w:r>
              <w:rPr>
                <w:rFonts w:hint="eastAsia" w:ascii="Times New Roman" w:hAnsi="Times New Roman" w:eastAsia="宋体" w:cs="Times New Roman"/>
                <w:bCs/>
                <w:color w:val="auto"/>
                <w:lang w:eastAsia="zh-CN"/>
              </w:rPr>
              <w:t>颗粒物、二氧化硫、氮氧化物、林格曼黑度经</w:t>
            </w:r>
            <w:r>
              <w:rPr>
                <w:rFonts w:hint="eastAsia" w:ascii="Times New Roman" w:hAnsi="Times New Roman" w:eastAsia="宋体" w:cs="Times New Roman"/>
                <w:bCs/>
                <w:color w:val="auto"/>
                <w:lang w:val="en-US" w:eastAsia="zh-CN"/>
              </w:rPr>
              <w:t>15m</w:t>
            </w:r>
            <w:r>
              <w:rPr>
                <w:rFonts w:ascii="Times New Roman" w:hAnsi="Times New Roman" w:eastAsia="宋体" w:cs="Times New Roman"/>
                <w:bCs/>
                <w:color w:val="auto"/>
              </w:rPr>
              <w:t>DA002排气筒有组织排放。</w:t>
            </w:r>
            <w:r>
              <w:rPr>
                <w:rFonts w:hint="eastAsia" w:cs="Times New Roman"/>
                <w:bCs/>
                <w:color w:val="auto"/>
                <w:lang w:eastAsia="zh-CN"/>
              </w:rPr>
              <w:t>集气罩未收集的</w:t>
            </w:r>
            <w:r>
              <w:rPr>
                <w:rFonts w:hint="eastAsia" w:cs="Times New Roman"/>
                <w:bCs/>
                <w:color w:val="auto"/>
                <w:lang w:val="en-US" w:eastAsia="zh-CN"/>
              </w:rPr>
              <w:t>VOCs无组织排放。</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rPr>
                <w:sz w:val="21"/>
                <w:szCs w:val="21"/>
              </w:rPr>
            </w:pPr>
            <w:r>
              <w:rPr>
                <w:sz w:val="21"/>
                <w:szCs w:val="21"/>
              </w:rPr>
              <w:t>本项目废气产污工序及废气治理走向图见下图。</w:t>
            </w:r>
          </w:p>
          <w:p>
            <w:pPr>
              <w:adjustRightInd w:val="0"/>
              <w:snapToGrid w:val="0"/>
              <w:spacing w:line="360" w:lineRule="auto"/>
              <w:jc w:val="center"/>
              <w:rPr>
                <w:b/>
                <w:kern w:val="0"/>
              </w:rPr>
            </w:pPr>
            <w:r>
              <w:rPr>
                <w:b/>
                <w:kern w:val="0"/>
              </w:rPr>
              <w:object>
                <v:shape id="_x0000_i1028" o:spt="75" type="#_x0000_t75" style="height:152.25pt;width:333.65pt;" o:ole="t" filled="f" o:preferrelative="t" stroked="f" coordsize="21600,21600">
                  <v:path/>
                  <v:fill on="f" focussize="0,0"/>
                  <v:stroke on="f"/>
                  <v:imagedata r:id="rId15" o:title=""/>
                  <o:lock v:ext="edit" aspectratio="f"/>
                  <w10:wrap type="none"/>
                  <w10:anchorlock/>
                </v:shape>
                <o:OLEObject Type="Embed" ProgID="Visio.Drawing.15" ShapeID="_x0000_i1028" DrawAspect="Content" ObjectID="_1468075728" r:id="rId14">
                  <o:LockedField>false</o:LockedField>
                </o:OLEObject>
              </w:object>
            </w:r>
          </w:p>
          <w:p>
            <w:pPr>
              <w:adjustRightInd w:val="0"/>
              <w:snapToGrid w:val="0"/>
              <w:spacing w:line="360" w:lineRule="auto"/>
              <w:jc w:val="center"/>
            </w:pPr>
            <w:r>
              <w:rPr>
                <w:b/>
                <w:kern w:val="0"/>
              </w:rPr>
              <w:t>图</w:t>
            </w:r>
            <w:r>
              <w:rPr>
                <w:rFonts w:hint="eastAsia"/>
                <w:b/>
                <w:kern w:val="0"/>
              </w:rPr>
              <w:t>2-</w:t>
            </w:r>
            <w:r>
              <w:rPr>
                <w:rFonts w:hint="eastAsia"/>
                <w:b/>
                <w:kern w:val="0"/>
                <w:lang w:val="en-US" w:eastAsia="zh-CN"/>
              </w:rPr>
              <w:t>4</w:t>
            </w:r>
            <w:r>
              <w:rPr>
                <w:b/>
                <w:kern w:val="0"/>
              </w:rPr>
              <w:t>本项目废气产污工序及废气治理走向图</w:t>
            </w:r>
          </w:p>
          <w:p>
            <w:pPr>
              <w:autoSpaceDE w:val="0"/>
              <w:autoSpaceDN w:val="0"/>
              <w:adjustRightInd w:val="0"/>
              <w:snapToGrid w:val="0"/>
              <w:spacing w:line="360" w:lineRule="auto"/>
              <w:jc w:val="left"/>
              <w:rPr>
                <w:b/>
                <w:bCs/>
                <w:kern w:val="0"/>
              </w:rPr>
            </w:pPr>
            <w:r>
              <w:rPr>
                <w:b/>
                <w:bCs/>
              </w:rPr>
              <w:t>二、主要产排污环节</w:t>
            </w:r>
          </w:p>
          <w:p>
            <w:pPr>
              <w:tabs>
                <w:tab w:val="left" w:pos="1680"/>
              </w:tabs>
              <w:adjustRightInd w:val="0"/>
              <w:snapToGrid w:val="0"/>
              <w:spacing w:line="360" w:lineRule="auto"/>
              <w:ind w:firstLine="422" w:firstLineChars="200"/>
              <w:rPr>
                <w:b/>
              </w:rPr>
            </w:pPr>
            <w:r>
              <w:rPr>
                <w:b/>
              </w:rPr>
              <w:t>（1）大气污染物</w:t>
            </w:r>
          </w:p>
          <w:p>
            <w:pPr>
              <w:adjustRightInd w:val="0"/>
              <w:snapToGrid w:val="0"/>
              <w:spacing w:line="360" w:lineRule="auto"/>
              <w:ind w:firstLine="420" w:firstLineChars="200"/>
              <w:rPr>
                <w:bCs/>
              </w:rPr>
            </w:pPr>
            <w:r>
              <w:rPr>
                <w:bCs/>
              </w:rPr>
              <w:t>本项目大气污染物</w:t>
            </w:r>
            <w:r>
              <w:rPr>
                <w:bCs/>
                <w:color w:val="auto"/>
              </w:rPr>
              <w:t>主要为</w:t>
            </w:r>
            <w:r>
              <w:rPr>
                <w:rFonts w:hint="eastAsia"/>
                <w:bCs/>
                <w:color w:val="auto"/>
                <w:lang w:eastAsia="zh-CN"/>
              </w:rPr>
              <w:t>覆膜工序</w:t>
            </w:r>
            <w:r>
              <w:rPr>
                <w:bCs/>
                <w:color w:val="auto"/>
              </w:rPr>
              <w:t>产生的VOCs，</w:t>
            </w:r>
            <w:r>
              <w:rPr>
                <w:rFonts w:hint="eastAsia"/>
                <w:bCs/>
                <w:color w:val="auto"/>
                <w:lang w:eastAsia="zh-CN"/>
              </w:rPr>
              <w:t>医用级</w:t>
            </w:r>
            <w:r>
              <w:rPr>
                <w:rFonts w:hint="eastAsia" w:ascii="Times New Roman" w:hAnsi="Times New Roman" w:eastAsia="宋体" w:cs="Times New Roman"/>
                <w:bCs/>
                <w:color w:val="auto"/>
                <w:lang w:eastAsia="zh-CN"/>
              </w:rPr>
              <w:t>电气两用蒸发器液化石油气燃烧</w:t>
            </w:r>
            <w:r>
              <w:rPr>
                <w:rFonts w:hint="eastAsia" w:ascii="Times New Roman" w:hAnsi="Times New Roman" w:eastAsia="宋体" w:cs="Times New Roman"/>
                <w:bCs/>
                <w:color w:val="auto"/>
              </w:rPr>
              <w:t>产生的</w:t>
            </w:r>
            <w:r>
              <w:rPr>
                <w:rFonts w:hint="eastAsia" w:ascii="Times New Roman" w:hAnsi="Times New Roman" w:eastAsia="宋体" w:cs="Times New Roman"/>
                <w:bCs/>
                <w:color w:val="auto"/>
                <w:lang w:eastAsia="zh-CN"/>
              </w:rPr>
              <w:t>颗粒物、二氧化硫、氮氧化物、林格曼黑度</w:t>
            </w:r>
            <w:r>
              <w:t>。</w:t>
            </w:r>
          </w:p>
          <w:p>
            <w:pPr>
              <w:tabs>
                <w:tab w:val="left" w:pos="1680"/>
              </w:tabs>
              <w:adjustRightInd w:val="0"/>
              <w:snapToGrid w:val="0"/>
              <w:spacing w:line="360" w:lineRule="auto"/>
              <w:ind w:firstLine="422" w:firstLineChars="200"/>
              <w:rPr>
                <w:b/>
              </w:rPr>
            </w:pPr>
            <w:r>
              <w:rPr>
                <w:b/>
              </w:rPr>
              <w:t>（2）废水</w:t>
            </w:r>
          </w:p>
          <w:p>
            <w:pPr>
              <w:tabs>
                <w:tab w:val="left" w:pos="1800"/>
              </w:tabs>
              <w:adjustRightInd w:val="0"/>
              <w:snapToGrid w:val="0"/>
              <w:spacing w:line="360" w:lineRule="auto"/>
              <w:ind w:firstLine="420" w:firstLineChars="200"/>
              <w:rPr>
                <w:kern w:val="24"/>
              </w:rPr>
            </w:pPr>
            <w:r>
              <w:t>项目产生的废水主要</w:t>
            </w:r>
            <w:r>
              <w:rPr>
                <w:rFonts w:hint="eastAsia"/>
                <w:lang w:eastAsia="zh-CN"/>
              </w:rPr>
              <w:t>为</w:t>
            </w:r>
            <w:r>
              <w:rPr>
                <w:kern w:val="24"/>
              </w:rPr>
              <w:t>职工的生活污水，</w:t>
            </w:r>
            <w:r>
              <w:rPr>
                <w:lang w:val="de-DE"/>
              </w:rPr>
              <w:t>经</w:t>
            </w:r>
            <w:r>
              <w:t>化粪池预处理后由环卫部门进行清运</w:t>
            </w:r>
            <w:r>
              <w:rPr>
                <w:kern w:val="24"/>
              </w:rPr>
              <w:t>。</w:t>
            </w:r>
          </w:p>
          <w:p>
            <w:pPr>
              <w:adjustRightInd w:val="0"/>
              <w:snapToGrid w:val="0"/>
              <w:spacing w:line="360" w:lineRule="auto"/>
              <w:ind w:firstLine="422" w:firstLineChars="200"/>
              <w:rPr>
                <w:b/>
                <w:bCs/>
              </w:rPr>
            </w:pPr>
            <w:r>
              <w:rPr>
                <w:b/>
                <w:bCs/>
              </w:rPr>
              <w:t>（3）噪声：</w:t>
            </w:r>
          </w:p>
          <w:p>
            <w:pPr>
              <w:adjustRightInd w:val="0"/>
              <w:snapToGrid w:val="0"/>
              <w:spacing w:line="360" w:lineRule="auto"/>
              <w:ind w:firstLine="420" w:firstLineChars="200"/>
              <w:rPr>
                <w:lang w:val="de-DE"/>
              </w:rPr>
            </w:pPr>
            <w:r>
              <w:rPr>
                <w:bCs/>
              </w:rPr>
              <w:t>项目</w:t>
            </w:r>
            <w:r>
              <w:rPr>
                <w:rFonts w:hint="eastAsia"/>
                <w:bCs/>
                <w:lang w:eastAsia="zh-CN"/>
              </w:rPr>
              <w:t>噪</w:t>
            </w:r>
            <w:r>
              <w:t>声源主要是</w:t>
            </w:r>
            <w:r>
              <w:rPr>
                <w:rFonts w:hint="eastAsia"/>
                <w:lang w:eastAsia="zh-CN"/>
              </w:rPr>
              <w:t>全自动预覆膜机、彩盒生产线、瓦楞生</w:t>
            </w:r>
            <w:r>
              <w:rPr>
                <w:rFonts w:hint="eastAsia"/>
                <w:bCs/>
                <w:lang w:eastAsia="zh-CN"/>
              </w:rPr>
              <w:t>产线、</w:t>
            </w:r>
            <w:r>
              <w:rPr>
                <w:rFonts w:hint="eastAsia"/>
                <w:bCs/>
                <w:lang w:val="en-US" w:eastAsia="zh-CN"/>
              </w:rPr>
              <w:t>平压平切纸机</w:t>
            </w:r>
            <w:r>
              <w:rPr>
                <w:rFonts w:hint="eastAsia"/>
                <w:bCs/>
                <w:lang w:eastAsia="zh-CN"/>
              </w:rPr>
              <w:t>、贴面机、风机等设备</w:t>
            </w:r>
            <w:r>
              <w:rPr>
                <w:rFonts w:hint="eastAsia"/>
                <w:bCs/>
                <w:lang w:val="de-DE" w:eastAsia="zh-CN"/>
              </w:rPr>
              <w:t>产生的噪声，根据国内同类行业的车</w:t>
            </w:r>
            <w:r>
              <w:rPr>
                <w:lang w:val="de-DE"/>
              </w:rPr>
              <w:t>间内噪声值的经验数据，其噪声级在</w:t>
            </w:r>
            <w:r>
              <w:rPr>
                <w:rFonts w:hint="eastAsia"/>
                <w:lang w:val="en-US" w:eastAsia="zh-CN"/>
              </w:rPr>
              <w:t>65</w:t>
            </w:r>
            <w:r>
              <w:t>-</w:t>
            </w:r>
            <w:r>
              <w:rPr>
                <w:rFonts w:hint="eastAsia"/>
                <w:lang w:val="en-US" w:eastAsia="zh-CN"/>
              </w:rPr>
              <w:t>90</w:t>
            </w:r>
            <w:r>
              <w:rPr>
                <w:lang w:val="de-DE"/>
              </w:rPr>
              <w:t>dB（A）之间。</w:t>
            </w:r>
          </w:p>
          <w:p>
            <w:pPr>
              <w:adjustRightInd w:val="0"/>
              <w:snapToGrid w:val="0"/>
              <w:spacing w:line="360" w:lineRule="auto"/>
              <w:ind w:firstLine="422" w:firstLineChars="200"/>
              <w:rPr>
                <w:b/>
                <w:bCs/>
              </w:rPr>
            </w:pPr>
            <w:r>
              <w:rPr>
                <w:b/>
                <w:bCs/>
              </w:rPr>
              <w:t>（4）固废</w:t>
            </w:r>
          </w:p>
          <w:p>
            <w:pPr>
              <w:adjustRightInd w:val="0"/>
              <w:snapToGrid w:val="0"/>
              <w:spacing w:line="360" w:lineRule="auto"/>
              <w:ind w:firstLine="420" w:firstLineChars="200"/>
              <w:rPr>
                <w:bCs/>
                <w:color w:val="auto"/>
              </w:rPr>
            </w:pPr>
            <w:r>
              <w:rPr>
                <w:bCs/>
                <w:color w:val="auto"/>
              </w:rPr>
              <w:t>项目产生的固体废物</w:t>
            </w:r>
            <w:r>
              <w:rPr>
                <w:rFonts w:hint="eastAsia"/>
                <w:bCs/>
                <w:color w:val="auto"/>
                <w:lang w:eastAsia="zh-CN"/>
              </w:rPr>
              <w:t>主要</w:t>
            </w:r>
            <w:r>
              <w:rPr>
                <w:bCs/>
                <w:color w:val="auto"/>
              </w:rPr>
              <w:t>为</w:t>
            </w:r>
            <w:r>
              <w:rPr>
                <w:rFonts w:hint="eastAsia"/>
                <w:color w:val="auto"/>
                <w:lang w:eastAsia="zh-CN"/>
              </w:rPr>
              <w:t>废纸下脚料、</w:t>
            </w:r>
            <w:r>
              <w:rPr>
                <w:color w:val="auto"/>
              </w:rPr>
              <w:t>废活性炭</w:t>
            </w:r>
            <w:r>
              <w:rPr>
                <w:rFonts w:hint="eastAsia"/>
                <w:color w:val="auto"/>
                <w:lang w:eastAsia="zh-CN"/>
              </w:rPr>
              <w:t>及员工</w:t>
            </w:r>
            <w:r>
              <w:rPr>
                <w:color w:val="auto"/>
              </w:rPr>
              <w:t>生活垃圾</w:t>
            </w:r>
            <w:r>
              <w:rPr>
                <w:bCs/>
                <w:color w:val="auto"/>
              </w:rPr>
              <w:t>。</w:t>
            </w:r>
          </w:p>
          <w:p>
            <w:pPr>
              <w:adjustRightInd w:val="0"/>
              <w:snapToGrid w:val="0"/>
              <w:spacing w:line="360" w:lineRule="auto"/>
              <w:ind w:firstLine="420" w:firstLineChars="200"/>
              <w:rPr>
                <w:bCs/>
                <w:color w:val="auto"/>
              </w:rPr>
            </w:pPr>
          </w:p>
          <w:p>
            <w:pPr>
              <w:adjustRightInd w:val="0"/>
              <w:snapToGrid w:val="0"/>
              <w:spacing w:line="360" w:lineRule="auto"/>
              <w:ind w:firstLine="420" w:firstLineChars="200"/>
              <w:rPr>
                <w:bCs/>
                <w:color w:val="FF0000"/>
              </w:rPr>
            </w:pPr>
          </w:p>
          <w:p>
            <w:pPr>
              <w:adjustRightInd w:val="0"/>
              <w:snapToGrid w:val="0"/>
              <w:spacing w:line="360" w:lineRule="auto"/>
              <w:ind w:firstLine="420" w:firstLineChars="200"/>
              <w:rPr>
                <w:bCs/>
                <w:color w:val="FF0000"/>
              </w:rPr>
            </w:pPr>
          </w:p>
          <w:p>
            <w:pPr>
              <w:adjustRightInd w:val="0"/>
              <w:snapToGrid w:val="0"/>
              <w:spacing w:line="360" w:lineRule="auto"/>
              <w:ind w:firstLine="420" w:firstLineChars="200"/>
              <w:rPr>
                <w:bCs/>
                <w:color w:val="FF0000"/>
              </w:rPr>
            </w:pPr>
          </w:p>
          <w:p>
            <w:pPr>
              <w:adjustRightInd w:val="0"/>
              <w:snapToGrid w:val="0"/>
              <w:spacing w:line="360" w:lineRule="auto"/>
              <w:ind w:firstLine="420" w:firstLineChars="200"/>
              <w:rPr>
                <w:bCs/>
                <w:color w:val="FF0000"/>
              </w:rPr>
            </w:pPr>
          </w:p>
          <w:p>
            <w:pPr>
              <w:adjustRightInd w:val="0"/>
              <w:snapToGrid w:val="0"/>
              <w:spacing w:line="360" w:lineRule="auto"/>
              <w:rPr>
                <w:color w:val="FF0000"/>
              </w:rPr>
            </w:pPr>
          </w:p>
          <w:p>
            <w:pPr>
              <w:adjustRightInd w:val="0"/>
              <w:snapToGrid w:val="0"/>
              <w:spacing w:line="360" w:lineRule="auto"/>
              <w:rPr>
                <w:color w:val="FF0000"/>
              </w:rPr>
            </w:pPr>
          </w:p>
          <w:p>
            <w:pPr>
              <w:adjustRightInd w:val="0"/>
              <w:snapToGrid w:val="0"/>
              <w:spacing w:line="360" w:lineRule="auto"/>
              <w:rPr>
                <w:rFonts w:hint="eastAsia" w:eastAsia="宋体"/>
                <w:color w:val="FF0000"/>
                <w:lang w:eastAsia="zh-CN"/>
              </w:rPr>
            </w:pPr>
          </w:p>
          <w:p>
            <w:pPr>
              <w:adjustRightInd w:val="0"/>
              <w:snapToGrid w:val="0"/>
              <w:spacing w:line="360" w:lineRule="auto"/>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31" w:hRule="atLeast"/>
          <w:jc w:val="center"/>
        </w:trPr>
        <w:tc>
          <w:tcPr>
            <w:tcW w:w="716" w:type="dxa"/>
            <w:vAlign w:val="center"/>
          </w:tcPr>
          <w:p>
            <w:pPr>
              <w:pStyle w:val="80"/>
              <w:adjustRightInd w:val="0"/>
              <w:snapToGrid w:val="0"/>
              <w:spacing w:before="0" w:beforeAutospacing="0" w:after="0" w:afterAutospacing="0" w:line="420" w:lineRule="exact"/>
              <w:jc w:val="center"/>
              <w:rPr>
                <w:rFonts w:ascii="Times New Roman" w:hAnsi="Times New Roman"/>
                <w:color w:val="FF0000"/>
                <w:sz w:val="21"/>
                <w:szCs w:val="21"/>
              </w:rPr>
            </w:pPr>
            <w:r>
              <w:rPr>
                <w:rFonts w:ascii="Times New Roman" w:hAnsi="Times New Roman"/>
                <w:bCs/>
                <w:kern w:val="2"/>
                <w:sz w:val="21"/>
                <w:szCs w:val="21"/>
              </w:rPr>
              <w:t>与项目有关的原有环境污染问题</w:t>
            </w:r>
          </w:p>
        </w:tc>
        <w:tc>
          <w:tcPr>
            <w:tcW w:w="8426" w:type="dxa"/>
            <w:vAlign w:val="center"/>
          </w:tcPr>
          <w:p>
            <w:pPr>
              <w:spacing w:line="360" w:lineRule="auto"/>
              <w:ind w:firstLine="420" w:firstLineChars="200"/>
            </w:pPr>
            <w:r>
              <w:t>一、现有工程履行环境影响评价及竣工环境保护验收</w:t>
            </w:r>
          </w:p>
          <w:p>
            <w:pPr>
              <w:snapToGrid w:val="0"/>
              <w:spacing w:line="420" w:lineRule="exact"/>
            </w:pPr>
            <w:r>
              <w:t xml:space="preserve"> </w:t>
            </w:r>
            <w:r>
              <w:rPr>
                <w:rFonts w:hint="eastAsia"/>
              </w:rPr>
              <w:t xml:space="preserve">      </w:t>
            </w:r>
            <w:r>
              <w:rPr>
                <w:rFonts w:hint="eastAsia"/>
                <w:lang w:eastAsia="zh-CN"/>
              </w:rPr>
              <w:t>淄博艺嘉源纸制品加工厂</w:t>
            </w:r>
            <w:r>
              <w:rPr>
                <w:rFonts w:hint="eastAsia"/>
              </w:rPr>
              <w:t>现有</w:t>
            </w:r>
            <w:r>
              <w:t>项目环评及“三同时”执行情况见</w:t>
            </w:r>
            <w:r>
              <w:rPr>
                <w:rFonts w:hint="eastAsia"/>
              </w:rPr>
              <w:t>下表：</w:t>
            </w:r>
          </w:p>
          <w:p>
            <w:pPr>
              <w:snapToGrid w:val="0"/>
              <w:spacing w:line="420" w:lineRule="exact"/>
              <w:jc w:val="center"/>
            </w:pPr>
            <w:r>
              <w:rPr>
                <w:b/>
                <w:bCs/>
                <w:kern w:val="44"/>
              </w:rPr>
              <w:t>表</w:t>
            </w:r>
            <w:r>
              <w:rPr>
                <w:rFonts w:hint="eastAsia"/>
                <w:b/>
                <w:bCs/>
                <w:kern w:val="44"/>
              </w:rPr>
              <w:t>2-</w:t>
            </w:r>
            <w:r>
              <w:rPr>
                <w:rFonts w:hint="eastAsia"/>
                <w:b/>
                <w:bCs/>
                <w:kern w:val="44"/>
                <w:lang w:val="en-US" w:eastAsia="zh-CN"/>
              </w:rPr>
              <w:t>6</w:t>
            </w:r>
            <w:r>
              <w:rPr>
                <w:b/>
                <w:bCs/>
                <w:kern w:val="44"/>
              </w:rPr>
              <w:t xml:space="preserve"> 现有项目环评及“三同时”执行情况一览表</w:t>
            </w:r>
          </w:p>
          <w:tbl>
            <w:tblPr>
              <w:tblStyle w:val="138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26"/>
              <w:gridCol w:w="1127"/>
              <w:gridCol w:w="1448"/>
              <w:gridCol w:w="1214"/>
              <w:gridCol w:w="1278"/>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1086" w:type="pct"/>
                  <w:vAlign w:val="center"/>
                </w:tcPr>
                <w:p>
                  <w:pPr>
                    <w:adjustRightInd w:val="0"/>
                    <w:snapToGrid w:val="0"/>
                    <w:jc w:val="center"/>
                    <w:rPr>
                      <w:b/>
                      <w:bCs/>
                      <w:sz w:val="18"/>
                      <w:szCs w:val="18"/>
                      <w:highlight w:val="none"/>
                    </w:rPr>
                  </w:pPr>
                  <w:r>
                    <w:rPr>
                      <w:b/>
                      <w:bCs/>
                      <w:sz w:val="18"/>
                      <w:szCs w:val="18"/>
                      <w:highlight w:val="none"/>
                    </w:rPr>
                    <w:t>项目名称</w:t>
                  </w:r>
                </w:p>
              </w:tc>
              <w:tc>
                <w:tcPr>
                  <w:tcW w:w="670" w:type="pct"/>
                  <w:vAlign w:val="center"/>
                </w:tcPr>
                <w:p>
                  <w:pPr>
                    <w:adjustRightInd w:val="0"/>
                    <w:snapToGrid w:val="0"/>
                    <w:jc w:val="center"/>
                    <w:rPr>
                      <w:b/>
                      <w:bCs/>
                      <w:sz w:val="18"/>
                      <w:szCs w:val="18"/>
                      <w:highlight w:val="none"/>
                    </w:rPr>
                  </w:pPr>
                  <w:r>
                    <w:rPr>
                      <w:b/>
                      <w:bCs/>
                      <w:sz w:val="18"/>
                      <w:szCs w:val="18"/>
                      <w:highlight w:val="none"/>
                    </w:rPr>
                    <w:t>审批单位</w:t>
                  </w:r>
                </w:p>
              </w:tc>
              <w:tc>
                <w:tcPr>
                  <w:tcW w:w="861" w:type="pct"/>
                  <w:vAlign w:val="center"/>
                </w:tcPr>
                <w:p>
                  <w:pPr>
                    <w:adjustRightInd w:val="0"/>
                    <w:snapToGrid w:val="0"/>
                    <w:jc w:val="center"/>
                    <w:rPr>
                      <w:b/>
                      <w:bCs/>
                      <w:sz w:val="18"/>
                      <w:szCs w:val="18"/>
                      <w:highlight w:val="none"/>
                    </w:rPr>
                  </w:pPr>
                  <w:r>
                    <w:rPr>
                      <w:b/>
                      <w:bCs/>
                      <w:sz w:val="18"/>
                      <w:szCs w:val="18"/>
                      <w:highlight w:val="none"/>
                    </w:rPr>
                    <w:t>审批时间</w:t>
                  </w:r>
                </w:p>
              </w:tc>
              <w:tc>
                <w:tcPr>
                  <w:tcW w:w="722" w:type="pct"/>
                  <w:vAlign w:val="center"/>
                </w:tcPr>
                <w:p>
                  <w:pPr>
                    <w:adjustRightInd w:val="0"/>
                    <w:snapToGrid w:val="0"/>
                    <w:jc w:val="center"/>
                    <w:rPr>
                      <w:b/>
                      <w:bCs/>
                      <w:sz w:val="18"/>
                      <w:szCs w:val="18"/>
                      <w:highlight w:val="none"/>
                    </w:rPr>
                  </w:pPr>
                  <w:r>
                    <w:rPr>
                      <w:b/>
                      <w:bCs/>
                      <w:sz w:val="18"/>
                      <w:szCs w:val="18"/>
                      <w:highlight w:val="none"/>
                    </w:rPr>
                    <w:t>批复文号</w:t>
                  </w:r>
                </w:p>
              </w:tc>
              <w:tc>
                <w:tcPr>
                  <w:tcW w:w="760" w:type="pct"/>
                  <w:vAlign w:val="center"/>
                </w:tcPr>
                <w:p>
                  <w:pPr>
                    <w:adjustRightInd w:val="0"/>
                    <w:snapToGrid w:val="0"/>
                    <w:jc w:val="center"/>
                    <w:rPr>
                      <w:b/>
                      <w:bCs/>
                      <w:sz w:val="18"/>
                      <w:szCs w:val="18"/>
                      <w:highlight w:val="none"/>
                    </w:rPr>
                  </w:pPr>
                  <w:r>
                    <w:rPr>
                      <w:b/>
                      <w:bCs/>
                      <w:sz w:val="18"/>
                      <w:szCs w:val="18"/>
                      <w:highlight w:val="none"/>
                    </w:rPr>
                    <w:t>验收时间</w:t>
                  </w:r>
                </w:p>
              </w:tc>
              <w:tc>
                <w:tcPr>
                  <w:tcW w:w="897" w:type="pct"/>
                  <w:vAlign w:val="center"/>
                </w:tcPr>
                <w:p>
                  <w:pPr>
                    <w:adjustRightInd w:val="0"/>
                    <w:snapToGrid w:val="0"/>
                    <w:jc w:val="center"/>
                    <w:rPr>
                      <w:b/>
                      <w:bCs/>
                      <w:sz w:val="18"/>
                      <w:szCs w:val="18"/>
                      <w:highlight w:val="none"/>
                    </w:rPr>
                  </w:pPr>
                  <w:r>
                    <w:rPr>
                      <w:b/>
                      <w:bCs/>
                      <w:sz w:val="18"/>
                      <w:szCs w:val="18"/>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086" w:type="pct"/>
                  <w:vAlign w:val="center"/>
                </w:tcPr>
                <w:p>
                  <w:pPr>
                    <w:adjustRightInd w:val="0"/>
                    <w:snapToGrid w:val="0"/>
                    <w:jc w:val="center"/>
                    <w:rPr>
                      <w:sz w:val="18"/>
                      <w:szCs w:val="18"/>
                      <w:highlight w:val="none"/>
                    </w:rPr>
                  </w:pPr>
                  <w:r>
                    <w:rPr>
                      <w:rFonts w:hint="eastAsia"/>
                      <w:sz w:val="18"/>
                      <w:szCs w:val="18"/>
                      <w:highlight w:val="none"/>
                      <w:lang w:eastAsia="zh-CN"/>
                    </w:rPr>
                    <w:t>纸制品加工</w:t>
                  </w:r>
                  <w:r>
                    <w:rPr>
                      <w:sz w:val="18"/>
                      <w:szCs w:val="18"/>
                      <w:highlight w:val="none"/>
                    </w:rPr>
                    <w:t>项目</w:t>
                  </w:r>
                </w:p>
              </w:tc>
              <w:tc>
                <w:tcPr>
                  <w:tcW w:w="670" w:type="pct"/>
                  <w:vAlign w:val="center"/>
                </w:tcPr>
                <w:p>
                  <w:pPr>
                    <w:adjustRightInd w:val="0"/>
                    <w:snapToGrid w:val="0"/>
                    <w:jc w:val="center"/>
                    <w:rPr>
                      <w:rFonts w:hint="eastAsia" w:eastAsia="宋体"/>
                      <w:sz w:val="18"/>
                      <w:szCs w:val="18"/>
                      <w:highlight w:val="none"/>
                      <w:lang w:eastAsia="zh-CN"/>
                    </w:rPr>
                  </w:pPr>
                  <w:r>
                    <w:rPr>
                      <w:rFonts w:hint="eastAsia"/>
                      <w:sz w:val="18"/>
                      <w:szCs w:val="18"/>
                      <w:highlight w:val="none"/>
                      <w:lang w:eastAsia="zh-CN"/>
                    </w:rPr>
                    <w:t>无</w:t>
                  </w:r>
                </w:p>
              </w:tc>
              <w:tc>
                <w:tcPr>
                  <w:tcW w:w="861" w:type="pct"/>
                  <w:vAlign w:val="center"/>
                </w:tcPr>
                <w:p>
                  <w:pPr>
                    <w:adjustRightInd w:val="0"/>
                    <w:snapToGrid w:val="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722" w:type="pct"/>
                  <w:vAlign w:val="center"/>
                </w:tcPr>
                <w:p>
                  <w:pPr>
                    <w:adjustRightInd w:val="0"/>
                    <w:snapToGrid w:val="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760" w:type="pct"/>
                  <w:vAlign w:val="center"/>
                </w:tcPr>
                <w:p>
                  <w:pPr>
                    <w:adjustRightInd w:val="0"/>
                    <w:snapToGrid w:val="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897" w:type="pct"/>
                  <w:vAlign w:val="center"/>
                </w:tcPr>
                <w:p>
                  <w:pPr>
                    <w:adjustRightInd w:val="0"/>
                    <w:snapToGrid w:val="0"/>
                    <w:jc w:val="center"/>
                    <w:rPr>
                      <w:rFonts w:hint="eastAsia" w:eastAsia="宋体"/>
                      <w:sz w:val="18"/>
                      <w:szCs w:val="18"/>
                      <w:highlight w:val="none"/>
                      <w:lang w:eastAsia="zh-CN"/>
                    </w:rPr>
                  </w:pPr>
                  <w:r>
                    <w:rPr>
                      <w:rFonts w:hint="eastAsia"/>
                      <w:spacing w:val="5"/>
                      <w:sz w:val="18"/>
                      <w:szCs w:val="18"/>
                      <w:highlight w:val="none"/>
                      <w:lang w:eastAsia="zh-CN"/>
                    </w:rPr>
                    <w:t>未建设完成，未投产</w:t>
                  </w:r>
                </w:p>
              </w:tc>
            </w:tr>
          </w:tbl>
          <w:p>
            <w:pPr>
              <w:spacing w:line="360" w:lineRule="auto"/>
              <w:ind w:firstLine="420" w:firstLineChars="200"/>
              <w:rPr>
                <w:rFonts w:hint="eastAsia" w:eastAsia="宋体"/>
                <w:highlight w:val="none"/>
                <w:lang w:eastAsia="zh-CN"/>
              </w:rPr>
            </w:pPr>
            <w:r>
              <w:rPr>
                <w:rFonts w:hint="eastAsia"/>
                <w:highlight w:val="none"/>
                <w:lang w:eastAsia="zh-CN"/>
              </w:rPr>
              <w:t>现有纸制品加工项目，不属于</w:t>
            </w:r>
            <w:r>
              <w:rPr>
                <w:rFonts w:hint="default" w:ascii="Times New Roman" w:hAnsi="Times New Roman" w:eastAsia="宋体" w:cs="Times New Roman"/>
                <w:szCs w:val="21"/>
                <w:highlight w:val="none"/>
              </w:rPr>
              <w:t>有涂布、浸渍、印刷、粘胶工艺的</w:t>
            </w:r>
            <w:r>
              <w:rPr>
                <w:rFonts w:hint="eastAsia" w:cs="Times New Roman"/>
                <w:szCs w:val="21"/>
                <w:highlight w:val="none"/>
                <w:lang w:eastAsia="zh-CN"/>
              </w:rPr>
              <w:t>，</w:t>
            </w:r>
            <w:r>
              <w:rPr>
                <w:rFonts w:hint="eastAsia"/>
                <w:highlight w:val="none"/>
                <w:lang w:eastAsia="zh-CN"/>
              </w:rPr>
              <w:t>无废气产生，无需办理环评手续。</w:t>
            </w:r>
          </w:p>
          <w:p>
            <w:pPr>
              <w:spacing w:line="360" w:lineRule="auto"/>
              <w:ind w:firstLine="420" w:firstLineChars="200"/>
              <w:rPr>
                <w:highlight w:val="none"/>
              </w:rPr>
            </w:pPr>
            <w:r>
              <w:rPr>
                <w:highlight w:val="none"/>
              </w:rPr>
              <w:t>二、排污许可手续办理情况</w:t>
            </w:r>
          </w:p>
          <w:p>
            <w:pPr>
              <w:spacing w:line="360" w:lineRule="auto"/>
              <w:ind w:firstLine="420" w:firstLineChars="200"/>
              <w:rPr>
                <w:bCs/>
                <w:highlight w:val="none"/>
              </w:rPr>
            </w:pPr>
            <w:r>
              <w:rPr>
                <w:highlight w:val="none"/>
              </w:rPr>
              <w:t>现有项目</w:t>
            </w:r>
            <w:r>
              <w:rPr>
                <w:rFonts w:hint="eastAsia"/>
                <w:highlight w:val="none"/>
                <w:lang w:eastAsia="zh-CN"/>
              </w:rPr>
              <w:t>未建成，暂未办理排污登记</w:t>
            </w:r>
            <w:r>
              <w:rPr>
                <w:highlight w:val="none"/>
              </w:rPr>
              <w:t>。</w:t>
            </w:r>
          </w:p>
          <w:p>
            <w:pPr>
              <w:spacing w:line="360" w:lineRule="auto"/>
              <w:ind w:firstLine="420" w:firstLineChars="200"/>
              <w:rPr>
                <w:rFonts w:hint="eastAsia" w:eastAsia="宋体"/>
                <w:lang w:eastAsia="zh-CN"/>
              </w:rPr>
            </w:pPr>
            <w:r>
              <w:t>三、现有工程污染物</w:t>
            </w:r>
            <w:r>
              <w:rPr>
                <w:rFonts w:hint="eastAsia"/>
                <w:lang w:eastAsia="zh-CN"/>
              </w:rPr>
              <w:t>排放情况</w:t>
            </w:r>
          </w:p>
          <w:p>
            <w:pPr>
              <w:adjustRightInd w:val="0"/>
              <w:snapToGrid w:val="0"/>
              <w:spacing w:line="360" w:lineRule="auto"/>
              <w:ind w:firstLine="420" w:firstLineChars="200"/>
              <w:rPr>
                <w:rFonts w:hint="eastAsia" w:eastAsia="宋体"/>
                <w:lang w:eastAsia="zh-CN"/>
              </w:rPr>
            </w:pPr>
            <w:r>
              <w:rPr>
                <w:rFonts w:hint="eastAsia"/>
                <w:lang w:eastAsia="zh-CN"/>
              </w:rPr>
              <w:t>因现有项目未建成投产，现有项目无废气、废水、噪声、固废等污染物产生。</w:t>
            </w:r>
          </w:p>
          <w:p>
            <w:pPr>
              <w:adjustRightInd w:val="0"/>
              <w:snapToGrid w:val="0"/>
              <w:spacing w:line="360" w:lineRule="auto"/>
              <w:ind w:firstLine="420" w:firstLineChars="200"/>
            </w:pPr>
            <w:r>
              <w:rPr>
                <w:rFonts w:hint="eastAsia"/>
                <w:lang w:eastAsia="zh-CN"/>
              </w:rPr>
              <w:t>四</w:t>
            </w:r>
            <w:r>
              <w:t>、搬迁后场地遗留问题及拟采取的环保措施</w:t>
            </w:r>
          </w:p>
          <w:p>
            <w:pPr>
              <w:adjustRightInd w:val="0"/>
              <w:snapToGrid w:val="0"/>
              <w:spacing w:line="360" w:lineRule="auto"/>
              <w:ind w:firstLine="420" w:firstLineChars="200"/>
            </w:pPr>
            <w:r>
              <w:t>搬迁后主要遗留问题主要为生产场地内遗留的废旧金属及由于设备搬动对地面造成的硬化地面损伤，使地表土壤裸露。企业搬迁后应对生产场所遗留的废旧物料及废弃设备及时进行处理，并将土壤裸露部位进行硬化，降低后期进驻企业的环境污染风险。</w:t>
            </w: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pStyle w:val="101"/>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ind w:firstLine="420" w:firstLineChars="200"/>
            </w:pPr>
          </w:p>
          <w:p>
            <w:pPr>
              <w:adjustRightInd w:val="0"/>
              <w:snapToGrid w:val="0"/>
              <w:spacing w:line="360" w:lineRule="auto"/>
              <w:rPr>
                <w:color w:val="FF0000"/>
              </w:rPr>
            </w:pPr>
          </w:p>
        </w:tc>
      </w:tr>
    </w:tbl>
    <w:p>
      <w:pPr>
        <w:pStyle w:val="80"/>
        <w:spacing w:line="420" w:lineRule="exact"/>
        <w:jc w:val="center"/>
        <w:rPr>
          <w:rFonts w:ascii="Times New Roman" w:hAnsi="Times New Roman" w:eastAsia="黑体"/>
          <w:snapToGrid w:val="0"/>
          <w:color w:val="FF0000"/>
          <w:sz w:val="36"/>
          <w:szCs w:val="36"/>
        </w:rPr>
        <w:sectPr>
          <w:pgSz w:w="11906" w:h="16838"/>
          <w:pgMar w:top="1701" w:right="1531" w:bottom="1701" w:left="1531" w:header="851" w:footer="851" w:gutter="0"/>
          <w:cols w:space="720" w:num="1"/>
          <w:docGrid w:linePitch="312" w:charSpace="0"/>
        </w:sectPr>
      </w:pPr>
    </w:p>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0" w:type="dxa"/>
            <w:vAlign w:val="center"/>
          </w:tcPr>
          <w:p>
            <w:pPr>
              <w:adjustRightInd w:val="0"/>
              <w:snapToGrid w:val="0"/>
              <w:spacing w:line="420" w:lineRule="exact"/>
              <w:jc w:val="center"/>
              <w:rPr>
                <w:kern w:val="0"/>
              </w:rPr>
            </w:pPr>
            <w:r>
              <w:rPr>
                <w:kern w:val="0"/>
              </w:rPr>
              <w:t>区域</w:t>
            </w:r>
          </w:p>
          <w:p>
            <w:pPr>
              <w:adjustRightInd w:val="0"/>
              <w:snapToGrid w:val="0"/>
              <w:spacing w:line="420" w:lineRule="exact"/>
              <w:jc w:val="center"/>
              <w:rPr>
                <w:kern w:val="0"/>
              </w:rPr>
            </w:pPr>
            <w:r>
              <w:rPr>
                <w:kern w:val="0"/>
              </w:rPr>
              <w:t>环境</w:t>
            </w:r>
          </w:p>
          <w:p>
            <w:pPr>
              <w:adjustRightInd w:val="0"/>
              <w:snapToGrid w:val="0"/>
              <w:spacing w:line="420" w:lineRule="exact"/>
              <w:jc w:val="center"/>
              <w:rPr>
                <w:kern w:val="0"/>
              </w:rPr>
            </w:pPr>
            <w:r>
              <w:rPr>
                <w:kern w:val="0"/>
              </w:rPr>
              <w:t>质量</w:t>
            </w:r>
          </w:p>
          <w:p>
            <w:pPr>
              <w:adjustRightInd w:val="0"/>
              <w:snapToGrid w:val="0"/>
              <w:spacing w:line="420" w:lineRule="exact"/>
              <w:jc w:val="center"/>
              <w:rPr>
                <w:color w:val="FF0000"/>
                <w:kern w:val="0"/>
              </w:rPr>
            </w:pPr>
            <w:r>
              <w:rPr>
                <w:kern w:val="0"/>
              </w:rPr>
              <w:t>现状</w:t>
            </w:r>
          </w:p>
        </w:tc>
        <w:tc>
          <w:tcPr>
            <w:tcW w:w="8190" w:type="dxa"/>
            <w:vAlign w:val="center"/>
          </w:tcPr>
          <w:p>
            <w:pPr>
              <w:pStyle w:val="8"/>
              <w:adjustRightInd w:val="0"/>
              <w:snapToGrid w:val="0"/>
              <w:spacing w:before="0" w:after="0" w:line="360" w:lineRule="auto"/>
              <w:rPr>
                <w:rFonts w:ascii="Times New Roman" w:hAnsi="Times New Roman" w:eastAsia="宋体"/>
                <w:sz w:val="21"/>
                <w:szCs w:val="21"/>
              </w:rPr>
            </w:pPr>
            <w:r>
              <w:rPr>
                <w:rFonts w:ascii="Times New Roman" w:hAnsi="Times New Roman" w:eastAsia="宋体"/>
                <w:sz w:val="21"/>
                <w:szCs w:val="21"/>
              </w:rPr>
              <w:t>一、环境功能区划</w:t>
            </w:r>
          </w:p>
          <w:p>
            <w:pPr>
              <w:adjustRightInd w:val="0"/>
              <w:snapToGrid w:val="0"/>
              <w:spacing w:line="360" w:lineRule="auto"/>
              <w:ind w:firstLine="420" w:firstLineChars="200"/>
            </w:pPr>
            <w:r>
              <w:t>根据《淄博市城区环境空气质量功能区管理规定的通知》（淄政发[1999]113号）、关于印发《淄博市城区噪声标准适用区域划分及管理规定》的通知（淄政办字[2019]43号）及淄博市水资源管理办公室、淄博市水文局发布的《淄博市水功能区划》（2012.2）等文件，项目所在区域属于《环境空气质量标准》（GB3095-2012）及其修改单二级标准适用区；区域噪声执行《声环境质量标准》（GB3096-2008）的2标准；根据《淄博市地下水功能区划分及保护现状评价》，项目所在区的地下水环境执行《地下水质量标准》（GB/T14848-2017）Ⅲ类标准；区域地表水孝妇河执行《地表水环境质量标准》（GB3838-2002）</w:t>
            </w:r>
            <w:r>
              <w:rPr>
                <w:rFonts w:hint="eastAsia"/>
                <w:kern w:val="0"/>
                <w:lang w:val="en-US" w:eastAsia="zh-CN"/>
              </w:rPr>
              <w:t>IV</w:t>
            </w:r>
            <w:r>
              <w:t>类标准。</w:t>
            </w:r>
          </w:p>
          <w:p>
            <w:pPr>
              <w:pStyle w:val="8"/>
              <w:adjustRightInd w:val="0"/>
              <w:snapToGrid w:val="0"/>
              <w:spacing w:before="0" w:after="0" w:line="360" w:lineRule="auto"/>
              <w:rPr>
                <w:rFonts w:ascii="Times New Roman" w:hAnsi="Times New Roman" w:eastAsia="宋体"/>
                <w:sz w:val="21"/>
                <w:szCs w:val="21"/>
              </w:rPr>
            </w:pPr>
            <w:r>
              <w:rPr>
                <w:rFonts w:ascii="Times New Roman" w:hAnsi="Times New Roman" w:eastAsia="宋体"/>
                <w:sz w:val="21"/>
                <w:szCs w:val="21"/>
              </w:rPr>
              <w:t>二、环境质量现状</w:t>
            </w:r>
          </w:p>
          <w:p>
            <w:pPr>
              <w:pStyle w:val="10"/>
              <w:adjustRightInd w:val="0"/>
              <w:snapToGrid w:val="0"/>
              <w:spacing w:before="0" w:after="0" w:line="360" w:lineRule="auto"/>
              <w:ind w:firstLine="422" w:firstLineChars="200"/>
              <w:rPr>
                <w:rFonts w:ascii="Times New Roman" w:hAnsi="Times New Roman"/>
                <w:sz w:val="21"/>
                <w:szCs w:val="21"/>
              </w:rPr>
            </w:pPr>
            <w:r>
              <w:rPr>
                <w:rFonts w:ascii="Times New Roman" w:hAnsi="Times New Roman"/>
                <w:sz w:val="21"/>
                <w:szCs w:val="21"/>
              </w:rPr>
              <w:t>1、环境空气质量</w:t>
            </w:r>
          </w:p>
          <w:p>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pPr>
            <w:r>
              <w:t>根据淄博市生态环境局网站公布的《</w:t>
            </w:r>
            <w:r>
              <w:rPr>
                <w:rFonts w:hint="default" w:ascii="Times New Roman" w:hAnsi="Times New Roman" w:eastAsia="宋体" w:cs="Times New Roman"/>
              </w:rPr>
              <w:t>2022年</w:t>
            </w: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月份</w:t>
            </w:r>
            <w:r>
              <w:rPr>
                <w:rFonts w:hint="eastAsia" w:ascii="Times New Roman" w:hAnsi="Times New Roman" w:eastAsia="宋体" w:cs="Times New Roman"/>
                <w:lang w:val="en-US" w:eastAsia="zh-CN"/>
              </w:rPr>
              <w:t>及全年</w:t>
            </w:r>
            <w:r>
              <w:rPr>
                <w:rFonts w:hint="default" w:ascii="Times New Roman" w:hAnsi="Times New Roman" w:eastAsia="宋体" w:cs="Times New Roman"/>
              </w:rPr>
              <w:t>环境</w:t>
            </w:r>
            <w:r>
              <w:rPr>
                <w:rFonts w:hint="default" w:ascii="Times New Roman" w:hAnsi="Times New Roman" w:eastAsia="宋体" w:cs="Times New Roman"/>
                <w:lang w:eastAsia="zh-CN"/>
              </w:rPr>
              <w:t>空气</w:t>
            </w:r>
            <w:r>
              <w:rPr>
                <w:rFonts w:hint="default" w:ascii="Times New Roman" w:hAnsi="Times New Roman" w:eastAsia="宋体" w:cs="Times New Roman"/>
              </w:rPr>
              <w:t>质量情况通报</w:t>
            </w:r>
            <w:r>
              <w:t>》（202</w:t>
            </w:r>
            <w:r>
              <w:rPr>
                <w:rFonts w:hint="eastAsia"/>
                <w:lang w:val="en-US" w:eastAsia="zh-CN"/>
              </w:rPr>
              <w:t>3</w:t>
            </w:r>
            <w:r>
              <w:t>年第1期）：</w:t>
            </w:r>
            <w:r>
              <w:rPr>
                <w:rFonts w:hint="default" w:ascii="Times New Roman" w:hAnsi="Times New Roman" w:eastAsia="宋体" w:cs="Times New Roman"/>
                <w:sz w:val="21"/>
                <w:szCs w:val="21"/>
                <w:highlight w:val="none"/>
                <w:lang w:val="en-US" w:eastAsia="zh-CN"/>
              </w:rPr>
              <w:t>2022年，</w:t>
            </w:r>
            <w:r>
              <w:rPr>
                <w:rFonts w:hint="default" w:ascii="Times New Roman" w:hAnsi="Times New Roman" w:eastAsia="宋体" w:cs="Times New Roman"/>
                <w:color w:val="auto"/>
                <w:sz w:val="21"/>
                <w:szCs w:val="21"/>
                <w:lang w:eastAsia="zh-CN"/>
              </w:rPr>
              <w:t>全市良好天数</w:t>
            </w:r>
            <w:r>
              <w:rPr>
                <w:rFonts w:hint="default" w:ascii="Times New Roman" w:hAnsi="Times New Roman" w:eastAsia="宋体" w:cs="Times New Roman"/>
                <w:color w:val="auto"/>
                <w:sz w:val="21"/>
                <w:szCs w:val="21"/>
                <w:lang w:val="en-US" w:eastAsia="zh-CN"/>
              </w:rPr>
              <w:t>236</w:t>
            </w:r>
            <w:r>
              <w:rPr>
                <w:rFonts w:hint="default" w:ascii="Times New Roman" w:hAnsi="Times New Roman" w:eastAsia="宋体" w:cs="Times New Roman"/>
                <w:color w:val="auto"/>
                <w:sz w:val="21"/>
                <w:szCs w:val="21"/>
                <w:lang w:eastAsia="zh-CN"/>
              </w:rPr>
              <w:t>天</w:t>
            </w:r>
            <w:r>
              <w:rPr>
                <w:rFonts w:hint="default" w:ascii="Times New Roman" w:hAnsi="Times New Roman" w:eastAsia="宋体" w:cs="Times New Roman"/>
                <w:sz w:val="21"/>
                <w:szCs w:val="21"/>
              </w:rPr>
              <w:t>（国控）</w:t>
            </w:r>
            <w:r>
              <w:rPr>
                <w:rFonts w:hint="default" w:ascii="Times New Roman" w:hAnsi="Times New Roman" w:eastAsia="宋体" w:cs="Times New Roman"/>
                <w:color w:val="auto"/>
                <w:sz w:val="21"/>
                <w:szCs w:val="21"/>
                <w:lang w:eastAsia="zh-CN"/>
              </w:rPr>
              <w:t>，同比增加</w:t>
            </w:r>
            <w:r>
              <w:rPr>
                <w:rFonts w:hint="default" w:ascii="Times New Roman" w:hAnsi="Times New Roman" w:eastAsia="宋体" w:cs="Times New Roman"/>
                <w:color w:val="auto"/>
                <w:sz w:val="21"/>
                <w:szCs w:val="21"/>
                <w:lang w:val="en-US" w:eastAsia="zh-CN"/>
              </w:rPr>
              <w:t>14</w:t>
            </w:r>
            <w:r>
              <w:rPr>
                <w:rFonts w:hint="default" w:ascii="Times New Roman" w:hAnsi="Times New Roman" w:eastAsia="宋体" w:cs="Times New Roman"/>
                <w:color w:val="auto"/>
                <w:sz w:val="21"/>
                <w:szCs w:val="21"/>
                <w:lang w:eastAsia="zh-CN"/>
              </w:rPr>
              <w:t>天。重污染天数</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eastAsia="zh-CN"/>
              </w:rPr>
              <w:t>天，同比减少</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天。其中，二氧化硫（SO</w:t>
            </w:r>
            <w:r>
              <w:rPr>
                <w:rFonts w:hint="default" w:ascii="Times New Roman" w:hAnsi="Times New Roman" w:eastAsia="宋体" w:cs="Times New Roman"/>
                <w:color w:val="auto"/>
                <w:sz w:val="21"/>
                <w:szCs w:val="21"/>
                <w:vertAlign w:val="subscript"/>
                <w:lang w:eastAsia="zh-CN"/>
              </w:rPr>
              <w:t>2</w:t>
            </w:r>
            <w:r>
              <w:rPr>
                <w:rFonts w:hint="default" w:ascii="Times New Roman" w:hAnsi="Times New Roman" w:eastAsia="宋体" w:cs="Times New Roman"/>
                <w:color w:val="auto"/>
                <w:sz w:val="21"/>
                <w:szCs w:val="21"/>
                <w:lang w:eastAsia="zh-CN"/>
              </w:rPr>
              <w:t>）14微克/立方米，</w:t>
            </w:r>
            <w:r>
              <w:rPr>
                <w:rFonts w:hint="default" w:ascii="Times New Roman" w:hAnsi="Times New Roman" w:eastAsia="宋体" w:cs="Times New Roman"/>
                <w:color w:val="auto"/>
                <w:sz w:val="21"/>
                <w:szCs w:val="21"/>
                <w:highlight w:val="none"/>
                <w:lang w:val="en-US" w:eastAsia="zh-CN"/>
              </w:rPr>
              <w:t>同比持平</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二氧化氮（NO</w:t>
            </w:r>
            <w:r>
              <w:rPr>
                <w:rFonts w:hint="default" w:ascii="Times New Roman" w:hAnsi="Times New Roman" w:eastAsia="宋体" w:cs="Times New Roman"/>
                <w:color w:val="auto"/>
                <w:sz w:val="21"/>
                <w:szCs w:val="21"/>
                <w:vertAlign w:val="subscript"/>
                <w:lang w:eastAsia="zh-CN"/>
              </w:rPr>
              <w:t>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33</w:t>
            </w:r>
            <w:r>
              <w:rPr>
                <w:rFonts w:hint="default" w:ascii="Times New Roman" w:hAnsi="Times New Roman" w:eastAsia="宋体" w:cs="Times New Roman"/>
                <w:color w:val="auto"/>
                <w:sz w:val="21"/>
                <w:szCs w:val="21"/>
                <w:lang w:eastAsia="zh-CN"/>
              </w:rPr>
              <w:t>微克/立方米，同比改善</w:t>
            </w:r>
            <w:r>
              <w:rPr>
                <w:rFonts w:hint="default" w:ascii="Times New Roman" w:hAnsi="Times New Roman" w:eastAsia="宋体" w:cs="Times New Roman"/>
                <w:color w:val="auto"/>
                <w:sz w:val="21"/>
                <w:szCs w:val="21"/>
                <w:lang w:val="en-US" w:eastAsia="zh-CN"/>
              </w:rPr>
              <w:t>5.7</w:t>
            </w:r>
            <w:r>
              <w:rPr>
                <w:rFonts w:hint="default" w:ascii="Times New Roman" w:hAnsi="Times New Roman" w:eastAsia="宋体" w:cs="Times New Roman"/>
                <w:color w:val="auto"/>
                <w:sz w:val="21"/>
                <w:szCs w:val="21"/>
                <w:lang w:eastAsia="zh-CN"/>
              </w:rPr>
              <w:t>%；可吸入颗粒物（PM</w:t>
            </w:r>
            <w:r>
              <w:rPr>
                <w:rFonts w:hint="default" w:ascii="Times New Roman" w:hAnsi="Times New Roman" w:eastAsia="宋体" w:cs="Times New Roman"/>
                <w:color w:val="auto"/>
                <w:sz w:val="21"/>
                <w:szCs w:val="21"/>
                <w:vertAlign w:val="subscript"/>
                <w:lang w:eastAsia="zh-CN"/>
              </w:rPr>
              <w:t>10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75</w:t>
            </w:r>
            <w:r>
              <w:rPr>
                <w:rFonts w:hint="default" w:ascii="Times New Roman" w:hAnsi="Times New Roman" w:eastAsia="宋体" w:cs="Times New Roman"/>
                <w:color w:val="auto"/>
                <w:sz w:val="21"/>
                <w:szCs w:val="21"/>
                <w:lang w:eastAsia="zh-CN"/>
              </w:rPr>
              <w:t>微克/立方米，同比改善</w:t>
            </w:r>
            <w:r>
              <w:rPr>
                <w:rFonts w:hint="default" w:ascii="Times New Roman" w:hAnsi="Times New Roman" w:eastAsia="宋体" w:cs="Times New Roman"/>
                <w:color w:val="auto"/>
                <w:sz w:val="21"/>
                <w:szCs w:val="21"/>
                <w:lang w:val="en-US" w:eastAsia="zh-CN"/>
              </w:rPr>
              <w:t>2.6</w:t>
            </w:r>
            <w:r>
              <w:rPr>
                <w:rFonts w:hint="default" w:ascii="Times New Roman" w:hAnsi="Times New Roman" w:eastAsia="宋体" w:cs="Times New Roman"/>
                <w:color w:val="auto"/>
                <w:sz w:val="21"/>
                <w:szCs w:val="21"/>
                <w:lang w:eastAsia="zh-CN"/>
              </w:rPr>
              <w:t>%；细颗粒物（PM</w:t>
            </w:r>
            <w:r>
              <w:rPr>
                <w:rFonts w:hint="default" w:ascii="Times New Roman" w:hAnsi="Times New Roman" w:eastAsia="宋体" w:cs="Times New Roman"/>
                <w:color w:val="auto"/>
                <w:sz w:val="21"/>
                <w:szCs w:val="21"/>
                <w:vertAlign w:val="subscript"/>
                <w:lang w:eastAsia="zh-CN"/>
              </w:rPr>
              <w:t>2.5</w:t>
            </w:r>
            <w:r>
              <w:rPr>
                <w:rFonts w:hint="default" w:ascii="Times New Roman" w:hAnsi="Times New Roman" w:eastAsia="宋体" w:cs="Times New Roman"/>
                <w:color w:val="auto"/>
                <w:sz w:val="21"/>
                <w:szCs w:val="21"/>
                <w:lang w:eastAsia="zh-CN"/>
              </w:rPr>
              <w:t>）4</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微克/立方米</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同比改善</w:t>
            </w:r>
            <w:r>
              <w:rPr>
                <w:rFonts w:hint="default" w:ascii="Times New Roman" w:hAnsi="Times New Roman" w:eastAsia="宋体" w:cs="Times New Roman"/>
                <w:color w:val="auto"/>
                <w:sz w:val="21"/>
                <w:szCs w:val="21"/>
                <w:lang w:val="en-US" w:eastAsia="zh-CN"/>
              </w:rPr>
              <w:t>8.5</w:t>
            </w:r>
            <w:r>
              <w:rPr>
                <w:rFonts w:hint="default" w:ascii="Times New Roman" w:hAnsi="Times New Roman" w:eastAsia="宋体" w:cs="Times New Roman"/>
                <w:color w:val="auto"/>
                <w:sz w:val="21"/>
                <w:szCs w:val="21"/>
                <w:lang w:eastAsia="zh-CN"/>
              </w:rPr>
              <w:t>%；一氧化碳（CO）1.</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毫克/立方米，同比改善</w:t>
            </w:r>
            <w:r>
              <w:rPr>
                <w:rFonts w:hint="default" w:ascii="Times New Roman" w:hAnsi="Times New Roman" w:eastAsia="宋体" w:cs="Times New Roman"/>
                <w:color w:val="auto"/>
                <w:sz w:val="21"/>
                <w:szCs w:val="21"/>
                <w:lang w:val="en-US" w:eastAsia="zh-CN"/>
              </w:rPr>
              <w:t>18.8</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sz w:val="21"/>
                <w:szCs w:val="21"/>
              </w:rPr>
              <w:t>臭氧（O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192</w:t>
            </w:r>
            <w:r>
              <w:rPr>
                <w:rFonts w:hint="default" w:ascii="Times New Roman" w:hAnsi="Times New Roman" w:eastAsia="宋体" w:cs="Times New Roman"/>
                <w:sz w:val="21"/>
                <w:szCs w:val="21"/>
              </w:rPr>
              <w:t>微克/立方米，同比</w:t>
            </w:r>
            <w:r>
              <w:rPr>
                <w:rFonts w:hint="default" w:ascii="Times New Roman" w:hAnsi="Times New Roman" w:eastAsia="宋体" w:cs="Times New Roman"/>
                <w:sz w:val="21"/>
                <w:szCs w:val="21"/>
                <w:lang w:eastAsia="zh-CN"/>
              </w:rPr>
              <w:t>恶化</w:t>
            </w:r>
            <w:r>
              <w:rPr>
                <w:rFonts w:hint="default" w:ascii="Times New Roman" w:hAnsi="Times New Roman" w:eastAsia="宋体" w:cs="Times New Roman"/>
                <w:sz w:val="21"/>
                <w:szCs w:val="21"/>
                <w:lang w:val="en-US" w:eastAsia="zh-CN"/>
              </w:rPr>
              <w:t>4.9</w:t>
            </w:r>
            <w:r>
              <w:rPr>
                <w:rFonts w:hint="default" w:ascii="Times New Roman" w:hAnsi="Times New Roman" w:eastAsia="宋体" w:cs="Times New Roman"/>
                <w:sz w:val="21"/>
                <w:szCs w:val="21"/>
              </w:rPr>
              <w:t>%</w:t>
            </w:r>
            <w:r>
              <w:rPr>
                <w:rFonts w:hint="default" w:ascii="Times New Roman" w:hAnsi="Times New Roman" w:eastAsia="宋体" w:cs="Times New Roman"/>
                <w:color w:val="auto"/>
                <w:sz w:val="21"/>
                <w:szCs w:val="21"/>
                <w:lang w:eastAsia="zh-CN"/>
              </w:rPr>
              <w:t>。全市综合指数为</w:t>
            </w:r>
            <w:r>
              <w:rPr>
                <w:rFonts w:hint="default" w:ascii="Times New Roman" w:hAnsi="Times New Roman" w:eastAsia="宋体" w:cs="Times New Roman"/>
                <w:color w:val="auto"/>
                <w:sz w:val="21"/>
                <w:szCs w:val="21"/>
                <w:lang w:val="en-US" w:eastAsia="zh-CN"/>
              </w:rPr>
              <w:t>4.87，</w:t>
            </w:r>
            <w:r>
              <w:rPr>
                <w:rFonts w:hint="default" w:ascii="Times New Roman" w:hAnsi="Times New Roman" w:eastAsia="宋体" w:cs="Times New Roman"/>
                <w:color w:val="auto"/>
                <w:sz w:val="21"/>
                <w:szCs w:val="21"/>
                <w:lang w:eastAsia="zh-CN"/>
              </w:rPr>
              <w:t>同比改善</w:t>
            </w:r>
            <w:r>
              <w:rPr>
                <w:rFonts w:hint="default" w:ascii="Times New Roman" w:hAnsi="Times New Roman" w:eastAsia="宋体" w:cs="Times New Roman"/>
                <w:color w:val="auto"/>
                <w:sz w:val="21"/>
                <w:szCs w:val="21"/>
                <w:lang w:val="en-US" w:eastAsia="zh-CN"/>
              </w:rPr>
              <w:t>4.3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sz w:val="21"/>
                <w:szCs w:val="21"/>
                <w:highlight w:val="none"/>
                <w:lang w:val="en-US" w:eastAsia="zh-CN"/>
              </w:rPr>
              <w:t>。</w:t>
            </w:r>
          </w:p>
          <w:p>
            <w:pPr>
              <w:spacing w:line="360" w:lineRule="auto"/>
              <w:ind w:firstLine="420" w:firstLineChars="200"/>
            </w:pPr>
            <w:r>
              <w:t>其中，淄川区空气环境质量指标如下：</w:t>
            </w:r>
          </w:p>
          <w:p>
            <w:pPr>
              <w:ind w:right="34" w:firstLine="422" w:firstLineChars="200"/>
              <w:jc w:val="center"/>
              <w:rPr>
                <w:b/>
              </w:rPr>
            </w:pPr>
            <w:r>
              <w:rPr>
                <w:b/>
              </w:rPr>
              <w:t>表3-1 环境空气质量状况一览表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2236"/>
              <w:gridCol w:w="1249"/>
              <w:gridCol w:w="1749"/>
              <w:gridCol w:w="1497"/>
              <w:gridCol w:w="1230"/>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90" w:hRule="atLeast"/>
                <w:jc w:val="center"/>
              </w:trPr>
              <w:tc>
                <w:tcPr>
                  <w:tcW w:w="1404" w:type="pct"/>
                  <w:vAlign w:val="center"/>
                </w:tcPr>
                <w:p>
                  <w:pPr>
                    <w:widowControl/>
                    <w:adjustRightInd w:val="0"/>
                    <w:snapToGrid w:val="0"/>
                    <w:jc w:val="center"/>
                    <w:rPr>
                      <w:kern w:val="0"/>
                      <w:sz w:val="18"/>
                      <w:szCs w:val="18"/>
                    </w:rPr>
                  </w:pPr>
                  <w:r>
                    <w:rPr>
                      <w:kern w:val="0"/>
                      <w:sz w:val="18"/>
                      <w:szCs w:val="18"/>
                    </w:rPr>
                    <w:t>项目</w:t>
                  </w:r>
                </w:p>
              </w:tc>
              <w:tc>
                <w:tcPr>
                  <w:tcW w:w="784" w:type="pct"/>
                  <w:vAlign w:val="center"/>
                </w:tcPr>
                <w:p>
                  <w:pPr>
                    <w:adjustRightInd w:val="0"/>
                    <w:snapToGrid w:val="0"/>
                    <w:jc w:val="center"/>
                    <w:rPr>
                      <w:sz w:val="18"/>
                      <w:szCs w:val="18"/>
                    </w:rPr>
                  </w:pPr>
                  <w:r>
                    <w:rPr>
                      <w:sz w:val="18"/>
                      <w:szCs w:val="18"/>
                    </w:rPr>
                    <w:t>SO</w:t>
                  </w:r>
                  <w:r>
                    <w:rPr>
                      <w:sz w:val="18"/>
                      <w:szCs w:val="18"/>
                      <w:vertAlign w:val="subscript"/>
                    </w:rPr>
                    <w:t>2</w:t>
                  </w:r>
                </w:p>
              </w:tc>
              <w:tc>
                <w:tcPr>
                  <w:tcW w:w="1098" w:type="pct"/>
                  <w:vAlign w:val="center"/>
                </w:tcPr>
                <w:p>
                  <w:pPr>
                    <w:adjustRightInd w:val="0"/>
                    <w:snapToGrid w:val="0"/>
                    <w:jc w:val="center"/>
                    <w:rPr>
                      <w:sz w:val="18"/>
                      <w:szCs w:val="18"/>
                    </w:rPr>
                  </w:pPr>
                  <w:r>
                    <w:rPr>
                      <w:sz w:val="18"/>
                      <w:szCs w:val="18"/>
                    </w:rPr>
                    <w:t>NO</w:t>
                  </w:r>
                  <w:r>
                    <w:rPr>
                      <w:sz w:val="18"/>
                      <w:szCs w:val="18"/>
                      <w:vertAlign w:val="subscript"/>
                    </w:rPr>
                    <w:t>2</w:t>
                  </w:r>
                </w:p>
              </w:tc>
              <w:tc>
                <w:tcPr>
                  <w:tcW w:w="940" w:type="pct"/>
                  <w:vAlign w:val="center"/>
                </w:tcPr>
                <w:p>
                  <w:pPr>
                    <w:adjustRightInd w:val="0"/>
                    <w:snapToGrid w:val="0"/>
                    <w:jc w:val="center"/>
                    <w:rPr>
                      <w:sz w:val="18"/>
                      <w:szCs w:val="18"/>
                    </w:rPr>
                  </w:pPr>
                  <w:r>
                    <w:rPr>
                      <w:sz w:val="18"/>
                      <w:szCs w:val="18"/>
                    </w:rPr>
                    <w:t>PM</w:t>
                  </w:r>
                  <w:r>
                    <w:rPr>
                      <w:sz w:val="18"/>
                      <w:szCs w:val="18"/>
                      <w:vertAlign w:val="subscript"/>
                    </w:rPr>
                    <w:t>10</w:t>
                  </w:r>
                </w:p>
              </w:tc>
              <w:tc>
                <w:tcPr>
                  <w:tcW w:w="772" w:type="pct"/>
                  <w:vAlign w:val="center"/>
                </w:tcPr>
                <w:p>
                  <w:pPr>
                    <w:adjustRightInd w:val="0"/>
                    <w:snapToGrid w:val="0"/>
                    <w:jc w:val="center"/>
                    <w:rPr>
                      <w:sz w:val="18"/>
                      <w:szCs w:val="18"/>
                    </w:rPr>
                  </w:pPr>
                  <w:r>
                    <w:rPr>
                      <w:sz w:val="18"/>
                      <w:szCs w:val="18"/>
                    </w:rPr>
                    <w:t>PM</w:t>
                  </w:r>
                  <w:r>
                    <w:rPr>
                      <w:sz w:val="18"/>
                      <w:szCs w:val="18"/>
                      <w:vertAlign w:val="subscript"/>
                    </w:rPr>
                    <w:t>2.5</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1404" w:type="pct"/>
                  <w:vAlign w:val="center"/>
                </w:tcPr>
                <w:p>
                  <w:pPr>
                    <w:widowControl/>
                    <w:adjustRightInd w:val="0"/>
                    <w:snapToGrid w:val="0"/>
                    <w:jc w:val="center"/>
                    <w:rPr>
                      <w:kern w:val="0"/>
                      <w:sz w:val="18"/>
                      <w:szCs w:val="18"/>
                    </w:rPr>
                  </w:pPr>
                  <w:r>
                    <w:rPr>
                      <w:kern w:val="0"/>
                      <w:sz w:val="18"/>
                      <w:szCs w:val="18"/>
                    </w:rPr>
                    <w:t>浓度，mg/m</w:t>
                  </w:r>
                  <w:r>
                    <w:rPr>
                      <w:kern w:val="0"/>
                      <w:sz w:val="18"/>
                      <w:szCs w:val="18"/>
                      <w:vertAlign w:val="superscript"/>
                    </w:rPr>
                    <w:t>3</w:t>
                  </w:r>
                </w:p>
              </w:tc>
              <w:tc>
                <w:tcPr>
                  <w:tcW w:w="784" w:type="pct"/>
                  <w:vAlign w:val="center"/>
                </w:tcPr>
                <w:p>
                  <w:pPr>
                    <w:adjustRightInd w:val="0"/>
                    <w:snapToGrid w:val="0"/>
                    <w:jc w:val="center"/>
                    <w:rPr>
                      <w:rFonts w:hint="eastAsia" w:eastAsia="宋体"/>
                      <w:sz w:val="18"/>
                      <w:szCs w:val="18"/>
                      <w:lang w:eastAsia="zh-CN"/>
                    </w:rPr>
                  </w:pPr>
                  <w:r>
                    <w:rPr>
                      <w:sz w:val="18"/>
                      <w:szCs w:val="18"/>
                    </w:rPr>
                    <w:t>0.01</w:t>
                  </w:r>
                  <w:r>
                    <w:rPr>
                      <w:rFonts w:hint="eastAsia"/>
                      <w:sz w:val="18"/>
                      <w:szCs w:val="18"/>
                      <w:lang w:val="en-US" w:eastAsia="zh-CN"/>
                    </w:rPr>
                    <w:t>5</w:t>
                  </w:r>
                </w:p>
              </w:tc>
              <w:tc>
                <w:tcPr>
                  <w:tcW w:w="1098" w:type="pct"/>
                  <w:vAlign w:val="center"/>
                </w:tcPr>
                <w:p>
                  <w:pPr>
                    <w:adjustRightInd w:val="0"/>
                    <w:snapToGrid w:val="0"/>
                    <w:jc w:val="center"/>
                    <w:rPr>
                      <w:rFonts w:hint="eastAsia" w:eastAsia="宋体"/>
                      <w:sz w:val="18"/>
                      <w:szCs w:val="18"/>
                      <w:lang w:eastAsia="zh-CN"/>
                    </w:rPr>
                  </w:pPr>
                  <w:r>
                    <w:rPr>
                      <w:sz w:val="18"/>
                      <w:szCs w:val="18"/>
                    </w:rPr>
                    <w:t>0.03</w:t>
                  </w:r>
                  <w:r>
                    <w:rPr>
                      <w:rFonts w:hint="eastAsia"/>
                      <w:sz w:val="18"/>
                      <w:szCs w:val="18"/>
                      <w:lang w:val="en-US" w:eastAsia="zh-CN"/>
                    </w:rPr>
                    <w:t>2</w:t>
                  </w:r>
                </w:p>
              </w:tc>
              <w:tc>
                <w:tcPr>
                  <w:tcW w:w="940" w:type="pct"/>
                  <w:vAlign w:val="center"/>
                </w:tcPr>
                <w:p>
                  <w:pPr>
                    <w:adjustRightInd w:val="0"/>
                    <w:snapToGrid w:val="0"/>
                    <w:jc w:val="center"/>
                    <w:rPr>
                      <w:rFonts w:hint="default" w:eastAsia="宋体"/>
                      <w:sz w:val="18"/>
                      <w:szCs w:val="18"/>
                      <w:lang w:val="en-US" w:eastAsia="zh-CN"/>
                    </w:rPr>
                  </w:pPr>
                  <w:r>
                    <w:rPr>
                      <w:sz w:val="18"/>
                      <w:szCs w:val="18"/>
                    </w:rPr>
                    <w:t>0.0</w:t>
                  </w:r>
                  <w:r>
                    <w:rPr>
                      <w:rFonts w:hint="eastAsia"/>
                      <w:sz w:val="18"/>
                      <w:szCs w:val="18"/>
                      <w:lang w:val="en-US" w:eastAsia="zh-CN"/>
                    </w:rPr>
                    <w:t>78</w:t>
                  </w:r>
                </w:p>
              </w:tc>
              <w:tc>
                <w:tcPr>
                  <w:tcW w:w="772" w:type="pct"/>
                  <w:vAlign w:val="center"/>
                </w:tcPr>
                <w:p>
                  <w:pPr>
                    <w:adjustRightInd w:val="0"/>
                    <w:snapToGrid w:val="0"/>
                    <w:jc w:val="center"/>
                    <w:rPr>
                      <w:rFonts w:hint="eastAsia" w:eastAsia="宋体"/>
                      <w:sz w:val="18"/>
                      <w:szCs w:val="18"/>
                      <w:lang w:eastAsia="zh-CN"/>
                    </w:rPr>
                  </w:pPr>
                  <w:r>
                    <w:rPr>
                      <w:sz w:val="18"/>
                      <w:szCs w:val="18"/>
                    </w:rPr>
                    <w:t>0.04</w:t>
                  </w: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255" w:hRule="atLeast"/>
                <w:jc w:val="center"/>
              </w:trPr>
              <w:tc>
                <w:tcPr>
                  <w:tcW w:w="1404" w:type="pct"/>
                  <w:vAlign w:val="center"/>
                </w:tcPr>
                <w:p>
                  <w:pPr>
                    <w:widowControl/>
                    <w:adjustRightInd w:val="0"/>
                    <w:snapToGrid w:val="0"/>
                    <w:jc w:val="center"/>
                    <w:rPr>
                      <w:kern w:val="0"/>
                      <w:sz w:val="18"/>
                      <w:szCs w:val="18"/>
                    </w:rPr>
                  </w:pPr>
                  <w:r>
                    <w:rPr>
                      <w:kern w:val="0"/>
                      <w:sz w:val="18"/>
                      <w:szCs w:val="18"/>
                    </w:rPr>
                    <w:t>年均浓度限值，mg/m</w:t>
                  </w:r>
                  <w:r>
                    <w:rPr>
                      <w:kern w:val="0"/>
                      <w:sz w:val="18"/>
                      <w:szCs w:val="18"/>
                      <w:vertAlign w:val="superscript"/>
                    </w:rPr>
                    <w:t>3</w:t>
                  </w:r>
                </w:p>
              </w:tc>
              <w:tc>
                <w:tcPr>
                  <w:tcW w:w="784" w:type="pct"/>
                  <w:vAlign w:val="center"/>
                </w:tcPr>
                <w:p>
                  <w:pPr>
                    <w:adjustRightInd w:val="0"/>
                    <w:snapToGrid w:val="0"/>
                    <w:jc w:val="center"/>
                    <w:rPr>
                      <w:sz w:val="18"/>
                      <w:szCs w:val="18"/>
                    </w:rPr>
                  </w:pPr>
                  <w:r>
                    <w:rPr>
                      <w:sz w:val="18"/>
                      <w:szCs w:val="18"/>
                    </w:rPr>
                    <w:t>0.06</w:t>
                  </w:r>
                </w:p>
              </w:tc>
              <w:tc>
                <w:tcPr>
                  <w:tcW w:w="1098" w:type="pct"/>
                  <w:vAlign w:val="center"/>
                </w:tcPr>
                <w:p>
                  <w:pPr>
                    <w:adjustRightInd w:val="0"/>
                    <w:snapToGrid w:val="0"/>
                    <w:jc w:val="center"/>
                    <w:rPr>
                      <w:sz w:val="18"/>
                      <w:szCs w:val="18"/>
                    </w:rPr>
                  </w:pPr>
                  <w:r>
                    <w:rPr>
                      <w:sz w:val="18"/>
                      <w:szCs w:val="18"/>
                    </w:rPr>
                    <w:t>0.04</w:t>
                  </w:r>
                </w:p>
              </w:tc>
              <w:tc>
                <w:tcPr>
                  <w:tcW w:w="940" w:type="pct"/>
                  <w:vAlign w:val="center"/>
                </w:tcPr>
                <w:p>
                  <w:pPr>
                    <w:adjustRightInd w:val="0"/>
                    <w:snapToGrid w:val="0"/>
                    <w:jc w:val="center"/>
                    <w:rPr>
                      <w:sz w:val="18"/>
                      <w:szCs w:val="18"/>
                    </w:rPr>
                  </w:pPr>
                  <w:r>
                    <w:rPr>
                      <w:sz w:val="18"/>
                      <w:szCs w:val="18"/>
                    </w:rPr>
                    <w:t>0.07</w:t>
                  </w:r>
                </w:p>
              </w:tc>
              <w:tc>
                <w:tcPr>
                  <w:tcW w:w="772" w:type="pct"/>
                  <w:vAlign w:val="center"/>
                </w:tcPr>
                <w:p>
                  <w:pPr>
                    <w:adjustRightInd w:val="0"/>
                    <w:snapToGrid w:val="0"/>
                    <w:jc w:val="center"/>
                    <w:rPr>
                      <w:sz w:val="18"/>
                      <w:szCs w:val="18"/>
                    </w:rPr>
                  </w:pPr>
                  <w:r>
                    <w:rPr>
                      <w:sz w:val="18"/>
                      <w:szCs w:val="18"/>
                    </w:rPr>
                    <w:t>0.035</w:t>
                  </w:r>
                </w:p>
              </w:tc>
            </w:tr>
          </w:tbl>
          <w:p>
            <w:pPr>
              <w:adjustRightInd w:val="0"/>
              <w:snapToGrid w:val="0"/>
              <w:spacing w:line="360" w:lineRule="auto"/>
              <w:ind w:firstLine="420" w:firstLineChars="200"/>
            </w:pPr>
            <w:r>
              <w:rPr>
                <w:kern w:val="0"/>
              </w:rPr>
              <w:t>根据上表，</w:t>
            </w:r>
            <w:r>
              <w:rPr>
                <w:rFonts w:hint="eastAsia"/>
                <w:kern w:val="0"/>
                <w:lang w:eastAsia="zh-CN"/>
              </w:rPr>
              <w:t>淄川区</w:t>
            </w:r>
            <w:r>
              <w:t>PM</w:t>
            </w:r>
            <w:r>
              <w:rPr>
                <w:vertAlign w:val="subscript"/>
              </w:rPr>
              <w:t>2.5</w:t>
            </w:r>
            <w:r>
              <w:t>和PM</w:t>
            </w:r>
            <w:r>
              <w:rPr>
                <w:vertAlign w:val="subscript"/>
              </w:rPr>
              <w:t>10</w:t>
            </w:r>
            <w:r>
              <w:t>年均浓度不</w:t>
            </w:r>
            <w:r>
              <w:rPr>
                <w:kern w:val="0"/>
              </w:rPr>
              <w:t>满足《环境空气质量标准》(GB3095-2012)</w:t>
            </w:r>
            <w:r>
              <w:t>及其修改单二级标准限值要求</w:t>
            </w:r>
            <w:r>
              <w:rPr>
                <w:kern w:val="0"/>
              </w:rPr>
              <w:t>。</w:t>
            </w:r>
            <w:r>
              <w:t>根据《淄博市“十四五”生态环境保护规划》（淄政字〔2021〕107号），淄博市将开展一系列大气污染治理工程改善区域环境，推动NOx深度治理工程、VOCs综合治理工程、O</w:t>
            </w:r>
            <w:r>
              <w:rPr>
                <w:vertAlign w:val="subscript"/>
              </w:rPr>
              <w:t>3</w:t>
            </w:r>
            <w:r>
              <w:t>和PM</w:t>
            </w:r>
            <w:r>
              <w:rPr>
                <w:vertAlign w:val="subscript"/>
              </w:rPr>
              <w:t>2.5</w:t>
            </w:r>
            <w:r>
              <w:t>协同管控体系，到2025年，PM</w:t>
            </w:r>
            <w:r>
              <w:rPr>
                <w:vertAlign w:val="subscript"/>
              </w:rPr>
              <w:t>2.5</w:t>
            </w:r>
            <w:r>
              <w:t>浓度达到全省中游水平，空气质量优良率达到全省中游水平，综合指数排名摆脱全国后20名、全省后3名。区域环境空气质量将持续改善。</w:t>
            </w:r>
          </w:p>
          <w:p>
            <w:pPr>
              <w:adjustRightInd w:val="0"/>
              <w:snapToGrid w:val="0"/>
              <w:spacing w:line="360" w:lineRule="auto"/>
              <w:ind w:firstLine="422" w:firstLineChars="200"/>
              <w:rPr>
                <w:b/>
                <w:bCs/>
              </w:rPr>
            </w:pPr>
            <w:r>
              <w:rPr>
                <w:b/>
                <w:bCs/>
              </w:rPr>
              <w:t>2、地表水环境质量</w:t>
            </w:r>
          </w:p>
          <w:p>
            <w:pPr>
              <w:tabs>
                <w:tab w:val="left" w:pos="600"/>
              </w:tabs>
              <w:adjustRightInd w:val="0"/>
              <w:snapToGrid w:val="0"/>
              <w:spacing w:line="360" w:lineRule="auto"/>
              <w:ind w:firstLine="420" w:firstLineChars="200"/>
            </w:pPr>
            <w:r>
              <w:t>该区域地表水为孝妇河，该段功能区划分为地表水</w:t>
            </w:r>
            <w:r>
              <w:rPr>
                <w:rFonts w:hint="eastAsia"/>
                <w:lang w:val="en-US" w:eastAsia="zh-CN"/>
              </w:rPr>
              <w:t>IV</w:t>
            </w:r>
            <w:r>
              <w:t>类。</w:t>
            </w:r>
            <w:r>
              <w:rPr>
                <w:color w:val="auto"/>
                <w:szCs w:val="21"/>
              </w:rPr>
              <w:t>根据《</w:t>
            </w:r>
            <w:r>
              <w:rPr>
                <w:rFonts w:hint="eastAsia"/>
                <w:color w:val="auto"/>
                <w:szCs w:val="21"/>
              </w:rPr>
              <w:t>2022 年1-1</w:t>
            </w:r>
            <w:r>
              <w:rPr>
                <w:rFonts w:hint="eastAsia"/>
                <w:color w:val="auto"/>
                <w:szCs w:val="21"/>
                <w:lang w:val="en-US" w:eastAsia="zh-CN"/>
              </w:rPr>
              <w:t>1</w:t>
            </w:r>
            <w:r>
              <w:rPr>
                <w:rFonts w:hint="eastAsia"/>
                <w:color w:val="auto"/>
                <w:szCs w:val="21"/>
              </w:rPr>
              <w:t>月全市地表水环境质量状况</w:t>
            </w:r>
            <w:r>
              <w:rPr>
                <w:color w:val="auto"/>
                <w:szCs w:val="21"/>
              </w:rPr>
              <w:t>》</w:t>
            </w:r>
            <w:r>
              <w:rPr>
                <w:rFonts w:hint="eastAsia"/>
                <w:color w:val="auto"/>
                <w:szCs w:val="21"/>
                <w:lang w:eastAsia="zh-CN"/>
              </w:rPr>
              <w:t>报告，1-11月，全市15个省控以上河流断面优良水体比例为80%，达标率93.3%，其中：7个国控断面优良水体比例为85.7%，达标率85.7%，水环境质量指数为4.5577，位居全省第2位，同比改善率为8.14%，位居全省第4；8个省控断面优良水体比例为75%，达标率100%。1-11月份，省控以上断面COD平均浓度为14.51毫克/升，同比改善16.5%；国控断面COD平均浓度为13.67毫克/升，同比改善11.4%。省控以上断面氨氮平均浓度为0.39毫克/升，同比改善53.2%；国控断面氨氮平均浓度为0.27毫克/升，同比改善18.7%。</w:t>
            </w:r>
            <w:r>
              <w:rPr>
                <w:color w:val="auto"/>
                <w:szCs w:val="21"/>
              </w:rPr>
              <w:t>距离本项目最近的孝妇河南外环</w:t>
            </w:r>
            <w:r>
              <w:rPr>
                <w:rFonts w:hint="eastAsia"/>
                <w:color w:val="auto"/>
                <w:szCs w:val="21"/>
                <w:lang w:eastAsia="zh-CN"/>
              </w:rPr>
              <w:t>省控断面，质量指数为5.1802、</w:t>
            </w:r>
            <w:r>
              <w:rPr>
                <w:color w:val="auto"/>
                <w:szCs w:val="21"/>
              </w:rPr>
              <w:t>水质</w:t>
            </w:r>
            <w:r>
              <w:rPr>
                <w:rFonts w:hint="eastAsia"/>
                <w:color w:val="auto"/>
                <w:szCs w:val="21"/>
                <w:lang w:val="en-US" w:eastAsia="zh-CN"/>
              </w:rPr>
              <w:t>III类，</w:t>
            </w:r>
            <w:r>
              <w:rPr>
                <w:color w:val="auto"/>
                <w:szCs w:val="21"/>
              </w:rPr>
              <w:t>符合《地表水环境质量标准》（GB3838-2002）</w:t>
            </w:r>
            <w:r>
              <w:rPr>
                <w:rFonts w:hint="eastAsia"/>
                <w:lang w:val="en-US" w:eastAsia="zh-CN"/>
              </w:rPr>
              <w:t>IV</w:t>
            </w:r>
            <w:r>
              <w:rPr>
                <w:color w:val="auto"/>
                <w:szCs w:val="21"/>
              </w:rPr>
              <w:t>类水质要求。</w:t>
            </w:r>
          </w:p>
          <w:p>
            <w:pPr>
              <w:adjustRightInd w:val="0"/>
              <w:snapToGrid w:val="0"/>
              <w:spacing w:line="360" w:lineRule="auto"/>
              <w:ind w:firstLine="422" w:firstLineChars="200"/>
              <w:rPr>
                <w:b/>
                <w:bCs/>
              </w:rPr>
            </w:pPr>
            <w:r>
              <w:rPr>
                <w:b/>
                <w:bCs/>
              </w:rPr>
              <w:t>3、声环境质量</w:t>
            </w:r>
          </w:p>
          <w:p>
            <w:pPr>
              <w:widowControl/>
              <w:adjustRightInd w:val="0"/>
              <w:snapToGrid w:val="0"/>
              <w:spacing w:line="360" w:lineRule="auto"/>
              <w:ind w:firstLine="420" w:firstLineChars="200"/>
            </w:pPr>
            <w:r>
              <w:t>经现场勘查，</w:t>
            </w:r>
            <w:r>
              <w:rPr>
                <w:rFonts w:hint="default" w:ascii="Times New Roman" w:hAnsi="Times New Roman" w:cs="Times New Roman"/>
                <w:szCs w:val="21"/>
              </w:rPr>
              <w:t>项目区周围为</w:t>
            </w:r>
            <w:r>
              <w:rPr>
                <w:rFonts w:hint="eastAsia" w:ascii="Times New Roman" w:hAnsi="Times New Roman" w:cs="Times New Roman"/>
                <w:szCs w:val="21"/>
                <w:lang w:eastAsia="zh-CN"/>
              </w:rPr>
              <w:t>道路、空地</w:t>
            </w:r>
            <w:r>
              <w:rPr>
                <w:rFonts w:hint="default" w:ascii="Times New Roman" w:hAnsi="Times New Roman" w:cs="Times New Roman"/>
                <w:szCs w:val="21"/>
              </w:rPr>
              <w:t>或其他企业，厂界外周边50米范围内无声环境保护目标</w:t>
            </w:r>
            <w:r>
              <w:t>。</w:t>
            </w:r>
          </w:p>
          <w:p>
            <w:pPr>
              <w:widowControl/>
              <w:adjustRightInd w:val="0"/>
              <w:snapToGrid w:val="0"/>
              <w:spacing w:line="360" w:lineRule="auto"/>
              <w:ind w:firstLine="422" w:firstLineChars="200"/>
              <w:jc w:val="left"/>
              <w:rPr>
                <w:b/>
                <w:bCs/>
              </w:rPr>
            </w:pPr>
            <w:r>
              <w:rPr>
                <w:b/>
                <w:bCs/>
              </w:rPr>
              <w:t>4、生态环境</w:t>
            </w:r>
          </w:p>
          <w:p>
            <w:pPr>
              <w:adjustRightInd w:val="0"/>
              <w:snapToGrid w:val="0"/>
              <w:spacing w:line="360" w:lineRule="auto"/>
              <w:ind w:firstLine="420" w:firstLineChars="200"/>
            </w:pPr>
            <w:r>
              <w:t>淄博市地处华北地台鲁西台北斜鲁中隆断区的北缘，为一向斜构造，称“淄博向斜”。构造特征是褶皱平缓舒展而不甚发育，除较高一级的“淄博向斜”外，其它系与“淄博向斜”相伴生的次级小型褶皱；区内断层构造较为发育，尤以张性正断层为主，纵横切割。岩浆岩石分布面广，并具有多期活动的特点。主要有金岭闪长岩杂岩体、昆仑辉长岩体等。地势南高北低，南部及东西两翼山峦起伏跌宕，中部低陷向北倾伏，南北落差千余米。以胶济铁路为界，以南大部分为山区、丘陵，岩溶地貌发达；以北大部分为山前冲积平原和黄泛平原，土地平坦肥沃。北部有黄河、小清河流经，发源于淄博的河流有沂河、淄河、孝妇河等。全市山区、丘陵、平原面积分别占全市总面积的42%、29.9%和28.1%。根据地质勘探资料，厂区所处区域地貌单元属鲁中低山丘陵区北部边缘。本项目租赁已建成车间组织经营活动，不新增占地，且用地范围内无生态环境保护目标，无需进行生态现状调查。</w:t>
            </w:r>
          </w:p>
          <w:p>
            <w:pPr>
              <w:widowControl/>
              <w:adjustRightInd w:val="0"/>
              <w:snapToGrid w:val="0"/>
              <w:spacing w:line="360" w:lineRule="auto"/>
              <w:ind w:firstLine="422" w:firstLineChars="200"/>
              <w:jc w:val="left"/>
              <w:rPr>
                <w:b/>
                <w:bCs/>
              </w:rPr>
            </w:pPr>
            <w:r>
              <w:rPr>
                <w:b/>
                <w:bCs/>
              </w:rPr>
              <w:t>5、电磁辐射</w:t>
            </w:r>
          </w:p>
          <w:p>
            <w:pPr>
              <w:widowControl/>
              <w:adjustRightInd w:val="0"/>
              <w:snapToGrid w:val="0"/>
              <w:spacing w:line="360" w:lineRule="auto"/>
              <w:ind w:firstLine="420" w:firstLineChars="200"/>
            </w:pPr>
            <w:r>
              <w:t>项目不属于新建或改建、扩建广播电台、差转台、电视塔台、卫星地球上行站、雷达等电磁辐射类项目，无需对电磁辐射现状开展监测与评价。</w:t>
            </w:r>
          </w:p>
          <w:p>
            <w:pPr>
              <w:widowControl/>
              <w:adjustRightInd w:val="0"/>
              <w:snapToGrid w:val="0"/>
              <w:spacing w:line="360" w:lineRule="auto"/>
              <w:ind w:firstLine="422" w:firstLineChars="200"/>
              <w:jc w:val="left"/>
              <w:rPr>
                <w:b/>
                <w:bCs/>
              </w:rPr>
            </w:pPr>
            <w:r>
              <w:rPr>
                <w:b/>
                <w:bCs/>
              </w:rPr>
              <w:t>6、地下水</w:t>
            </w:r>
          </w:p>
          <w:p>
            <w:pPr>
              <w:adjustRightInd w:val="0"/>
              <w:snapToGrid w:val="0"/>
              <w:spacing w:line="360" w:lineRule="auto"/>
              <w:ind w:firstLine="420" w:firstLineChars="200"/>
            </w:pPr>
            <w:r>
              <w:t>根据经现场勘查，项目区周围为道路</w:t>
            </w:r>
            <w:r>
              <w:rPr>
                <w:rFonts w:hint="eastAsia"/>
                <w:lang w:eastAsia="zh-CN"/>
              </w:rPr>
              <w:t>、空地</w:t>
            </w:r>
            <w:r>
              <w:t>或其他企业，厂界外周边500米范围内无集中式饮用水水源和热水、矿泉水、温泉等特殊地下水资源。</w:t>
            </w:r>
          </w:p>
          <w:p>
            <w:pPr>
              <w:widowControl/>
              <w:adjustRightInd w:val="0"/>
              <w:snapToGrid w:val="0"/>
              <w:spacing w:line="360" w:lineRule="auto"/>
              <w:ind w:firstLine="422" w:firstLineChars="200"/>
              <w:jc w:val="left"/>
              <w:rPr>
                <w:b/>
                <w:bCs/>
              </w:rPr>
            </w:pPr>
            <w:r>
              <w:rPr>
                <w:b/>
                <w:bCs/>
              </w:rPr>
              <w:t>7、土壤</w:t>
            </w:r>
          </w:p>
          <w:p>
            <w:pPr>
              <w:pStyle w:val="101"/>
              <w:ind w:firstLine="420"/>
              <w:rPr>
                <w:rFonts w:ascii="Times New Roman" w:hAnsi="Times New Roman"/>
                <w:color w:val="FF0000"/>
              </w:rPr>
            </w:pPr>
            <w:r>
              <w:rPr>
                <w:rFonts w:hint="eastAsia" w:ascii="Times New Roman" w:hAnsi="Times New Roman"/>
                <w:sz w:val="21"/>
                <w:lang w:eastAsia="zh-CN"/>
              </w:rPr>
              <w:t>项目所在</w:t>
            </w:r>
            <w:r>
              <w:rPr>
                <w:rFonts w:ascii="Times New Roman" w:hAnsi="Times New Roman"/>
                <w:sz w:val="21"/>
              </w:rPr>
              <w:t>区域</w:t>
            </w:r>
            <w:r>
              <w:rPr>
                <w:rFonts w:hint="eastAsia" w:ascii="Times New Roman" w:hAnsi="Times New Roman"/>
                <w:sz w:val="21"/>
                <w:lang w:eastAsia="zh-CN"/>
              </w:rPr>
              <w:t>及周边</w:t>
            </w:r>
            <w:r>
              <w:rPr>
                <w:rFonts w:ascii="Times New Roman" w:hAnsi="Times New Roman"/>
                <w:sz w:val="21"/>
              </w:rPr>
              <w:t>土壤环境质量</w:t>
            </w:r>
            <w:r>
              <w:rPr>
                <w:rFonts w:hint="eastAsia" w:ascii="Times New Roman" w:hAnsi="Times New Roman"/>
                <w:sz w:val="21"/>
                <w:lang w:eastAsia="zh-CN"/>
              </w:rPr>
              <w:t>良</w:t>
            </w:r>
            <w:r>
              <w:rPr>
                <w:rFonts w:ascii="Times New Roman" w:hAnsi="Times New Roman"/>
                <w:sz w:val="21"/>
              </w:rPr>
              <w:t>好</w:t>
            </w:r>
            <w:r>
              <w:rPr>
                <w:rFonts w:hint="eastAsia" w:ascii="Times New Roman" w:hAnsi="Times New Roman"/>
                <w:sz w:val="21"/>
                <w:lang w:eastAsia="zh-CN"/>
              </w:rPr>
              <w:t>，本项目仅产生少量颗粒物、二氧化硫、氮氧化物、</w:t>
            </w:r>
            <w:r>
              <w:rPr>
                <w:rFonts w:hint="eastAsia" w:ascii="Times New Roman" w:hAnsi="Times New Roman"/>
                <w:sz w:val="21"/>
                <w:lang w:val="en-US" w:eastAsia="zh-CN"/>
              </w:rPr>
              <w:t>VOCs</w:t>
            </w:r>
            <w:r>
              <w:rPr>
                <w:rFonts w:hint="eastAsia" w:ascii="Times New Roman" w:hAnsi="Times New Roman"/>
                <w:sz w:val="21"/>
                <w:lang w:eastAsia="zh-CN"/>
              </w:rPr>
              <w:t>，</w:t>
            </w:r>
            <w:r>
              <w:rPr>
                <w:color w:val="auto"/>
                <w:sz w:val="21"/>
                <w:szCs w:val="21"/>
              </w:rPr>
              <w:t>本项目建成后对周围土壤环境造成影响较小，可不开展环境质量现状调查</w:t>
            </w:r>
            <w:r>
              <w:rPr>
                <w:rFonts w:hint="eastAsia"/>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00" w:type="dxa"/>
            <w:vAlign w:val="center"/>
          </w:tcPr>
          <w:p>
            <w:pPr>
              <w:adjustRightInd w:val="0"/>
              <w:snapToGrid w:val="0"/>
              <w:spacing w:line="420" w:lineRule="exact"/>
              <w:jc w:val="center"/>
              <w:rPr>
                <w:kern w:val="0"/>
              </w:rPr>
            </w:pPr>
            <w:r>
              <w:rPr>
                <w:kern w:val="0"/>
              </w:rPr>
              <w:t>环境</w:t>
            </w:r>
          </w:p>
          <w:p>
            <w:pPr>
              <w:adjustRightInd w:val="0"/>
              <w:snapToGrid w:val="0"/>
              <w:spacing w:line="420" w:lineRule="exact"/>
              <w:jc w:val="center"/>
              <w:rPr>
                <w:kern w:val="0"/>
              </w:rPr>
            </w:pPr>
            <w:r>
              <w:rPr>
                <w:kern w:val="0"/>
              </w:rPr>
              <w:t>保护</w:t>
            </w:r>
          </w:p>
          <w:p>
            <w:pPr>
              <w:adjustRightInd w:val="0"/>
              <w:snapToGrid w:val="0"/>
              <w:spacing w:line="420" w:lineRule="exact"/>
              <w:jc w:val="center"/>
              <w:rPr>
                <w:color w:val="FF0000"/>
                <w:kern w:val="0"/>
              </w:rPr>
            </w:pPr>
            <w:r>
              <w:rPr>
                <w:kern w:val="0"/>
              </w:rPr>
              <w:t>目标</w:t>
            </w:r>
          </w:p>
        </w:tc>
        <w:tc>
          <w:tcPr>
            <w:tcW w:w="8190" w:type="dxa"/>
            <w:vAlign w:val="center"/>
          </w:tcPr>
          <w:p>
            <w:pPr>
              <w:spacing w:line="420" w:lineRule="exact"/>
              <w:ind w:firstLine="420" w:firstLineChars="200"/>
            </w:pPr>
            <w:r>
              <w:t>本项目厂界外500米范围内无自然保护区、风景名胜区，存在居民区，无地下水集中式饮用水水源和热水、矿泉水、温泉等特殊地下水资源。本项目环境保护目标情况一览表如下。</w:t>
            </w:r>
          </w:p>
          <w:p>
            <w:pPr>
              <w:pStyle w:val="1311"/>
              <w:adjustRightInd w:val="0"/>
              <w:snapToGrid w:val="0"/>
              <w:spacing w:before="120" w:beforeLines="50" w:line="240" w:lineRule="auto"/>
              <w:rPr>
                <w:rFonts w:ascii="Times New Roman" w:hAnsi="Times New Roman" w:eastAsia="宋体"/>
                <w:b/>
                <w:bCs/>
                <w:sz w:val="21"/>
              </w:rPr>
            </w:pPr>
            <w:r>
              <w:rPr>
                <w:rFonts w:ascii="Times New Roman" w:hAnsi="Times New Roman" w:eastAsia="宋体"/>
                <w:b/>
                <w:bCs/>
                <w:sz w:val="21"/>
              </w:rPr>
              <w:t>表3-</w:t>
            </w:r>
            <w:r>
              <w:rPr>
                <w:rFonts w:hint="eastAsia" w:ascii="Times New Roman" w:hAnsi="Times New Roman" w:eastAsia="宋体"/>
                <w:b/>
                <w:bCs/>
                <w:sz w:val="21"/>
                <w:lang w:val="en-US" w:eastAsia="zh-CN"/>
              </w:rPr>
              <w:t>2</w:t>
            </w:r>
            <w:r>
              <w:rPr>
                <w:rFonts w:ascii="Times New Roman" w:hAnsi="Times New Roman" w:eastAsia="宋体"/>
                <w:b/>
                <w:bCs/>
                <w:sz w:val="21"/>
              </w:rPr>
              <w:t xml:space="preserve"> 主要环境保护目标一览表</w:t>
            </w:r>
          </w:p>
          <w:tbl>
            <w:tblPr>
              <w:tblStyle w:val="85"/>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764"/>
              <w:gridCol w:w="1068"/>
              <w:gridCol w:w="1835"/>
              <w:gridCol w:w="91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89" w:type="dxa"/>
                  <w:vMerge w:val="restart"/>
                  <w:vAlign w:val="center"/>
                </w:tcPr>
                <w:p>
                  <w:pPr>
                    <w:pStyle w:val="1265"/>
                    <w:adjustRightInd w:val="0"/>
                    <w:snapToGrid w:val="0"/>
                    <w:jc w:val="center"/>
                    <w:rPr>
                      <w:b/>
                      <w:bCs/>
                      <w:sz w:val="18"/>
                      <w:szCs w:val="18"/>
                    </w:rPr>
                  </w:pPr>
                  <w:r>
                    <w:rPr>
                      <w:b/>
                      <w:bCs/>
                      <w:sz w:val="18"/>
                      <w:szCs w:val="18"/>
                    </w:rPr>
                    <w:t>名称</w:t>
                  </w:r>
                </w:p>
              </w:tc>
              <w:tc>
                <w:tcPr>
                  <w:tcW w:w="1764" w:type="dxa"/>
                  <w:vMerge w:val="restart"/>
                  <w:vAlign w:val="center"/>
                </w:tcPr>
                <w:p>
                  <w:pPr>
                    <w:pStyle w:val="1265"/>
                    <w:adjustRightInd w:val="0"/>
                    <w:snapToGrid w:val="0"/>
                    <w:jc w:val="center"/>
                    <w:rPr>
                      <w:b/>
                      <w:bCs/>
                      <w:sz w:val="18"/>
                      <w:szCs w:val="18"/>
                    </w:rPr>
                  </w:pPr>
                  <w:r>
                    <w:rPr>
                      <w:b/>
                      <w:bCs/>
                      <w:sz w:val="18"/>
                      <w:szCs w:val="18"/>
                    </w:rPr>
                    <w:t>保护对象</w:t>
                  </w:r>
                </w:p>
              </w:tc>
              <w:tc>
                <w:tcPr>
                  <w:tcW w:w="1068" w:type="dxa"/>
                  <w:vMerge w:val="restart"/>
                  <w:vAlign w:val="center"/>
                </w:tcPr>
                <w:p>
                  <w:pPr>
                    <w:pStyle w:val="1265"/>
                    <w:adjustRightInd w:val="0"/>
                    <w:snapToGrid w:val="0"/>
                    <w:jc w:val="center"/>
                    <w:rPr>
                      <w:b/>
                      <w:bCs/>
                      <w:sz w:val="18"/>
                      <w:szCs w:val="18"/>
                    </w:rPr>
                  </w:pPr>
                  <w:r>
                    <w:rPr>
                      <w:b/>
                      <w:bCs/>
                      <w:sz w:val="18"/>
                      <w:szCs w:val="18"/>
                    </w:rPr>
                    <w:t>保护内容</w:t>
                  </w:r>
                </w:p>
              </w:tc>
              <w:tc>
                <w:tcPr>
                  <w:tcW w:w="1835" w:type="dxa"/>
                  <w:vMerge w:val="restart"/>
                  <w:vAlign w:val="center"/>
                </w:tcPr>
                <w:p>
                  <w:pPr>
                    <w:pStyle w:val="1265"/>
                    <w:adjustRightInd w:val="0"/>
                    <w:snapToGrid w:val="0"/>
                    <w:jc w:val="center"/>
                    <w:rPr>
                      <w:b/>
                      <w:bCs/>
                      <w:sz w:val="18"/>
                      <w:szCs w:val="18"/>
                    </w:rPr>
                  </w:pPr>
                  <w:r>
                    <w:rPr>
                      <w:b/>
                      <w:bCs/>
                      <w:sz w:val="18"/>
                      <w:szCs w:val="18"/>
                    </w:rPr>
                    <w:t>环境</w:t>
                  </w:r>
                </w:p>
                <w:p>
                  <w:pPr>
                    <w:pStyle w:val="1265"/>
                    <w:adjustRightInd w:val="0"/>
                    <w:snapToGrid w:val="0"/>
                    <w:jc w:val="center"/>
                    <w:rPr>
                      <w:b/>
                      <w:bCs/>
                      <w:sz w:val="18"/>
                      <w:szCs w:val="18"/>
                    </w:rPr>
                  </w:pPr>
                  <w:r>
                    <w:rPr>
                      <w:b/>
                      <w:bCs/>
                      <w:sz w:val="18"/>
                      <w:szCs w:val="18"/>
                    </w:rPr>
                    <w:t>功能区</w:t>
                  </w:r>
                </w:p>
              </w:tc>
              <w:tc>
                <w:tcPr>
                  <w:tcW w:w="915" w:type="dxa"/>
                  <w:vMerge w:val="restart"/>
                  <w:vAlign w:val="center"/>
                </w:tcPr>
                <w:p>
                  <w:pPr>
                    <w:pStyle w:val="1265"/>
                    <w:adjustRightInd w:val="0"/>
                    <w:snapToGrid w:val="0"/>
                    <w:jc w:val="center"/>
                    <w:rPr>
                      <w:b/>
                      <w:bCs/>
                      <w:sz w:val="18"/>
                      <w:szCs w:val="18"/>
                    </w:rPr>
                  </w:pPr>
                  <w:r>
                    <w:rPr>
                      <w:b/>
                      <w:bCs/>
                      <w:sz w:val="18"/>
                      <w:szCs w:val="18"/>
                    </w:rPr>
                    <w:t>相对厂</w:t>
                  </w:r>
                </w:p>
                <w:p>
                  <w:pPr>
                    <w:pStyle w:val="1265"/>
                    <w:adjustRightInd w:val="0"/>
                    <w:snapToGrid w:val="0"/>
                    <w:jc w:val="center"/>
                    <w:rPr>
                      <w:b/>
                      <w:bCs/>
                      <w:sz w:val="18"/>
                      <w:szCs w:val="18"/>
                    </w:rPr>
                  </w:pPr>
                  <w:r>
                    <w:rPr>
                      <w:b/>
                      <w:bCs/>
                      <w:sz w:val="18"/>
                      <w:szCs w:val="18"/>
                    </w:rPr>
                    <w:t>址方位</w:t>
                  </w:r>
                </w:p>
              </w:tc>
              <w:tc>
                <w:tcPr>
                  <w:tcW w:w="1213" w:type="dxa"/>
                  <w:vMerge w:val="restart"/>
                  <w:vAlign w:val="center"/>
                </w:tcPr>
                <w:p>
                  <w:pPr>
                    <w:pStyle w:val="1265"/>
                    <w:adjustRightInd w:val="0"/>
                    <w:snapToGrid w:val="0"/>
                    <w:jc w:val="center"/>
                    <w:rPr>
                      <w:b/>
                      <w:bCs/>
                      <w:sz w:val="18"/>
                      <w:szCs w:val="18"/>
                    </w:rPr>
                  </w:pPr>
                  <w:r>
                    <w:rPr>
                      <w:b/>
                      <w:bCs/>
                      <w:sz w:val="18"/>
                      <w:szCs w:val="18"/>
                    </w:rPr>
                    <w:t>相对厂</w:t>
                  </w:r>
                </w:p>
                <w:p>
                  <w:pPr>
                    <w:pStyle w:val="1265"/>
                    <w:adjustRightInd w:val="0"/>
                    <w:snapToGrid w:val="0"/>
                    <w:jc w:val="center"/>
                    <w:rPr>
                      <w:b/>
                      <w:bCs/>
                      <w:sz w:val="18"/>
                      <w:szCs w:val="18"/>
                    </w:rPr>
                  </w:pPr>
                  <w:r>
                    <w:rPr>
                      <w:b/>
                      <w:bCs/>
                      <w:sz w:val="18"/>
                      <w:szCs w:val="18"/>
                    </w:rPr>
                    <w:t>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089" w:type="dxa"/>
                  <w:vMerge w:val="continue"/>
                  <w:vAlign w:val="center"/>
                </w:tcPr>
                <w:p>
                  <w:pPr>
                    <w:pStyle w:val="1265"/>
                    <w:adjustRightInd w:val="0"/>
                    <w:snapToGrid w:val="0"/>
                    <w:jc w:val="center"/>
                    <w:rPr>
                      <w:color w:val="FF0000"/>
                      <w:sz w:val="18"/>
                      <w:szCs w:val="18"/>
                    </w:rPr>
                  </w:pPr>
                </w:p>
              </w:tc>
              <w:tc>
                <w:tcPr>
                  <w:tcW w:w="1764" w:type="dxa"/>
                  <w:vMerge w:val="continue"/>
                  <w:vAlign w:val="center"/>
                </w:tcPr>
                <w:p>
                  <w:pPr>
                    <w:pStyle w:val="1265"/>
                    <w:adjustRightInd w:val="0"/>
                    <w:snapToGrid w:val="0"/>
                    <w:jc w:val="center"/>
                    <w:rPr>
                      <w:color w:val="FF0000"/>
                      <w:sz w:val="18"/>
                      <w:szCs w:val="18"/>
                    </w:rPr>
                  </w:pPr>
                </w:p>
              </w:tc>
              <w:tc>
                <w:tcPr>
                  <w:tcW w:w="1068" w:type="dxa"/>
                  <w:vMerge w:val="continue"/>
                  <w:vAlign w:val="center"/>
                </w:tcPr>
                <w:p>
                  <w:pPr>
                    <w:pStyle w:val="1265"/>
                    <w:adjustRightInd w:val="0"/>
                    <w:snapToGrid w:val="0"/>
                    <w:jc w:val="center"/>
                    <w:rPr>
                      <w:color w:val="FF0000"/>
                      <w:sz w:val="18"/>
                      <w:szCs w:val="18"/>
                    </w:rPr>
                  </w:pPr>
                </w:p>
              </w:tc>
              <w:tc>
                <w:tcPr>
                  <w:tcW w:w="1835" w:type="dxa"/>
                  <w:vMerge w:val="continue"/>
                  <w:vAlign w:val="center"/>
                </w:tcPr>
                <w:p>
                  <w:pPr>
                    <w:pStyle w:val="1265"/>
                    <w:adjustRightInd w:val="0"/>
                    <w:snapToGrid w:val="0"/>
                    <w:jc w:val="center"/>
                    <w:rPr>
                      <w:color w:val="FF0000"/>
                      <w:sz w:val="18"/>
                      <w:szCs w:val="18"/>
                    </w:rPr>
                  </w:pPr>
                </w:p>
              </w:tc>
              <w:tc>
                <w:tcPr>
                  <w:tcW w:w="915" w:type="dxa"/>
                  <w:vMerge w:val="continue"/>
                  <w:vAlign w:val="center"/>
                </w:tcPr>
                <w:p>
                  <w:pPr>
                    <w:pStyle w:val="1265"/>
                    <w:adjustRightInd w:val="0"/>
                    <w:snapToGrid w:val="0"/>
                    <w:jc w:val="center"/>
                    <w:rPr>
                      <w:color w:val="FF0000"/>
                      <w:sz w:val="18"/>
                      <w:szCs w:val="18"/>
                    </w:rPr>
                  </w:pPr>
                </w:p>
              </w:tc>
              <w:tc>
                <w:tcPr>
                  <w:tcW w:w="1213" w:type="dxa"/>
                  <w:vMerge w:val="continue"/>
                  <w:vAlign w:val="center"/>
                </w:tcPr>
                <w:p>
                  <w:pPr>
                    <w:pStyle w:val="1265"/>
                    <w:adjustRightInd w:val="0"/>
                    <w:snapToGrid w:val="0"/>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89" w:type="dxa"/>
                  <w:vMerge w:val="restart"/>
                  <w:vAlign w:val="center"/>
                </w:tcPr>
                <w:p>
                  <w:pPr>
                    <w:pStyle w:val="1265"/>
                    <w:adjustRightInd w:val="0"/>
                    <w:snapToGrid w:val="0"/>
                    <w:jc w:val="center"/>
                    <w:rPr>
                      <w:sz w:val="18"/>
                      <w:szCs w:val="18"/>
                    </w:rPr>
                  </w:pPr>
                  <w:r>
                    <w:rPr>
                      <w:sz w:val="18"/>
                      <w:szCs w:val="18"/>
                    </w:rPr>
                    <w:t>环境空气</w:t>
                  </w:r>
                </w:p>
              </w:tc>
              <w:tc>
                <w:tcPr>
                  <w:tcW w:w="1764" w:type="dxa"/>
                  <w:vMerge w:val="restart"/>
                  <w:vAlign w:val="center"/>
                </w:tcPr>
                <w:p>
                  <w:pPr>
                    <w:pStyle w:val="1265"/>
                    <w:adjustRightInd w:val="0"/>
                    <w:snapToGrid w:val="0"/>
                    <w:jc w:val="center"/>
                    <w:rPr>
                      <w:sz w:val="18"/>
                      <w:szCs w:val="18"/>
                    </w:rPr>
                  </w:pPr>
                  <w:r>
                    <w:rPr>
                      <w:rFonts w:hint="eastAsia"/>
                      <w:sz w:val="18"/>
                      <w:szCs w:val="18"/>
                      <w:lang w:eastAsia="zh-CN"/>
                    </w:rPr>
                    <w:t>孟机</w:t>
                  </w:r>
                  <w:r>
                    <w:rPr>
                      <w:sz w:val="18"/>
                      <w:szCs w:val="18"/>
                    </w:rPr>
                    <w:t>村</w:t>
                  </w:r>
                </w:p>
              </w:tc>
              <w:tc>
                <w:tcPr>
                  <w:tcW w:w="1068" w:type="dxa"/>
                  <w:vMerge w:val="restart"/>
                  <w:vAlign w:val="center"/>
                </w:tcPr>
                <w:p>
                  <w:pPr>
                    <w:pStyle w:val="1265"/>
                    <w:adjustRightInd w:val="0"/>
                    <w:snapToGrid w:val="0"/>
                    <w:jc w:val="center"/>
                    <w:rPr>
                      <w:sz w:val="18"/>
                      <w:szCs w:val="18"/>
                    </w:rPr>
                  </w:pPr>
                  <w:r>
                    <w:rPr>
                      <w:sz w:val="18"/>
                      <w:szCs w:val="18"/>
                    </w:rPr>
                    <w:t>居民区</w:t>
                  </w:r>
                </w:p>
              </w:tc>
              <w:tc>
                <w:tcPr>
                  <w:tcW w:w="1835" w:type="dxa"/>
                  <w:vMerge w:val="restart"/>
                  <w:vAlign w:val="center"/>
                </w:tcPr>
                <w:p>
                  <w:pPr>
                    <w:pStyle w:val="1265"/>
                    <w:adjustRightInd w:val="0"/>
                    <w:snapToGrid w:val="0"/>
                    <w:jc w:val="center"/>
                    <w:rPr>
                      <w:sz w:val="18"/>
                      <w:szCs w:val="18"/>
                    </w:rPr>
                  </w:pPr>
                  <w:r>
                    <w:rPr>
                      <w:sz w:val="18"/>
                      <w:szCs w:val="18"/>
                    </w:rPr>
                    <w:t>《环境空气质量标准》（GB3095-2012）及其修改单二类</w:t>
                  </w:r>
                </w:p>
              </w:tc>
              <w:tc>
                <w:tcPr>
                  <w:tcW w:w="915" w:type="dxa"/>
                  <w:vAlign w:val="center"/>
                </w:tcPr>
                <w:p>
                  <w:pPr>
                    <w:pStyle w:val="1265"/>
                    <w:adjustRightInd w:val="0"/>
                    <w:snapToGrid w:val="0"/>
                    <w:jc w:val="center"/>
                    <w:rPr>
                      <w:sz w:val="18"/>
                      <w:szCs w:val="18"/>
                    </w:rPr>
                  </w:pPr>
                  <w:r>
                    <w:rPr>
                      <w:rFonts w:hint="eastAsia"/>
                      <w:sz w:val="18"/>
                      <w:szCs w:val="18"/>
                      <w:lang w:val="en-US" w:eastAsia="zh-CN"/>
                    </w:rPr>
                    <w:t>N</w:t>
                  </w:r>
                  <w:r>
                    <w:rPr>
                      <w:sz w:val="18"/>
                      <w:szCs w:val="18"/>
                    </w:rPr>
                    <w:t>W</w:t>
                  </w:r>
                </w:p>
              </w:tc>
              <w:tc>
                <w:tcPr>
                  <w:tcW w:w="1213" w:type="dxa"/>
                  <w:vAlign w:val="center"/>
                </w:tcPr>
                <w:p>
                  <w:pPr>
                    <w:pStyle w:val="1265"/>
                    <w:adjustRightInd w:val="0"/>
                    <w:snapToGrid w:val="0"/>
                    <w:jc w:val="center"/>
                    <w:rPr>
                      <w:rFonts w:hint="default" w:eastAsia="宋体"/>
                      <w:sz w:val="18"/>
                      <w:szCs w:val="18"/>
                      <w:lang w:val="en-US" w:eastAsia="zh-CN"/>
                    </w:rPr>
                  </w:pPr>
                  <w:r>
                    <w:rPr>
                      <w:rFonts w:hint="eastAsia"/>
                      <w:sz w:val="18"/>
                      <w:szCs w:val="18"/>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89" w:type="dxa"/>
                  <w:vMerge w:val="continue"/>
                  <w:vAlign w:val="center"/>
                </w:tcPr>
                <w:p>
                  <w:pPr>
                    <w:pStyle w:val="1265"/>
                    <w:adjustRightInd w:val="0"/>
                    <w:snapToGrid w:val="0"/>
                    <w:jc w:val="center"/>
                    <w:rPr>
                      <w:sz w:val="18"/>
                      <w:szCs w:val="18"/>
                    </w:rPr>
                  </w:pPr>
                </w:p>
              </w:tc>
              <w:tc>
                <w:tcPr>
                  <w:tcW w:w="1764" w:type="dxa"/>
                  <w:vMerge w:val="continue"/>
                  <w:vAlign w:val="center"/>
                </w:tcPr>
                <w:p>
                  <w:pPr>
                    <w:pStyle w:val="1265"/>
                    <w:adjustRightInd w:val="0"/>
                    <w:snapToGrid w:val="0"/>
                    <w:jc w:val="center"/>
                    <w:rPr>
                      <w:sz w:val="18"/>
                      <w:szCs w:val="18"/>
                    </w:rPr>
                  </w:pPr>
                </w:p>
              </w:tc>
              <w:tc>
                <w:tcPr>
                  <w:tcW w:w="1068" w:type="dxa"/>
                  <w:vMerge w:val="continue"/>
                  <w:vAlign w:val="center"/>
                </w:tcPr>
                <w:p>
                  <w:pPr>
                    <w:pStyle w:val="1265"/>
                    <w:adjustRightInd w:val="0"/>
                    <w:snapToGrid w:val="0"/>
                    <w:jc w:val="center"/>
                    <w:rPr>
                      <w:sz w:val="18"/>
                      <w:szCs w:val="18"/>
                    </w:rPr>
                  </w:pPr>
                </w:p>
              </w:tc>
              <w:tc>
                <w:tcPr>
                  <w:tcW w:w="1835" w:type="dxa"/>
                  <w:vMerge w:val="continue"/>
                  <w:vAlign w:val="center"/>
                </w:tcPr>
                <w:p>
                  <w:pPr>
                    <w:adjustRightInd w:val="0"/>
                    <w:snapToGrid w:val="0"/>
                    <w:jc w:val="center"/>
                    <w:rPr>
                      <w:sz w:val="18"/>
                      <w:szCs w:val="18"/>
                    </w:rPr>
                  </w:pPr>
                </w:p>
              </w:tc>
              <w:tc>
                <w:tcPr>
                  <w:tcW w:w="915" w:type="dxa"/>
                  <w:vAlign w:val="center"/>
                </w:tcPr>
                <w:p>
                  <w:pPr>
                    <w:pStyle w:val="1265"/>
                    <w:adjustRightInd w:val="0"/>
                    <w:snapToGrid w:val="0"/>
                    <w:jc w:val="center"/>
                    <w:rPr>
                      <w:sz w:val="18"/>
                      <w:szCs w:val="18"/>
                    </w:rPr>
                  </w:pPr>
                  <w:r>
                    <w:rPr>
                      <w:sz w:val="18"/>
                      <w:szCs w:val="18"/>
                    </w:rPr>
                    <w:t>SW</w:t>
                  </w:r>
                </w:p>
              </w:tc>
              <w:tc>
                <w:tcPr>
                  <w:tcW w:w="1213" w:type="dxa"/>
                  <w:vAlign w:val="center"/>
                </w:tcPr>
                <w:p>
                  <w:pPr>
                    <w:pStyle w:val="1265"/>
                    <w:adjustRightInd w:val="0"/>
                    <w:snapToGrid w:val="0"/>
                    <w:jc w:val="center"/>
                    <w:rPr>
                      <w:rFonts w:hint="default" w:eastAsia="宋体"/>
                      <w:sz w:val="18"/>
                      <w:szCs w:val="18"/>
                      <w:lang w:val="en-US" w:eastAsia="zh-CN"/>
                    </w:rPr>
                  </w:pPr>
                  <w:r>
                    <w:rPr>
                      <w:rFonts w:hint="eastAsia"/>
                      <w:sz w:val="18"/>
                      <w:szCs w:val="18"/>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89" w:type="dxa"/>
                  <w:vMerge w:val="continue"/>
                  <w:vAlign w:val="center"/>
                </w:tcPr>
                <w:p>
                  <w:pPr>
                    <w:pStyle w:val="1265"/>
                    <w:adjustRightInd w:val="0"/>
                    <w:snapToGrid w:val="0"/>
                    <w:jc w:val="center"/>
                    <w:rPr>
                      <w:sz w:val="18"/>
                      <w:szCs w:val="18"/>
                    </w:rPr>
                  </w:pPr>
                </w:p>
              </w:tc>
              <w:tc>
                <w:tcPr>
                  <w:tcW w:w="1764" w:type="dxa"/>
                  <w:vMerge w:val="continue"/>
                  <w:vAlign w:val="center"/>
                </w:tcPr>
                <w:p>
                  <w:pPr>
                    <w:pStyle w:val="1265"/>
                    <w:adjustRightInd w:val="0"/>
                    <w:snapToGrid w:val="0"/>
                    <w:jc w:val="center"/>
                    <w:rPr>
                      <w:sz w:val="18"/>
                      <w:szCs w:val="18"/>
                    </w:rPr>
                  </w:pPr>
                </w:p>
              </w:tc>
              <w:tc>
                <w:tcPr>
                  <w:tcW w:w="1068" w:type="dxa"/>
                  <w:vMerge w:val="continue"/>
                  <w:vAlign w:val="center"/>
                </w:tcPr>
                <w:p>
                  <w:pPr>
                    <w:pStyle w:val="1265"/>
                    <w:adjustRightInd w:val="0"/>
                    <w:snapToGrid w:val="0"/>
                    <w:jc w:val="center"/>
                    <w:rPr>
                      <w:sz w:val="18"/>
                      <w:szCs w:val="18"/>
                    </w:rPr>
                  </w:pPr>
                </w:p>
              </w:tc>
              <w:tc>
                <w:tcPr>
                  <w:tcW w:w="1835" w:type="dxa"/>
                  <w:vMerge w:val="continue"/>
                  <w:vAlign w:val="center"/>
                </w:tcPr>
                <w:p>
                  <w:pPr>
                    <w:adjustRightInd w:val="0"/>
                    <w:snapToGrid w:val="0"/>
                    <w:jc w:val="center"/>
                    <w:rPr>
                      <w:sz w:val="18"/>
                      <w:szCs w:val="18"/>
                    </w:rPr>
                  </w:pPr>
                </w:p>
              </w:tc>
              <w:tc>
                <w:tcPr>
                  <w:tcW w:w="915" w:type="dxa"/>
                  <w:vAlign w:val="center"/>
                </w:tcPr>
                <w:p>
                  <w:pPr>
                    <w:pStyle w:val="1265"/>
                    <w:adjustRightInd w:val="0"/>
                    <w:snapToGrid w:val="0"/>
                    <w:jc w:val="center"/>
                    <w:rPr>
                      <w:rFonts w:hint="eastAsia" w:eastAsia="宋体"/>
                      <w:sz w:val="18"/>
                      <w:szCs w:val="18"/>
                      <w:lang w:eastAsia="zh-CN"/>
                    </w:rPr>
                  </w:pPr>
                  <w:r>
                    <w:rPr>
                      <w:rFonts w:hint="eastAsia"/>
                      <w:sz w:val="18"/>
                      <w:szCs w:val="18"/>
                      <w:lang w:val="en-US" w:eastAsia="zh-CN"/>
                    </w:rPr>
                    <w:t>S</w:t>
                  </w:r>
                </w:p>
              </w:tc>
              <w:tc>
                <w:tcPr>
                  <w:tcW w:w="1213" w:type="dxa"/>
                  <w:vAlign w:val="center"/>
                </w:tcPr>
                <w:p>
                  <w:pPr>
                    <w:pStyle w:val="1265"/>
                    <w:adjustRightInd w:val="0"/>
                    <w:snapToGrid w:val="0"/>
                    <w:jc w:val="center"/>
                    <w:rPr>
                      <w:rFonts w:hint="default" w:eastAsia="宋体"/>
                      <w:sz w:val="18"/>
                      <w:szCs w:val="18"/>
                      <w:lang w:val="en-US" w:eastAsia="zh-CN"/>
                    </w:rPr>
                  </w:pPr>
                  <w:r>
                    <w:rPr>
                      <w:rFonts w:hint="eastAsia"/>
                      <w:sz w:val="18"/>
                      <w:szCs w:val="18"/>
                      <w:lang w:val="en-US" w:eastAsia="zh-CN"/>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1089" w:type="dxa"/>
                  <w:vAlign w:val="center"/>
                </w:tcPr>
                <w:p>
                  <w:pPr>
                    <w:pStyle w:val="1265"/>
                    <w:adjustRightInd w:val="0"/>
                    <w:snapToGrid w:val="0"/>
                    <w:jc w:val="center"/>
                    <w:rPr>
                      <w:sz w:val="18"/>
                      <w:szCs w:val="18"/>
                    </w:rPr>
                  </w:pPr>
                  <w:r>
                    <w:rPr>
                      <w:sz w:val="18"/>
                      <w:szCs w:val="18"/>
                    </w:rPr>
                    <w:t>声环境</w:t>
                  </w:r>
                </w:p>
              </w:tc>
              <w:tc>
                <w:tcPr>
                  <w:tcW w:w="2832" w:type="dxa"/>
                  <w:gridSpan w:val="2"/>
                  <w:vAlign w:val="center"/>
                </w:tcPr>
                <w:p>
                  <w:pPr>
                    <w:pStyle w:val="1265"/>
                    <w:adjustRightInd w:val="0"/>
                    <w:snapToGrid w:val="0"/>
                    <w:jc w:val="center"/>
                    <w:rPr>
                      <w:sz w:val="18"/>
                      <w:szCs w:val="18"/>
                    </w:rPr>
                  </w:pPr>
                  <w:r>
                    <w:rPr>
                      <w:rFonts w:hint="eastAsia"/>
                      <w:sz w:val="18"/>
                      <w:szCs w:val="18"/>
                      <w:lang w:val="en-US" w:eastAsia="zh-CN"/>
                    </w:rPr>
                    <w:t>50m范围内无声环境保护目标</w:t>
                  </w:r>
                </w:p>
              </w:tc>
              <w:tc>
                <w:tcPr>
                  <w:tcW w:w="1835" w:type="dxa"/>
                  <w:vAlign w:val="center"/>
                </w:tcPr>
                <w:p>
                  <w:pPr>
                    <w:pStyle w:val="1265"/>
                    <w:adjustRightInd w:val="0"/>
                    <w:snapToGrid w:val="0"/>
                    <w:jc w:val="center"/>
                    <w:rPr>
                      <w:sz w:val="18"/>
                      <w:szCs w:val="18"/>
                    </w:rPr>
                  </w:pPr>
                  <w:r>
                    <w:rPr>
                      <w:sz w:val="18"/>
                      <w:szCs w:val="18"/>
                    </w:rPr>
                    <w:t>《声环境质量标准》(GB3096-2008)中的2类标准</w:t>
                  </w:r>
                </w:p>
              </w:tc>
              <w:tc>
                <w:tcPr>
                  <w:tcW w:w="915" w:type="dxa"/>
                  <w:vAlign w:val="center"/>
                </w:tcPr>
                <w:p>
                  <w:pPr>
                    <w:pStyle w:val="1265"/>
                    <w:adjustRightInd w:val="0"/>
                    <w:snapToGrid w:val="0"/>
                    <w:jc w:val="center"/>
                    <w:rPr>
                      <w:rFonts w:hint="eastAsia" w:eastAsia="宋体"/>
                      <w:sz w:val="18"/>
                      <w:szCs w:val="18"/>
                      <w:lang w:val="en-US" w:eastAsia="zh-CN"/>
                    </w:rPr>
                  </w:pPr>
                  <w:r>
                    <w:rPr>
                      <w:rFonts w:hint="eastAsia"/>
                      <w:sz w:val="18"/>
                      <w:szCs w:val="18"/>
                      <w:lang w:val="en-US" w:eastAsia="zh-CN"/>
                    </w:rPr>
                    <w:t>/</w:t>
                  </w:r>
                </w:p>
              </w:tc>
              <w:tc>
                <w:tcPr>
                  <w:tcW w:w="1213" w:type="dxa"/>
                  <w:vAlign w:val="center"/>
                </w:tcPr>
                <w:p>
                  <w:pPr>
                    <w:pStyle w:val="1265"/>
                    <w:adjustRightInd w:val="0"/>
                    <w:snapToGrid w:val="0"/>
                    <w:jc w:val="center"/>
                    <w:rPr>
                      <w:rFonts w:hint="eastAsia" w:eastAsia="宋体"/>
                      <w:sz w:val="18"/>
                      <w:szCs w:val="18"/>
                      <w:lang w:val="en-US" w:eastAsia="zh-CN"/>
                    </w:rPr>
                  </w:pPr>
                  <w:r>
                    <w:rPr>
                      <w:rFonts w:hint="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89" w:type="dxa"/>
                  <w:vAlign w:val="center"/>
                </w:tcPr>
                <w:p>
                  <w:pPr>
                    <w:pStyle w:val="1265"/>
                    <w:adjustRightInd w:val="0"/>
                    <w:snapToGrid w:val="0"/>
                    <w:jc w:val="center"/>
                    <w:rPr>
                      <w:sz w:val="18"/>
                      <w:szCs w:val="18"/>
                    </w:rPr>
                  </w:pPr>
                  <w:r>
                    <w:rPr>
                      <w:sz w:val="18"/>
                      <w:szCs w:val="18"/>
                    </w:rPr>
                    <w:t>地表水</w:t>
                  </w:r>
                </w:p>
              </w:tc>
              <w:tc>
                <w:tcPr>
                  <w:tcW w:w="1764" w:type="dxa"/>
                  <w:vAlign w:val="center"/>
                </w:tcPr>
                <w:p>
                  <w:pPr>
                    <w:pStyle w:val="1265"/>
                    <w:adjustRightInd w:val="0"/>
                    <w:snapToGrid w:val="0"/>
                    <w:jc w:val="center"/>
                    <w:rPr>
                      <w:sz w:val="18"/>
                      <w:szCs w:val="18"/>
                    </w:rPr>
                  </w:pPr>
                  <w:r>
                    <w:rPr>
                      <w:sz w:val="18"/>
                      <w:szCs w:val="18"/>
                    </w:rPr>
                    <w:t>孝妇河</w:t>
                  </w:r>
                </w:p>
              </w:tc>
              <w:tc>
                <w:tcPr>
                  <w:tcW w:w="2903" w:type="dxa"/>
                  <w:gridSpan w:val="2"/>
                  <w:vAlign w:val="center"/>
                </w:tcPr>
                <w:p>
                  <w:pPr>
                    <w:pStyle w:val="1265"/>
                    <w:adjustRightInd w:val="0"/>
                    <w:snapToGrid w:val="0"/>
                    <w:jc w:val="center"/>
                    <w:rPr>
                      <w:sz w:val="18"/>
                      <w:szCs w:val="18"/>
                    </w:rPr>
                  </w:pPr>
                  <w:r>
                    <w:rPr>
                      <w:sz w:val="18"/>
                      <w:szCs w:val="18"/>
                    </w:rPr>
                    <w:t>《地表水环境质量标准》（GB3838-2002）</w:t>
                  </w:r>
                  <w:r>
                    <w:rPr>
                      <w:rFonts w:hint="eastAsia"/>
                      <w:sz w:val="18"/>
                      <w:szCs w:val="18"/>
                      <w:lang w:val="en-US" w:eastAsia="zh-CN"/>
                    </w:rPr>
                    <w:t>IV</w:t>
                  </w:r>
                  <w:r>
                    <w:rPr>
                      <w:sz w:val="18"/>
                      <w:szCs w:val="18"/>
                    </w:rPr>
                    <w:t>类标准</w:t>
                  </w:r>
                </w:p>
              </w:tc>
              <w:tc>
                <w:tcPr>
                  <w:tcW w:w="915" w:type="dxa"/>
                  <w:vAlign w:val="center"/>
                </w:tcPr>
                <w:p>
                  <w:pPr>
                    <w:pStyle w:val="1265"/>
                    <w:adjustRightInd w:val="0"/>
                    <w:snapToGrid w:val="0"/>
                    <w:jc w:val="center"/>
                    <w:rPr>
                      <w:sz w:val="18"/>
                      <w:szCs w:val="18"/>
                    </w:rPr>
                  </w:pPr>
                  <w:r>
                    <w:rPr>
                      <w:rFonts w:hint="eastAsia"/>
                      <w:sz w:val="18"/>
                      <w:szCs w:val="18"/>
                      <w:lang w:val="en-US" w:eastAsia="zh-CN"/>
                    </w:rPr>
                    <w:t>N</w:t>
                  </w:r>
                  <w:r>
                    <w:rPr>
                      <w:sz w:val="18"/>
                      <w:szCs w:val="18"/>
                    </w:rPr>
                    <w:t>W</w:t>
                  </w:r>
                </w:p>
              </w:tc>
              <w:tc>
                <w:tcPr>
                  <w:tcW w:w="1213" w:type="dxa"/>
                  <w:vAlign w:val="center"/>
                </w:tcPr>
                <w:p>
                  <w:pPr>
                    <w:pStyle w:val="1265"/>
                    <w:adjustRightInd w:val="0"/>
                    <w:snapToGrid w:val="0"/>
                    <w:jc w:val="center"/>
                    <w:rPr>
                      <w:rFonts w:hint="default" w:eastAsia="宋体"/>
                      <w:sz w:val="18"/>
                      <w:szCs w:val="18"/>
                      <w:lang w:val="en-US" w:eastAsia="zh-CN"/>
                    </w:rPr>
                  </w:pPr>
                  <w:r>
                    <w:rPr>
                      <w:sz w:val="18"/>
                      <w:szCs w:val="18"/>
                    </w:rPr>
                    <w:t>1</w:t>
                  </w:r>
                  <w:r>
                    <w:rPr>
                      <w:rFonts w:hint="eastAsia"/>
                      <w:sz w:val="18"/>
                      <w:szCs w:val="18"/>
                      <w:lang w:val="en-US" w:eastAsia="zh-CN"/>
                    </w:rPr>
                    <w:t>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89" w:type="dxa"/>
                  <w:vAlign w:val="center"/>
                </w:tcPr>
                <w:p>
                  <w:pPr>
                    <w:pStyle w:val="1265"/>
                    <w:adjustRightInd w:val="0"/>
                    <w:snapToGrid w:val="0"/>
                    <w:jc w:val="center"/>
                    <w:rPr>
                      <w:sz w:val="18"/>
                      <w:szCs w:val="18"/>
                    </w:rPr>
                  </w:pPr>
                  <w:r>
                    <w:rPr>
                      <w:sz w:val="18"/>
                      <w:szCs w:val="18"/>
                    </w:rPr>
                    <w:t>地下水</w:t>
                  </w:r>
                </w:p>
              </w:tc>
              <w:tc>
                <w:tcPr>
                  <w:tcW w:w="6795" w:type="dxa"/>
                  <w:gridSpan w:val="5"/>
                  <w:vAlign w:val="center"/>
                </w:tcPr>
                <w:p>
                  <w:pPr>
                    <w:pStyle w:val="1265"/>
                    <w:adjustRightInd w:val="0"/>
                    <w:snapToGrid w:val="0"/>
                    <w:jc w:val="center"/>
                    <w:rPr>
                      <w:sz w:val="18"/>
                      <w:szCs w:val="18"/>
                    </w:rPr>
                  </w:pPr>
                  <w:r>
                    <w:rPr>
                      <w:sz w:val="18"/>
                      <w:szCs w:val="18"/>
                    </w:rPr>
                    <w:t>厂界周边500m范围内无地下水集中式饮用水水源和热水、矿泉水、温泉等特殊地下水资源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089" w:type="dxa"/>
                  <w:vAlign w:val="center"/>
                </w:tcPr>
                <w:p>
                  <w:pPr>
                    <w:pStyle w:val="1265"/>
                    <w:adjustRightInd w:val="0"/>
                    <w:snapToGrid w:val="0"/>
                    <w:jc w:val="center"/>
                    <w:rPr>
                      <w:sz w:val="18"/>
                      <w:szCs w:val="18"/>
                    </w:rPr>
                  </w:pPr>
                  <w:r>
                    <w:rPr>
                      <w:sz w:val="18"/>
                      <w:szCs w:val="18"/>
                    </w:rPr>
                    <w:t>生态</w:t>
                  </w:r>
                </w:p>
              </w:tc>
              <w:tc>
                <w:tcPr>
                  <w:tcW w:w="6795" w:type="dxa"/>
                  <w:gridSpan w:val="5"/>
                  <w:vAlign w:val="center"/>
                </w:tcPr>
                <w:p>
                  <w:pPr>
                    <w:pStyle w:val="1265"/>
                    <w:adjustRightInd w:val="0"/>
                    <w:snapToGrid w:val="0"/>
                    <w:jc w:val="center"/>
                    <w:rPr>
                      <w:sz w:val="18"/>
                      <w:szCs w:val="18"/>
                    </w:rPr>
                  </w:pPr>
                  <w:r>
                    <w:rPr>
                      <w:sz w:val="18"/>
                      <w:szCs w:val="18"/>
                    </w:rPr>
                    <w:t>项目用地范围内无生态环境保护目标</w:t>
                  </w:r>
                </w:p>
              </w:tc>
            </w:tr>
          </w:tbl>
          <w:p>
            <w:pPr>
              <w:pStyle w:val="2"/>
              <w:rPr>
                <w:color w:val="FF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08" w:hRule="atLeast"/>
          <w:jc w:val="center"/>
        </w:trPr>
        <w:tc>
          <w:tcPr>
            <w:tcW w:w="800" w:type="dxa"/>
            <w:tcMar>
              <w:left w:w="28" w:type="dxa"/>
              <w:right w:w="28" w:type="dxa"/>
            </w:tcMar>
            <w:vAlign w:val="center"/>
          </w:tcPr>
          <w:p>
            <w:pPr>
              <w:adjustRightInd w:val="0"/>
              <w:snapToGrid w:val="0"/>
              <w:spacing w:line="420" w:lineRule="exact"/>
              <w:jc w:val="center"/>
              <w:rPr>
                <w:kern w:val="0"/>
              </w:rPr>
            </w:pPr>
            <w:r>
              <w:rPr>
                <w:kern w:val="0"/>
              </w:rPr>
              <w:t>污染</w:t>
            </w:r>
          </w:p>
          <w:p>
            <w:pPr>
              <w:adjustRightInd w:val="0"/>
              <w:snapToGrid w:val="0"/>
              <w:spacing w:line="420" w:lineRule="exact"/>
              <w:jc w:val="center"/>
              <w:rPr>
                <w:kern w:val="0"/>
              </w:rPr>
            </w:pPr>
            <w:r>
              <w:rPr>
                <w:kern w:val="0"/>
              </w:rPr>
              <w:t>物排</w:t>
            </w:r>
          </w:p>
          <w:p>
            <w:pPr>
              <w:adjustRightInd w:val="0"/>
              <w:snapToGrid w:val="0"/>
              <w:spacing w:line="420" w:lineRule="exact"/>
              <w:jc w:val="center"/>
              <w:rPr>
                <w:kern w:val="0"/>
              </w:rPr>
            </w:pPr>
            <w:r>
              <w:rPr>
                <w:kern w:val="0"/>
              </w:rPr>
              <w:t>放控</w:t>
            </w:r>
          </w:p>
          <w:p>
            <w:pPr>
              <w:adjustRightInd w:val="0"/>
              <w:snapToGrid w:val="0"/>
              <w:spacing w:line="420" w:lineRule="exact"/>
              <w:jc w:val="center"/>
              <w:rPr>
                <w:kern w:val="0"/>
              </w:rPr>
            </w:pPr>
            <w:r>
              <w:rPr>
                <w:kern w:val="0"/>
              </w:rPr>
              <w:t>制标</w:t>
            </w:r>
          </w:p>
          <w:p>
            <w:pPr>
              <w:adjustRightInd w:val="0"/>
              <w:snapToGrid w:val="0"/>
              <w:spacing w:line="420" w:lineRule="exact"/>
              <w:jc w:val="center"/>
              <w:rPr>
                <w:kern w:val="0"/>
              </w:rPr>
            </w:pPr>
            <w:r>
              <w:rPr>
                <w:kern w:val="0"/>
              </w:rPr>
              <w:t>准</w:t>
            </w:r>
          </w:p>
        </w:tc>
        <w:tc>
          <w:tcPr>
            <w:tcW w:w="8190" w:type="dxa"/>
            <w:vAlign w:val="center"/>
          </w:tcPr>
          <w:p>
            <w:pPr>
              <w:pStyle w:val="1040"/>
              <w:spacing w:line="420" w:lineRule="exact"/>
              <w:ind w:left="-96" w:firstLine="422"/>
              <w:rPr>
                <w:b/>
                <w:szCs w:val="21"/>
              </w:rPr>
            </w:pPr>
            <w:r>
              <w:rPr>
                <w:b/>
                <w:szCs w:val="21"/>
              </w:rPr>
              <w:t>1、噪声</w:t>
            </w:r>
          </w:p>
          <w:p>
            <w:pPr>
              <w:spacing w:line="420" w:lineRule="exact"/>
              <w:ind w:firstLine="420" w:firstLineChars="200"/>
            </w:pPr>
            <w:r>
              <w:t>营运期噪声执行《工业企业厂界环境噪声排放标准》（GB12348-2008）2类标准，具体标准值见表3-</w:t>
            </w:r>
            <w:r>
              <w:rPr>
                <w:rFonts w:hint="eastAsia"/>
                <w:lang w:val="en-US" w:eastAsia="zh-CN"/>
              </w:rPr>
              <w:t>3</w:t>
            </w:r>
            <w:r>
              <w:t>。</w:t>
            </w:r>
          </w:p>
          <w:p>
            <w:pPr>
              <w:spacing w:line="420" w:lineRule="exact"/>
              <w:jc w:val="center"/>
              <w:rPr>
                <w:b/>
              </w:rPr>
            </w:pPr>
            <w:r>
              <w:rPr>
                <w:b/>
              </w:rPr>
              <w:t>表3-</w:t>
            </w:r>
            <w:r>
              <w:rPr>
                <w:rFonts w:hint="eastAsia"/>
                <w:b/>
                <w:lang w:val="en-US" w:eastAsia="zh-CN"/>
              </w:rPr>
              <w:t>3</w:t>
            </w:r>
            <w:r>
              <w:rPr>
                <w:b/>
              </w:rPr>
              <w:t>工业企业厂界环境噪声排放标准       单位：</w:t>
            </w:r>
            <w:r>
              <w:rPr>
                <w:b/>
                <w:bCs/>
              </w:rPr>
              <w:t>dB（A）</w:t>
            </w:r>
          </w:p>
          <w:tbl>
            <w:tblPr>
              <w:tblStyle w:val="85"/>
              <w:tblW w:w="0" w:type="auto"/>
              <w:jc w:val="center"/>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289"/>
              <w:gridCol w:w="1218"/>
              <w:gridCol w:w="1293"/>
              <w:gridCol w:w="4084"/>
            </w:tblGrid>
            <w:tr>
              <w:tblPrEx>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PrEx>
              <w:trPr>
                <w:trHeight w:val="279" w:hRule="atLeast"/>
                <w:jc w:val="center"/>
              </w:trPr>
              <w:tc>
                <w:tcPr>
                  <w:tcW w:w="1289" w:type="dxa"/>
                  <w:vAlign w:val="center"/>
                </w:tcPr>
                <w:p>
                  <w:pPr>
                    <w:spacing w:line="420" w:lineRule="exact"/>
                    <w:jc w:val="center"/>
                    <w:rPr>
                      <w:b/>
                      <w:bCs/>
                      <w:sz w:val="18"/>
                      <w:szCs w:val="18"/>
                    </w:rPr>
                  </w:pPr>
                  <w:r>
                    <w:rPr>
                      <w:b/>
                      <w:bCs/>
                      <w:sz w:val="18"/>
                      <w:szCs w:val="18"/>
                    </w:rPr>
                    <w:t>类别</w:t>
                  </w:r>
                </w:p>
              </w:tc>
              <w:tc>
                <w:tcPr>
                  <w:tcW w:w="1218" w:type="dxa"/>
                  <w:vAlign w:val="center"/>
                </w:tcPr>
                <w:p>
                  <w:pPr>
                    <w:spacing w:line="420" w:lineRule="exact"/>
                    <w:jc w:val="center"/>
                    <w:rPr>
                      <w:b/>
                      <w:bCs/>
                      <w:sz w:val="18"/>
                      <w:szCs w:val="18"/>
                    </w:rPr>
                  </w:pPr>
                  <w:r>
                    <w:rPr>
                      <w:b/>
                      <w:bCs/>
                      <w:sz w:val="18"/>
                      <w:szCs w:val="18"/>
                    </w:rPr>
                    <w:t>昼间</w:t>
                  </w:r>
                </w:p>
              </w:tc>
              <w:tc>
                <w:tcPr>
                  <w:tcW w:w="1293" w:type="dxa"/>
                  <w:vAlign w:val="center"/>
                </w:tcPr>
                <w:p>
                  <w:pPr>
                    <w:spacing w:line="420" w:lineRule="exact"/>
                    <w:jc w:val="center"/>
                    <w:rPr>
                      <w:b/>
                      <w:bCs/>
                      <w:sz w:val="18"/>
                      <w:szCs w:val="18"/>
                    </w:rPr>
                  </w:pPr>
                  <w:r>
                    <w:rPr>
                      <w:b/>
                      <w:bCs/>
                      <w:sz w:val="18"/>
                      <w:szCs w:val="18"/>
                    </w:rPr>
                    <w:t>夜间</w:t>
                  </w:r>
                </w:p>
              </w:tc>
              <w:tc>
                <w:tcPr>
                  <w:tcW w:w="4084" w:type="dxa"/>
                  <w:vAlign w:val="center"/>
                </w:tcPr>
                <w:p>
                  <w:pPr>
                    <w:spacing w:line="420" w:lineRule="exact"/>
                    <w:jc w:val="center"/>
                    <w:rPr>
                      <w:b/>
                      <w:bCs/>
                      <w:sz w:val="18"/>
                      <w:szCs w:val="18"/>
                    </w:rPr>
                  </w:pPr>
                  <w:r>
                    <w:rPr>
                      <w:b/>
                      <w:bCs/>
                      <w:sz w:val="18"/>
                      <w:szCs w:val="18"/>
                    </w:rPr>
                    <w:t>标准来源</w:t>
                  </w:r>
                </w:p>
              </w:tc>
            </w:tr>
            <w:tr>
              <w:tblPrEx>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89" w:type="dxa"/>
                  <w:vAlign w:val="center"/>
                </w:tcPr>
                <w:p>
                  <w:pPr>
                    <w:spacing w:line="420" w:lineRule="exact"/>
                    <w:jc w:val="center"/>
                    <w:rPr>
                      <w:bCs/>
                      <w:sz w:val="18"/>
                      <w:szCs w:val="18"/>
                    </w:rPr>
                  </w:pPr>
                  <w:r>
                    <w:rPr>
                      <w:bCs/>
                      <w:sz w:val="18"/>
                      <w:szCs w:val="18"/>
                    </w:rPr>
                    <w:t>2</w:t>
                  </w:r>
                </w:p>
              </w:tc>
              <w:tc>
                <w:tcPr>
                  <w:tcW w:w="1218" w:type="dxa"/>
                  <w:vAlign w:val="center"/>
                </w:tcPr>
                <w:p>
                  <w:pPr>
                    <w:spacing w:line="420" w:lineRule="exact"/>
                    <w:jc w:val="center"/>
                    <w:rPr>
                      <w:bCs/>
                      <w:sz w:val="18"/>
                      <w:szCs w:val="18"/>
                    </w:rPr>
                  </w:pPr>
                  <w:r>
                    <w:rPr>
                      <w:bCs/>
                      <w:sz w:val="18"/>
                      <w:szCs w:val="18"/>
                    </w:rPr>
                    <w:t>60</w:t>
                  </w:r>
                </w:p>
              </w:tc>
              <w:tc>
                <w:tcPr>
                  <w:tcW w:w="1293" w:type="dxa"/>
                  <w:vAlign w:val="center"/>
                </w:tcPr>
                <w:p>
                  <w:pPr>
                    <w:spacing w:line="420" w:lineRule="exact"/>
                    <w:jc w:val="center"/>
                    <w:rPr>
                      <w:bCs/>
                      <w:sz w:val="18"/>
                      <w:szCs w:val="18"/>
                    </w:rPr>
                  </w:pPr>
                  <w:r>
                    <w:rPr>
                      <w:bCs/>
                      <w:sz w:val="18"/>
                      <w:szCs w:val="18"/>
                    </w:rPr>
                    <w:t>50</w:t>
                  </w:r>
                </w:p>
              </w:tc>
              <w:tc>
                <w:tcPr>
                  <w:tcW w:w="4084" w:type="dxa"/>
                  <w:vAlign w:val="center"/>
                </w:tcPr>
                <w:p>
                  <w:pPr>
                    <w:spacing w:line="420" w:lineRule="exact"/>
                    <w:jc w:val="center"/>
                    <w:rPr>
                      <w:bCs/>
                      <w:sz w:val="18"/>
                      <w:szCs w:val="18"/>
                    </w:rPr>
                  </w:pPr>
                  <w:r>
                    <w:rPr>
                      <w:sz w:val="18"/>
                      <w:szCs w:val="18"/>
                    </w:rPr>
                    <w:t>（GB12348-2008）</w:t>
                  </w:r>
                  <w:r>
                    <w:rPr>
                      <w:bCs/>
                      <w:sz w:val="18"/>
                      <w:szCs w:val="18"/>
                    </w:rPr>
                    <w:t>2</w:t>
                  </w:r>
                  <w:r>
                    <w:rPr>
                      <w:sz w:val="18"/>
                      <w:szCs w:val="18"/>
                    </w:rPr>
                    <w:t>类标准</w:t>
                  </w:r>
                </w:p>
              </w:tc>
            </w:tr>
          </w:tbl>
          <w:p>
            <w:pPr>
              <w:autoSpaceDE w:val="0"/>
              <w:autoSpaceDN w:val="0"/>
              <w:adjustRightInd w:val="0"/>
              <w:spacing w:line="360" w:lineRule="auto"/>
              <w:ind w:firstLine="422" w:firstLineChars="200"/>
              <w:rPr>
                <w:b/>
              </w:rPr>
            </w:pPr>
            <w:r>
              <w:rPr>
                <w:b/>
              </w:rPr>
              <w:t>2、废气</w:t>
            </w:r>
          </w:p>
          <w:p>
            <w:pPr>
              <w:spacing w:line="360" w:lineRule="auto"/>
              <w:ind w:firstLine="420" w:firstLineChars="200"/>
              <w:rPr>
                <w:rFonts w:eastAsiaTheme="minorEastAsia"/>
              </w:rPr>
            </w:pPr>
            <w:r>
              <w:t>营运期</w:t>
            </w:r>
            <w:r>
              <w:rPr>
                <w:rFonts w:hint="eastAsia" w:eastAsiaTheme="minorEastAsia"/>
                <w:color w:val="000000" w:themeColor="text1"/>
                <w14:textFill>
                  <w14:solidFill>
                    <w14:schemeClr w14:val="tx1"/>
                  </w14:solidFill>
                </w14:textFill>
              </w:rPr>
              <w:t>有</w:t>
            </w:r>
            <w:r>
              <w:rPr>
                <w:rFonts w:eastAsiaTheme="minorEastAsia"/>
                <w:color w:val="000000" w:themeColor="text1"/>
                <w14:textFill>
                  <w14:solidFill>
                    <w14:schemeClr w14:val="tx1"/>
                  </w14:solidFill>
                </w14:textFill>
              </w:rPr>
              <w:t>组织</w:t>
            </w:r>
            <w:r>
              <w:rPr>
                <w:rFonts w:hint="eastAsia" w:eastAsiaTheme="minorEastAsia"/>
                <w:color w:val="000000" w:themeColor="text1"/>
                <w:lang w:val="en-US" w:eastAsia="zh-CN"/>
                <w14:textFill>
                  <w14:solidFill>
                    <w14:schemeClr w14:val="tx1"/>
                  </w14:solidFill>
                </w14:textFill>
              </w:rPr>
              <w:t>VOCs</w:t>
            </w:r>
            <w:r>
              <w:rPr>
                <w:rFonts w:eastAsiaTheme="minorEastAsia"/>
                <w:color w:val="000000" w:themeColor="text1"/>
                <w14:textFill>
                  <w14:solidFill>
                    <w14:schemeClr w14:val="tx1"/>
                  </w14:solidFill>
                </w14:textFill>
              </w:rPr>
              <w:t>排放执行</w:t>
            </w:r>
            <w:r>
              <w:rPr>
                <w:rFonts w:hint="eastAsia" w:eastAsiaTheme="minorEastAsia"/>
                <w:color w:val="000000" w:themeColor="text1"/>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挥发性有机物排放标准</w:t>
            </w:r>
            <w:r>
              <w:rPr>
                <w:rFonts w:hint="eastAsia" w:eastAsiaTheme="minorEastAsia"/>
                <w:color w:val="000000" w:themeColor="text1"/>
                <w:lang w:val="en-US" w:eastAsia="zh-CN"/>
                <w14:textFill>
                  <w14:solidFill>
                    <w14:schemeClr w14:val="tx1"/>
                  </w14:solidFill>
                </w14:textFill>
              </w:rPr>
              <w:t xml:space="preserve"> 第4部分：印刷业</w:t>
            </w:r>
            <w:r>
              <w:rPr>
                <w:rFonts w:hint="eastAsia" w:eastAsiaTheme="minorEastAsia"/>
                <w:color w:val="000000" w:themeColor="text1"/>
                <w14:textFill>
                  <w14:solidFill>
                    <w14:schemeClr w14:val="tx1"/>
                  </w14:solidFill>
                </w14:textFill>
              </w:rPr>
              <w:t>》（DB37/</w:t>
            </w:r>
            <w:r>
              <w:rPr>
                <w:rFonts w:hint="eastAsia" w:eastAsiaTheme="minorEastAsia"/>
                <w:color w:val="000000" w:themeColor="text1"/>
                <w:lang w:val="en-US" w:eastAsia="zh-CN"/>
                <w14:textFill>
                  <w14:solidFill>
                    <w14:schemeClr w14:val="tx1"/>
                  </w14:solidFill>
                </w14:textFill>
              </w:rPr>
              <w:t>2801.4</w:t>
            </w:r>
            <w:r>
              <w:rPr>
                <w:rFonts w:hint="eastAsia" w:eastAsiaTheme="minorEastAsia"/>
                <w:color w:val="000000" w:themeColor="text1"/>
                <w14:textFill>
                  <w14:solidFill>
                    <w14:schemeClr w14:val="tx1"/>
                  </w14:solidFill>
                </w14:textFill>
              </w:rPr>
              <w:t>-201</w:t>
            </w:r>
            <w:r>
              <w:rPr>
                <w:rFonts w:hint="eastAsia" w:eastAsiaTheme="minorEastAsia"/>
                <w:color w:val="000000" w:themeColor="text1"/>
                <w:lang w:val="en-US" w:eastAsia="zh-CN"/>
                <w14:textFill>
                  <w14:solidFill>
                    <w14:schemeClr w14:val="tx1"/>
                  </w14:solidFill>
                </w14:textFill>
              </w:rPr>
              <w:t>7</w:t>
            </w:r>
            <w:r>
              <w:rPr>
                <w:rFonts w:hint="eastAsia" w:eastAsiaTheme="minorEastAsia"/>
                <w:color w:val="000000" w:themeColor="text1"/>
                <w14:textFill>
                  <w14:solidFill>
                    <w14:schemeClr w14:val="tx1"/>
                  </w14:solidFill>
                </w14:textFill>
              </w:rPr>
              <w:t>）表</w:t>
            </w:r>
            <w:r>
              <w:rPr>
                <w:rFonts w:hint="eastAsia" w:eastAsiaTheme="minorEastAsia"/>
                <w:color w:val="000000" w:themeColor="text1"/>
                <w:lang w:val="en-US" w:eastAsia="zh-CN"/>
                <w14:textFill>
                  <w14:solidFill>
                    <w14:schemeClr w14:val="tx1"/>
                  </w14:solidFill>
                </w14:textFill>
              </w:rPr>
              <w:t>2中排放限值要求（50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w:t>
            </w:r>
            <w:r>
              <w:rPr>
                <w:rFonts w:hint="eastAsia" w:eastAsiaTheme="minorEastAsia"/>
                <w:color w:val="000000" w:themeColor="text1"/>
                <w:vertAlign w:val="baseline"/>
                <w:lang w:val="en-US" w:eastAsia="zh-CN"/>
                <w14:textFill>
                  <w14:solidFill>
                    <w14:schemeClr w14:val="tx1"/>
                  </w14:solidFill>
                </w14:textFill>
              </w:rPr>
              <w:t>1.5kg/h</w:t>
            </w:r>
            <w:r>
              <w:rPr>
                <w:rFonts w:hint="eastAsia" w:eastAsiaTheme="minorEastAsia"/>
                <w:color w:val="000000" w:themeColor="text1"/>
                <w:lang w:val="en-US" w:eastAsia="zh-CN"/>
                <w14:textFill>
                  <w14:solidFill>
                    <w14:schemeClr w14:val="tx1"/>
                  </w14:solidFill>
                </w14:textFill>
              </w:rPr>
              <w:t>）</w:t>
            </w:r>
            <w:r>
              <w:rPr>
                <w:rFonts w:hint="eastAsia" w:eastAsiaTheme="minorEastAsia"/>
                <w:color w:val="000000" w:themeColor="text1"/>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有组织颗粒物、二氧化硫、氮氧化物、林格曼黑度执行《锅炉大气污染物排放标准》（</w:t>
            </w:r>
            <w:r>
              <w:rPr>
                <w:rFonts w:hint="eastAsia" w:eastAsiaTheme="minorEastAsia"/>
                <w:color w:val="000000" w:themeColor="text1"/>
                <w14:textFill>
                  <w14:solidFill>
                    <w14:schemeClr w14:val="tx1"/>
                  </w14:solidFill>
                </w14:textFill>
              </w:rPr>
              <w:t>DB37/</w:t>
            </w:r>
            <w:r>
              <w:rPr>
                <w:rFonts w:hint="eastAsia" w:eastAsiaTheme="minorEastAsia"/>
                <w:color w:val="000000" w:themeColor="text1"/>
                <w:lang w:val="en-US" w:eastAsia="zh-CN"/>
                <w14:textFill>
                  <w14:solidFill>
                    <w14:schemeClr w14:val="tx1"/>
                  </w14:solidFill>
                </w14:textFill>
              </w:rPr>
              <w:t>2374</w:t>
            </w:r>
            <w:r>
              <w:rPr>
                <w:rFonts w:hint="eastAsia" w:eastAsiaTheme="minorEastAsia"/>
                <w:color w:val="000000" w:themeColor="text1"/>
                <w14:textFill>
                  <w14:solidFill>
                    <w14:schemeClr w14:val="tx1"/>
                  </w14:solidFill>
                </w14:textFill>
              </w:rPr>
              <w:t>-201</w:t>
            </w:r>
            <w:r>
              <w:rPr>
                <w:rFonts w:hint="eastAsia" w:eastAsiaTheme="minorEastAsia"/>
                <w:color w:val="000000" w:themeColor="text1"/>
                <w:lang w:val="en-US" w:eastAsia="zh-CN"/>
                <w14:textFill>
                  <w14:solidFill>
                    <w14:schemeClr w14:val="tx1"/>
                  </w14:solidFill>
                </w14:textFill>
              </w:rPr>
              <w:t>8</w:t>
            </w:r>
            <w:r>
              <w:rPr>
                <w:rFonts w:hint="eastAsia" w:eastAsiaTheme="minorEastAsia"/>
                <w:color w:val="000000" w:themeColor="text1"/>
                <w:lang w:eastAsia="zh-CN"/>
                <w14:textFill>
                  <w14:solidFill>
                    <w14:schemeClr w14:val="tx1"/>
                  </w14:solidFill>
                </w14:textFill>
              </w:rPr>
              <w:t>）表</w:t>
            </w:r>
            <w:r>
              <w:rPr>
                <w:rFonts w:hint="eastAsia" w:eastAsiaTheme="minorEastAsia"/>
                <w:color w:val="000000" w:themeColor="text1"/>
                <w:lang w:val="en-US" w:eastAsia="zh-CN"/>
                <w14:textFill>
                  <w14:solidFill>
                    <w14:schemeClr w14:val="tx1"/>
                  </w14:solidFill>
                </w14:textFill>
              </w:rPr>
              <w:t>2重点控制区</w:t>
            </w:r>
            <w:r>
              <w:rPr>
                <w:rFonts w:hint="eastAsia" w:eastAsiaTheme="minorEastAsia"/>
                <w:color w:val="000000" w:themeColor="text1"/>
                <w14:textFill>
                  <w14:solidFill>
                    <w14:schemeClr w14:val="tx1"/>
                  </w14:solidFill>
                </w14:textFill>
              </w:rPr>
              <w:t>污染物排放浓度限值</w:t>
            </w:r>
            <w:r>
              <w:rPr>
                <w:rFonts w:hint="eastAsia" w:eastAsiaTheme="minorEastAsia"/>
                <w:color w:val="000000" w:themeColor="text1"/>
                <w:lang w:eastAsia="zh-CN"/>
                <w14:textFill>
                  <w14:solidFill>
                    <w14:schemeClr w14:val="tx1"/>
                  </w14:solidFill>
                </w14:textFill>
              </w:rPr>
              <w:t>要求（颗粒物：</w:t>
            </w:r>
            <w:r>
              <w:rPr>
                <w:rFonts w:hint="eastAsia" w:eastAsiaTheme="minorEastAsia"/>
                <w:color w:val="000000" w:themeColor="text1"/>
                <w:lang w:val="en-US" w:eastAsia="zh-CN"/>
                <w14:textFill>
                  <w14:solidFill>
                    <w14:schemeClr w14:val="tx1"/>
                  </w14:solidFill>
                </w14:textFill>
              </w:rPr>
              <w:t>10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；二氧化硫：</w:t>
            </w:r>
            <w:r>
              <w:rPr>
                <w:rFonts w:hint="eastAsia" w:eastAsiaTheme="minorEastAsia"/>
                <w:color w:val="000000" w:themeColor="text1"/>
                <w:vertAlign w:val="baseline"/>
                <w:lang w:val="en-US" w:eastAsia="zh-CN"/>
                <w14:textFill>
                  <w14:solidFill>
                    <w14:schemeClr w14:val="tx1"/>
                  </w14:solidFill>
                </w14:textFill>
              </w:rPr>
              <w:t>50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；氮氧化物</w:t>
            </w:r>
            <w:r>
              <w:rPr>
                <w:rFonts w:hint="eastAsia" w:eastAsiaTheme="minorEastAsia"/>
                <w:color w:val="000000" w:themeColor="text1"/>
                <w:vertAlign w:val="baseline"/>
                <w:lang w:val="en-US" w:eastAsia="zh-CN"/>
                <w14:textFill>
                  <w14:solidFill>
                    <w14:schemeClr w14:val="tx1"/>
                  </w14:solidFill>
                </w14:textFill>
              </w:rPr>
              <w:t>100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；林格曼黑度：</w:t>
            </w:r>
            <w:r>
              <w:rPr>
                <w:rFonts w:hint="eastAsia" w:eastAsiaTheme="minorEastAsia"/>
                <w:color w:val="000000" w:themeColor="text1"/>
                <w:vertAlign w:val="baseline"/>
                <w:lang w:val="en-US" w:eastAsia="zh-CN"/>
                <w14:textFill>
                  <w14:solidFill>
                    <w14:schemeClr w14:val="tx1"/>
                  </w14:solidFill>
                </w14:textFill>
              </w:rPr>
              <w:t>1级</w:t>
            </w:r>
            <w:r>
              <w:rPr>
                <w:rFonts w:hint="eastAsia" w:eastAsiaTheme="minorEastAsia"/>
                <w:color w:val="000000" w:themeColor="text1"/>
                <w:lang w:eastAsia="zh-CN"/>
                <w14:textFill>
                  <w14:solidFill>
                    <w14:schemeClr w14:val="tx1"/>
                  </w14:solidFill>
                </w14:textFill>
              </w:rPr>
              <w:t>）</w:t>
            </w:r>
            <w:r>
              <w:rPr>
                <w:rFonts w:eastAsiaTheme="minorEastAsia"/>
              </w:rPr>
              <w:t>；</w:t>
            </w:r>
          </w:p>
          <w:p>
            <w:pPr>
              <w:spacing w:line="360" w:lineRule="auto"/>
              <w:ind w:firstLine="420" w:firstLineChars="200"/>
              <w:rPr>
                <w:rFonts w:eastAsiaTheme="minorEastAsia"/>
                <w:highlight w:val="none"/>
              </w:rPr>
            </w:pPr>
            <w:r>
              <w:rPr>
                <w:rFonts w:hint="eastAsia" w:eastAsiaTheme="minorEastAsia"/>
                <w:lang w:eastAsia="zh-CN"/>
              </w:rPr>
              <w:t>厂界</w:t>
            </w:r>
            <w:r>
              <w:rPr>
                <w:rFonts w:hint="eastAsia" w:eastAsiaTheme="minorEastAsia"/>
                <w:lang w:val="en-US" w:eastAsia="zh-CN"/>
              </w:rPr>
              <w:t>VOCs</w:t>
            </w:r>
            <w:r>
              <w:rPr>
                <w:rFonts w:eastAsiaTheme="minorEastAsia"/>
              </w:rPr>
              <w:t>无组织排放执行</w:t>
            </w:r>
            <w:r>
              <w:rPr>
                <w:rFonts w:hint="eastAsia" w:eastAsiaTheme="minorEastAsia"/>
                <w:color w:val="000000" w:themeColor="text1"/>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挥发性有机物排放标准</w:t>
            </w:r>
            <w:r>
              <w:rPr>
                <w:rFonts w:hint="eastAsia" w:eastAsiaTheme="minorEastAsia"/>
                <w:color w:val="000000" w:themeColor="text1"/>
                <w:lang w:val="en-US" w:eastAsia="zh-CN"/>
                <w14:textFill>
                  <w14:solidFill>
                    <w14:schemeClr w14:val="tx1"/>
                  </w14:solidFill>
                </w14:textFill>
              </w:rPr>
              <w:t xml:space="preserve"> 第4部分：印刷业</w:t>
            </w:r>
            <w:r>
              <w:rPr>
                <w:rFonts w:hint="eastAsia" w:eastAsiaTheme="minorEastAsia"/>
                <w:color w:val="000000" w:themeColor="text1"/>
                <w14:textFill>
                  <w14:solidFill>
                    <w14:schemeClr w14:val="tx1"/>
                  </w14:solidFill>
                </w14:textFill>
              </w:rPr>
              <w:t>》（DB37/</w:t>
            </w:r>
            <w:r>
              <w:rPr>
                <w:rFonts w:hint="eastAsia" w:eastAsiaTheme="minorEastAsia"/>
                <w:color w:val="000000" w:themeColor="text1"/>
                <w:lang w:val="en-US" w:eastAsia="zh-CN"/>
                <w14:textFill>
                  <w14:solidFill>
                    <w14:schemeClr w14:val="tx1"/>
                  </w14:solidFill>
                </w14:textFill>
              </w:rPr>
              <w:t>2801.4</w:t>
            </w:r>
            <w:r>
              <w:rPr>
                <w:rFonts w:hint="eastAsia" w:eastAsiaTheme="minorEastAsia"/>
                <w:color w:val="000000" w:themeColor="text1"/>
                <w14:textFill>
                  <w14:solidFill>
                    <w14:schemeClr w14:val="tx1"/>
                  </w14:solidFill>
                </w14:textFill>
              </w:rPr>
              <w:t>-201</w:t>
            </w:r>
            <w:r>
              <w:rPr>
                <w:rFonts w:hint="eastAsia" w:eastAsiaTheme="minorEastAsia"/>
                <w:color w:val="000000" w:themeColor="text1"/>
                <w:lang w:val="en-US" w:eastAsia="zh-CN"/>
                <w14:textFill>
                  <w14:solidFill>
                    <w14:schemeClr w14:val="tx1"/>
                  </w14:solidFill>
                </w14:textFill>
              </w:rPr>
              <w:t>7</w:t>
            </w:r>
            <w:r>
              <w:rPr>
                <w:rFonts w:hint="eastAsia" w:eastAsiaTheme="minorEastAsia"/>
                <w:color w:val="000000" w:themeColor="text1"/>
                <w14:textFill>
                  <w14:solidFill>
                    <w14:schemeClr w14:val="tx1"/>
                  </w14:solidFill>
                </w14:textFill>
              </w:rPr>
              <w:t>）表</w:t>
            </w:r>
            <w:r>
              <w:rPr>
                <w:rFonts w:hint="eastAsia" w:eastAsiaTheme="minorEastAsia"/>
                <w:color w:val="000000" w:themeColor="text1"/>
                <w:lang w:val="en-US" w:eastAsia="zh-CN"/>
                <w14:textFill>
                  <w14:solidFill>
                    <w14:schemeClr w14:val="tx1"/>
                  </w14:solidFill>
                </w14:textFill>
              </w:rPr>
              <w:t>3中厂界监控点排放限值要求（2.0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w:t>
            </w:r>
            <w:r>
              <w:rPr>
                <w:rFonts w:eastAsiaTheme="minorEastAsia"/>
              </w:rPr>
              <w:t>。</w:t>
            </w:r>
            <w:r>
              <w:t>厂区内</w:t>
            </w:r>
            <w:r>
              <w:rPr>
                <w:rFonts w:hint="eastAsia"/>
                <w:lang w:val="en-US" w:eastAsia="zh-CN"/>
              </w:rPr>
              <w:t>VOCs</w:t>
            </w:r>
            <w:r>
              <w:t>无组织排放执行《挥发性有机物无组织排放控制标准》（GB37822-2019）中的控制标准及附录A中厂区内VOC</w:t>
            </w:r>
            <w:r>
              <w:rPr>
                <w:vertAlign w:val="subscript"/>
              </w:rPr>
              <w:t>S</w:t>
            </w:r>
            <w:r>
              <w:t>排放浓度（1h平均值6.0mg/m</w:t>
            </w:r>
            <w:r>
              <w:rPr>
                <w:vertAlign w:val="superscript"/>
              </w:rPr>
              <w:t>3</w:t>
            </w:r>
            <w:r>
              <w:t>、任一次20mg/m</w:t>
            </w:r>
            <w:r>
              <w:rPr>
                <w:vertAlign w:val="superscript"/>
              </w:rPr>
              <w:t>3</w:t>
            </w:r>
            <w:r>
              <w:t>）。</w:t>
            </w:r>
          </w:p>
          <w:p>
            <w:pPr>
              <w:adjustRightInd w:val="0"/>
              <w:snapToGrid w:val="0"/>
              <w:spacing w:line="360" w:lineRule="auto"/>
              <w:jc w:val="center"/>
              <w:rPr>
                <w:b/>
              </w:rPr>
            </w:pPr>
            <w:r>
              <w:rPr>
                <w:b/>
              </w:rPr>
              <w:t>表3-</w:t>
            </w:r>
            <w:r>
              <w:rPr>
                <w:rFonts w:hint="eastAsia"/>
                <w:b/>
                <w:lang w:val="en-US" w:eastAsia="zh-CN"/>
              </w:rPr>
              <w:t>4</w:t>
            </w:r>
            <w:r>
              <w:rPr>
                <w:b/>
              </w:rPr>
              <w:t>项目废气排放执行标准</w:t>
            </w:r>
          </w:p>
          <w:tbl>
            <w:tblPr>
              <w:tblStyle w:val="85"/>
              <w:tblW w:w="494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966"/>
              <w:gridCol w:w="1276"/>
              <w:gridCol w:w="992"/>
              <w:gridCol w:w="1134"/>
              <w:gridCol w:w="2523"/>
              <w:gridCol w:w="9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Merge w:val="restart"/>
                  <w:vAlign w:val="center"/>
                </w:tcPr>
                <w:p>
                  <w:pPr>
                    <w:autoSpaceDE w:val="0"/>
                    <w:autoSpaceDN w:val="0"/>
                    <w:adjustRightInd w:val="0"/>
                    <w:jc w:val="center"/>
                    <w:rPr>
                      <w:sz w:val="18"/>
                      <w:szCs w:val="18"/>
                    </w:rPr>
                  </w:pPr>
                  <w:r>
                    <w:rPr>
                      <w:sz w:val="18"/>
                      <w:szCs w:val="18"/>
                    </w:rPr>
                    <w:t>污染物名称</w:t>
                  </w:r>
                </w:p>
              </w:tc>
              <w:tc>
                <w:tcPr>
                  <w:tcW w:w="1276" w:type="dxa"/>
                  <w:vMerge w:val="restart"/>
                  <w:vAlign w:val="center"/>
                </w:tcPr>
                <w:p>
                  <w:pPr>
                    <w:autoSpaceDE w:val="0"/>
                    <w:autoSpaceDN w:val="0"/>
                    <w:adjustRightInd w:val="0"/>
                    <w:jc w:val="center"/>
                    <w:rPr>
                      <w:sz w:val="18"/>
                      <w:szCs w:val="18"/>
                    </w:rPr>
                  </w:pPr>
                  <w:r>
                    <w:rPr>
                      <w:sz w:val="18"/>
                      <w:szCs w:val="18"/>
                    </w:rPr>
                    <w:t>排放浓度mg/m</w:t>
                  </w:r>
                  <w:r>
                    <w:rPr>
                      <w:sz w:val="18"/>
                      <w:szCs w:val="18"/>
                      <w:vertAlign w:val="superscript"/>
                    </w:rPr>
                    <w:t>3</w:t>
                  </w:r>
                </w:p>
              </w:tc>
              <w:tc>
                <w:tcPr>
                  <w:tcW w:w="2126" w:type="dxa"/>
                  <w:gridSpan w:val="2"/>
                  <w:vAlign w:val="center"/>
                </w:tcPr>
                <w:p>
                  <w:pPr>
                    <w:autoSpaceDE w:val="0"/>
                    <w:autoSpaceDN w:val="0"/>
                    <w:adjustRightInd w:val="0"/>
                    <w:jc w:val="center"/>
                    <w:rPr>
                      <w:sz w:val="18"/>
                      <w:szCs w:val="18"/>
                    </w:rPr>
                  </w:pPr>
                  <w:r>
                    <w:rPr>
                      <w:sz w:val="18"/>
                      <w:szCs w:val="18"/>
                    </w:rPr>
                    <w:t>最高允许排放速率，kg/h</w:t>
                  </w:r>
                </w:p>
              </w:tc>
              <w:tc>
                <w:tcPr>
                  <w:tcW w:w="3504" w:type="dxa"/>
                  <w:gridSpan w:val="2"/>
                  <w:vAlign w:val="center"/>
                </w:tcPr>
                <w:p>
                  <w:pPr>
                    <w:autoSpaceDE w:val="0"/>
                    <w:autoSpaceDN w:val="0"/>
                    <w:adjustRightInd w:val="0"/>
                    <w:jc w:val="center"/>
                    <w:rPr>
                      <w:sz w:val="18"/>
                      <w:szCs w:val="18"/>
                    </w:rPr>
                  </w:pPr>
                  <w:r>
                    <w:rPr>
                      <w:sz w:val="18"/>
                      <w:szCs w:val="18"/>
                    </w:rPr>
                    <w:t>无组织排放浓度限值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Merge w:val="continue"/>
                  <w:vAlign w:val="center"/>
                </w:tcPr>
                <w:p>
                  <w:pPr>
                    <w:autoSpaceDE w:val="0"/>
                    <w:autoSpaceDN w:val="0"/>
                    <w:adjustRightInd w:val="0"/>
                    <w:jc w:val="center"/>
                    <w:rPr>
                      <w:sz w:val="18"/>
                      <w:szCs w:val="18"/>
                    </w:rPr>
                  </w:pPr>
                </w:p>
              </w:tc>
              <w:tc>
                <w:tcPr>
                  <w:tcW w:w="1276" w:type="dxa"/>
                  <w:vMerge w:val="continue"/>
                  <w:vAlign w:val="center"/>
                </w:tcPr>
                <w:p>
                  <w:pPr>
                    <w:autoSpaceDE w:val="0"/>
                    <w:autoSpaceDN w:val="0"/>
                    <w:adjustRightInd w:val="0"/>
                    <w:jc w:val="center"/>
                    <w:rPr>
                      <w:sz w:val="18"/>
                      <w:szCs w:val="18"/>
                    </w:rPr>
                  </w:pPr>
                </w:p>
              </w:tc>
              <w:tc>
                <w:tcPr>
                  <w:tcW w:w="992" w:type="dxa"/>
                  <w:vAlign w:val="center"/>
                </w:tcPr>
                <w:p>
                  <w:pPr>
                    <w:autoSpaceDE w:val="0"/>
                    <w:autoSpaceDN w:val="0"/>
                    <w:adjustRightInd w:val="0"/>
                    <w:jc w:val="center"/>
                    <w:rPr>
                      <w:sz w:val="18"/>
                      <w:szCs w:val="18"/>
                    </w:rPr>
                  </w:pPr>
                  <w:r>
                    <w:rPr>
                      <w:sz w:val="18"/>
                      <w:szCs w:val="18"/>
                    </w:rPr>
                    <w:t>排气筒高度</w:t>
                  </w:r>
                </w:p>
              </w:tc>
              <w:tc>
                <w:tcPr>
                  <w:tcW w:w="1134" w:type="dxa"/>
                  <w:vAlign w:val="center"/>
                </w:tcPr>
                <w:p>
                  <w:pPr>
                    <w:autoSpaceDE w:val="0"/>
                    <w:autoSpaceDN w:val="0"/>
                    <w:adjustRightInd w:val="0"/>
                    <w:jc w:val="center"/>
                    <w:rPr>
                      <w:sz w:val="18"/>
                      <w:szCs w:val="18"/>
                    </w:rPr>
                  </w:pPr>
                  <w:r>
                    <w:rPr>
                      <w:sz w:val="18"/>
                      <w:szCs w:val="18"/>
                    </w:rPr>
                    <w:t>速率限值</w:t>
                  </w:r>
                </w:p>
              </w:tc>
              <w:tc>
                <w:tcPr>
                  <w:tcW w:w="2524" w:type="dxa"/>
                  <w:vAlign w:val="center"/>
                </w:tcPr>
                <w:p>
                  <w:pPr>
                    <w:autoSpaceDE w:val="0"/>
                    <w:autoSpaceDN w:val="0"/>
                    <w:adjustRightInd w:val="0"/>
                    <w:jc w:val="center"/>
                    <w:rPr>
                      <w:sz w:val="18"/>
                      <w:szCs w:val="18"/>
                    </w:rPr>
                  </w:pPr>
                  <w:r>
                    <w:rPr>
                      <w:sz w:val="18"/>
                      <w:szCs w:val="18"/>
                    </w:rPr>
                    <w:t>监控点</w:t>
                  </w:r>
                </w:p>
              </w:tc>
              <w:tc>
                <w:tcPr>
                  <w:tcW w:w="980" w:type="dxa"/>
                  <w:vAlign w:val="center"/>
                </w:tcPr>
                <w:p>
                  <w:pPr>
                    <w:autoSpaceDE w:val="0"/>
                    <w:autoSpaceDN w:val="0"/>
                    <w:adjustRightInd w:val="0"/>
                    <w:jc w:val="center"/>
                    <w:rPr>
                      <w:sz w:val="18"/>
                      <w:szCs w:val="18"/>
                    </w:rPr>
                  </w:pPr>
                  <w:r>
                    <w:rPr>
                      <w:sz w:val="18"/>
                      <w:szCs w:val="18"/>
                    </w:rPr>
                    <w:t>浓度mg/m</w:t>
                  </w:r>
                  <w:r>
                    <w:rPr>
                      <w:sz w:val="18"/>
                      <w:szCs w:val="18"/>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Merge w:val="restart"/>
                  <w:vAlign w:val="center"/>
                </w:tcPr>
                <w:p>
                  <w:pPr>
                    <w:autoSpaceDE w:val="0"/>
                    <w:autoSpaceDN w:val="0"/>
                    <w:adjustRightInd w:val="0"/>
                    <w:jc w:val="center"/>
                    <w:rPr>
                      <w:sz w:val="18"/>
                      <w:szCs w:val="18"/>
                    </w:rPr>
                  </w:pPr>
                  <w:r>
                    <w:rPr>
                      <w:sz w:val="18"/>
                      <w:szCs w:val="18"/>
                    </w:rPr>
                    <w:t>VOCs</w:t>
                  </w:r>
                </w:p>
              </w:tc>
              <w:tc>
                <w:tcPr>
                  <w:tcW w:w="1276" w:type="dxa"/>
                  <w:vMerge w:val="restart"/>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50</w:t>
                  </w:r>
                </w:p>
              </w:tc>
              <w:tc>
                <w:tcPr>
                  <w:tcW w:w="992" w:type="dxa"/>
                  <w:vMerge w:val="restart"/>
                  <w:vAlign w:val="center"/>
                </w:tcPr>
                <w:p>
                  <w:pPr>
                    <w:autoSpaceDE w:val="0"/>
                    <w:autoSpaceDN w:val="0"/>
                    <w:adjustRightInd w:val="0"/>
                    <w:jc w:val="center"/>
                    <w:rPr>
                      <w:sz w:val="18"/>
                      <w:szCs w:val="18"/>
                    </w:rPr>
                  </w:pPr>
                  <w:r>
                    <w:rPr>
                      <w:sz w:val="18"/>
                      <w:szCs w:val="18"/>
                    </w:rPr>
                    <w:t>15</w:t>
                  </w:r>
                </w:p>
              </w:tc>
              <w:tc>
                <w:tcPr>
                  <w:tcW w:w="1134" w:type="dxa"/>
                  <w:vMerge w:val="restart"/>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1.5</w:t>
                  </w:r>
                </w:p>
              </w:tc>
              <w:tc>
                <w:tcPr>
                  <w:tcW w:w="2524" w:type="dxa"/>
                  <w:vAlign w:val="center"/>
                </w:tcPr>
                <w:p>
                  <w:pPr>
                    <w:autoSpaceDE w:val="0"/>
                    <w:autoSpaceDN w:val="0"/>
                    <w:adjustRightInd w:val="0"/>
                    <w:jc w:val="center"/>
                    <w:rPr>
                      <w:sz w:val="18"/>
                      <w:szCs w:val="18"/>
                    </w:rPr>
                  </w:pPr>
                  <w:r>
                    <w:rPr>
                      <w:sz w:val="18"/>
                      <w:szCs w:val="18"/>
                    </w:rPr>
                    <w:t>厂界监控点浓度限值</w:t>
                  </w:r>
                </w:p>
              </w:tc>
              <w:tc>
                <w:tcPr>
                  <w:tcW w:w="980" w:type="dxa"/>
                  <w:vAlign w:val="center"/>
                </w:tcPr>
                <w:p>
                  <w:pPr>
                    <w:autoSpaceDE w:val="0"/>
                    <w:autoSpaceDN w:val="0"/>
                    <w:adjustRightInd w:val="0"/>
                    <w:jc w:val="center"/>
                    <w:rPr>
                      <w:sz w:val="18"/>
                      <w:szCs w:val="18"/>
                    </w:rPr>
                  </w:pPr>
                  <w:r>
                    <w:rPr>
                      <w:sz w:val="18"/>
                      <w:szCs w:val="18"/>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Merge w:val="continue"/>
                  <w:vAlign w:val="center"/>
                </w:tcPr>
                <w:p>
                  <w:pPr>
                    <w:autoSpaceDE w:val="0"/>
                    <w:autoSpaceDN w:val="0"/>
                    <w:adjustRightInd w:val="0"/>
                    <w:jc w:val="center"/>
                    <w:rPr>
                      <w:sz w:val="18"/>
                      <w:szCs w:val="18"/>
                    </w:rPr>
                  </w:pPr>
                </w:p>
              </w:tc>
              <w:tc>
                <w:tcPr>
                  <w:tcW w:w="1276" w:type="dxa"/>
                  <w:vMerge w:val="continue"/>
                  <w:vAlign w:val="center"/>
                </w:tcPr>
                <w:p>
                  <w:pPr>
                    <w:autoSpaceDE w:val="0"/>
                    <w:autoSpaceDN w:val="0"/>
                    <w:adjustRightInd w:val="0"/>
                    <w:jc w:val="center"/>
                    <w:rPr>
                      <w:sz w:val="18"/>
                      <w:szCs w:val="18"/>
                    </w:rPr>
                  </w:pPr>
                </w:p>
              </w:tc>
              <w:tc>
                <w:tcPr>
                  <w:tcW w:w="992" w:type="dxa"/>
                  <w:vMerge w:val="continue"/>
                  <w:vAlign w:val="center"/>
                </w:tcPr>
                <w:p>
                  <w:pPr>
                    <w:autoSpaceDE w:val="0"/>
                    <w:autoSpaceDN w:val="0"/>
                    <w:adjustRightInd w:val="0"/>
                    <w:jc w:val="center"/>
                    <w:rPr>
                      <w:sz w:val="18"/>
                      <w:szCs w:val="18"/>
                    </w:rPr>
                  </w:pPr>
                </w:p>
              </w:tc>
              <w:tc>
                <w:tcPr>
                  <w:tcW w:w="1134" w:type="dxa"/>
                  <w:vMerge w:val="continue"/>
                  <w:vAlign w:val="center"/>
                </w:tcPr>
                <w:p>
                  <w:pPr>
                    <w:autoSpaceDE w:val="0"/>
                    <w:autoSpaceDN w:val="0"/>
                    <w:adjustRightInd w:val="0"/>
                    <w:jc w:val="center"/>
                    <w:rPr>
                      <w:sz w:val="18"/>
                      <w:szCs w:val="18"/>
                    </w:rPr>
                  </w:pPr>
                </w:p>
              </w:tc>
              <w:tc>
                <w:tcPr>
                  <w:tcW w:w="2524" w:type="dxa"/>
                  <w:vAlign w:val="center"/>
                </w:tcPr>
                <w:p>
                  <w:pPr>
                    <w:autoSpaceDE w:val="0"/>
                    <w:autoSpaceDN w:val="0"/>
                    <w:adjustRightInd w:val="0"/>
                    <w:jc w:val="center"/>
                    <w:rPr>
                      <w:sz w:val="18"/>
                      <w:szCs w:val="18"/>
                    </w:rPr>
                  </w:pPr>
                  <w:r>
                    <w:rPr>
                      <w:sz w:val="18"/>
                      <w:szCs w:val="18"/>
                    </w:rPr>
                    <w:t>厂内监控点1h平均浓度限值</w:t>
                  </w:r>
                </w:p>
              </w:tc>
              <w:tc>
                <w:tcPr>
                  <w:tcW w:w="980" w:type="dxa"/>
                  <w:vAlign w:val="center"/>
                </w:tcPr>
                <w:p>
                  <w:pPr>
                    <w:autoSpaceDE w:val="0"/>
                    <w:autoSpaceDN w:val="0"/>
                    <w:adjustRightInd w:val="0"/>
                    <w:jc w:val="center"/>
                    <w:rPr>
                      <w:sz w:val="18"/>
                      <w:szCs w:val="18"/>
                    </w:rPr>
                  </w:pPr>
                  <w:r>
                    <w:rPr>
                      <w:spacing w:val="6"/>
                      <w:sz w:val="18"/>
                      <w:szCs w:val="18"/>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Merge w:val="continue"/>
                  <w:vAlign w:val="center"/>
                </w:tcPr>
                <w:p>
                  <w:pPr>
                    <w:autoSpaceDE w:val="0"/>
                    <w:autoSpaceDN w:val="0"/>
                    <w:adjustRightInd w:val="0"/>
                    <w:jc w:val="center"/>
                    <w:rPr>
                      <w:sz w:val="18"/>
                      <w:szCs w:val="18"/>
                    </w:rPr>
                  </w:pPr>
                </w:p>
              </w:tc>
              <w:tc>
                <w:tcPr>
                  <w:tcW w:w="1276" w:type="dxa"/>
                  <w:vMerge w:val="continue"/>
                  <w:vAlign w:val="center"/>
                </w:tcPr>
                <w:p>
                  <w:pPr>
                    <w:autoSpaceDE w:val="0"/>
                    <w:autoSpaceDN w:val="0"/>
                    <w:adjustRightInd w:val="0"/>
                    <w:jc w:val="center"/>
                    <w:rPr>
                      <w:sz w:val="18"/>
                      <w:szCs w:val="18"/>
                    </w:rPr>
                  </w:pPr>
                </w:p>
              </w:tc>
              <w:tc>
                <w:tcPr>
                  <w:tcW w:w="992" w:type="dxa"/>
                  <w:vMerge w:val="continue"/>
                  <w:vAlign w:val="center"/>
                </w:tcPr>
                <w:p>
                  <w:pPr>
                    <w:autoSpaceDE w:val="0"/>
                    <w:autoSpaceDN w:val="0"/>
                    <w:adjustRightInd w:val="0"/>
                    <w:jc w:val="center"/>
                    <w:rPr>
                      <w:sz w:val="18"/>
                      <w:szCs w:val="18"/>
                    </w:rPr>
                  </w:pPr>
                </w:p>
              </w:tc>
              <w:tc>
                <w:tcPr>
                  <w:tcW w:w="1134" w:type="dxa"/>
                  <w:vMerge w:val="continue"/>
                  <w:vAlign w:val="center"/>
                </w:tcPr>
                <w:p>
                  <w:pPr>
                    <w:autoSpaceDE w:val="0"/>
                    <w:autoSpaceDN w:val="0"/>
                    <w:adjustRightInd w:val="0"/>
                    <w:jc w:val="center"/>
                    <w:rPr>
                      <w:sz w:val="18"/>
                      <w:szCs w:val="18"/>
                    </w:rPr>
                  </w:pPr>
                </w:p>
              </w:tc>
              <w:tc>
                <w:tcPr>
                  <w:tcW w:w="2524" w:type="dxa"/>
                  <w:vAlign w:val="center"/>
                </w:tcPr>
                <w:p>
                  <w:pPr>
                    <w:autoSpaceDE w:val="0"/>
                    <w:autoSpaceDN w:val="0"/>
                    <w:adjustRightInd w:val="0"/>
                    <w:jc w:val="center"/>
                    <w:rPr>
                      <w:sz w:val="18"/>
                      <w:szCs w:val="18"/>
                    </w:rPr>
                  </w:pPr>
                  <w:r>
                    <w:rPr>
                      <w:sz w:val="18"/>
                      <w:szCs w:val="18"/>
                    </w:rPr>
                    <w:t>厂内监控点任意1次值浓度限值</w:t>
                  </w:r>
                </w:p>
              </w:tc>
              <w:tc>
                <w:tcPr>
                  <w:tcW w:w="980" w:type="dxa"/>
                  <w:vAlign w:val="center"/>
                </w:tcPr>
                <w:p>
                  <w:pPr>
                    <w:autoSpaceDE w:val="0"/>
                    <w:autoSpaceDN w:val="0"/>
                    <w:adjustRightInd w:val="0"/>
                    <w:jc w:val="center"/>
                    <w:rPr>
                      <w:spacing w:val="6"/>
                      <w:sz w:val="18"/>
                      <w:szCs w:val="18"/>
                    </w:rPr>
                  </w:pPr>
                  <w:r>
                    <w:rPr>
                      <w:spacing w:val="6"/>
                      <w:sz w:val="18"/>
                      <w:szCs w:val="18"/>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Align w:val="center"/>
                </w:tcPr>
                <w:p>
                  <w:pPr>
                    <w:autoSpaceDE w:val="0"/>
                    <w:autoSpaceDN w:val="0"/>
                    <w:adjustRightInd w:val="0"/>
                    <w:jc w:val="center"/>
                    <w:rPr>
                      <w:sz w:val="18"/>
                      <w:szCs w:val="18"/>
                    </w:rPr>
                  </w:pPr>
                  <w:r>
                    <w:rPr>
                      <w:sz w:val="18"/>
                      <w:szCs w:val="18"/>
                    </w:rPr>
                    <w:t>颗粒物</w:t>
                  </w:r>
                </w:p>
              </w:tc>
              <w:tc>
                <w:tcPr>
                  <w:tcW w:w="1276" w:type="dxa"/>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10</w:t>
                  </w:r>
                </w:p>
              </w:tc>
              <w:tc>
                <w:tcPr>
                  <w:tcW w:w="992" w:type="dxa"/>
                  <w:vMerge w:val="restart"/>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15</w:t>
                  </w:r>
                </w:p>
              </w:tc>
              <w:tc>
                <w:tcPr>
                  <w:tcW w:w="1134" w:type="dxa"/>
                  <w:vMerge w:val="restart"/>
                  <w:vAlign w:val="center"/>
                </w:tcPr>
                <w:p>
                  <w:pPr>
                    <w:autoSpaceDE w:val="0"/>
                    <w:autoSpaceDN w:val="0"/>
                    <w:adjustRightInd w:val="0"/>
                    <w:jc w:val="center"/>
                    <w:rPr>
                      <w:rFonts w:hint="eastAsia" w:eastAsia="宋体"/>
                      <w:sz w:val="18"/>
                      <w:szCs w:val="18"/>
                      <w:lang w:val="en-US" w:eastAsia="zh-CN"/>
                    </w:rPr>
                  </w:pPr>
                  <w:r>
                    <w:rPr>
                      <w:rFonts w:hint="eastAsia"/>
                      <w:sz w:val="18"/>
                      <w:szCs w:val="18"/>
                      <w:lang w:val="en-US" w:eastAsia="zh-CN"/>
                    </w:rPr>
                    <w:t>/</w:t>
                  </w:r>
                </w:p>
              </w:tc>
              <w:tc>
                <w:tcPr>
                  <w:tcW w:w="2524" w:type="dxa"/>
                </w:tcPr>
                <w:p>
                  <w:pPr>
                    <w:autoSpaceDE w:val="0"/>
                    <w:autoSpaceDN w:val="0"/>
                    <w:adjustRightInd w:val="0"/>
                    <w:jc w:val="center"/>
                    <w:rPr>
                      <w:sz w:val="18"/>
                      <w:szCs w:val="18"/>
                    </w:rPr>
                  </w:pPr>
                  <w:r>
                    <w:rPr>
                      <w:sz w:val="18"/>
                      <w:szCs w:val="18"/>
                    </w:rPr>
                    <w:t>厂界监控点浓度限值</w:t>
                  </w:r>
                </w:p>
              </w:tc>
              <w:tc>
                <w:tcPr>
                  <w:tcW w:w="980" w:type="dxa"/>
                  <w:vAlign w:val="center"/>
                </w:tcPr>
                <w:p>
                  <w:pPr>
                    <w:autoSpaceDE w:val="0"/>
                    <w:autoSpaceDN w:val="0"/>
                    <w:adjustRightInd w:val="0"/>
                    <w:jc w:val="center"/>
                    <w:rPr>
                      <w:rFonts w:hint="default" w:eastAsia="宋体"/>
                      <w:spacing w:val="6"/>
                      <w:sz w:val="18"/>
                      <w:szCs w:val="18"/>
                      <w:lang w:val="en-US" w:eastAsia="zh-CN"/>
                    </w:rPr>
                  </w:pPr>
                  <w:r>
                    <w:rPr>
                      <w:rFonts w:hint="eastAsia"/>
                      <w:spacing w:val="6"/>
                      <w:sz w:val="18"/>
                      <w:szCs w:val="1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Align w:val="center"/>
                </w:tcPr>
                <w:p>
                  <w:pPr>
                    <w:autoSpaceDE w:val="0"/>
                    <w:autoSpaceDN w:val="0"/>
                    <w:adjustRightInd w:val="0"/>
                    <w:jc w:val="center"/>
                    <w:rPr>
                      <w:rFonts w:hint="eastAsia" w:eastAsia="宋体"/>
                      <w:sz w:val="18"/>
                      <w:szCs w:val="18"/>
                      <w:lang w:eastAsia="zh-CN"/>
                    </w:rPr>
                  </w:pPr>
                  <w:r>
                    <w:rPr>
                      <w:rFonts w:hint="eastAsia"/>
                      <w:sz w:val="18"/>
                      <w:szCs w:val="18"/>
                      <w:lang w:eastAsia="zh-CN"/>
                    </w:rPr>
                    <w:t>二氧化硫</w:t>
                  </w:r>
                </w:p>
              </w:tc>
              <w:tc>
                <w:tcPr>
                  <w:tcW w:w="1276" w:type="dxa"/>
                  <w:vAlign w:val="center"/>
                </w:tcPr>
                <w:p>
                  <w:pPr>
                    <w:autoSpaceDE w:val="0"/>
                    <w:autoSpaceDN w:val="0"/>
                    <w:adjustRightInd w:val="0"/>
                    <w:jc w:val="center"/>
                    <w:rPr>
                      <w:rFonts w:hint="default" w:eastAsia="宋体"/>
                      <w:sz w:val="18"/>
                      <w:szCs w:val="18"/>
                      <w:lang w:val="en-US" w:eastAsia="zh-CN"/>
                    </w:rPr>
                  </w:pPr>
                  <w:r>
                    <w:rPr>
                      <w:rFonts w:hint="eastAsia"/>
                      <w:sz w:val="18"/>
                      <w:szCs w:val="18"/>
                      <w:lang w:val="en-US" w:eastAsia="zh-CN"/>
                    </w:rPr>
                    <w:t>50</w:t>
                  </w:r>
                </w:p>
              </w:tc>
              <w:tc>
                <w:tcPr>
                  <w:tcW w:w="992" w:type="dxa"/>
                  <w:vMerge w:val="continue"/>
                  <w:vAlign w:val="center"/>
                </w:tcPr>
                <w:p>
                  <w:pPr>
                    <w:autoSpaceDE w:val="0"/>
                    <w:autoSpaceDN w:val="0"/>
                    <w:adjustRightInd w:val="0"/>
                    <w:jc w:val="center"/>
                    <w:rPr>
                      <w:sz w:val="18"/>
                      <w:szCs w:val="18"/>
                    </w:rPr>
                  </w:pPr>
                </w:p>
              </w:tc>
              <w:tc>
                <w:tcPr>
                  <w:tcW w:w="1134" w:type="dxa"/>
                  <w:vMerge w:val="continue"/>
                  <w:vAlign w:val="center"/>
                </w:tcPr>
                <w:p>
                  <w:pPr>
                    <w:autoSpaceDE w:val="0"/>
                    <w:autoSpaceDN w:val="0"/>
                    <w:adjustRightInd w:val="0"/>
                    <w:jc w:val="center"/>
                    <w:rPr>
                      <w:sz w:val="18"/>
                      <w:szCs w:val="18"/>
                    </w:rPr>
                  </w:pPr>
                </w:p>
              </w:tc>
              <w:tc>
                <w:tcPr>
                  <w:tcW w:w="2524" w:type="dxa"/>
                </w:tcPr>
                <w:p>
                  <w:pPr>
                    <w:autoSpaceDE w:val="0"/>
                    <w:autoSpaceDN w:val="0"/>
                    <w:adjustRightInd w:val="0"/>
                    <w:jc w:val="center"/>
                    <w:rPr>
                      <w:sz w:val="18"/>
                      <w:szCs w:val="18"/>
                    </w:rPr>
                  </w:pPr>
                  <w:r>
                    <w:rPr>
                      <w:sz w:val="18"/>
                      <w:szCs w:val="18"/>
                    </w:rPr>
                    <w:t>厂界监控点浓度限值</w:t>
                  </w:r>
                </w:p>
              </w:tc>
              <w:tc>
                <w:tcPr>
                  <w:tcW w:w="980" w:type="dxa"/>
                  <w:vAlign w:val="center"/>
                </w:tcPr>
                <w:p>
                  <w:pPr>
                    <w:autoSpaceDE w:val="0"/>
                    <w:autoSpaceDN w:val="0"/>
                    <w:adjustRightInd w:val="0"/>
                    <w:jc w:val="center"/>
                    <w:rPr>
                      <w:rFonts w:hint="eastAsia" w:eastAsia="宋体"/>
                      <w:spacing w:val="6"/>
                      <w:sz w:val="18"/>
                      <w:szCs w:val="18"/>
                      <w:lang w:val="en-US" w:eastAsia="zh-CN"/>
                    </w:rPr>
                  </w:pPr>
                  <w:r>
                    <w:rPr>
                      <w:rFonts w:hint="eastAsia"/>
                      <w:spacing w:val="6"/>
                      <w:sz w:val="18"/>
                      <w:szCs w:val="1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Align w:val="center"/>
                </w:tcPr>
                <w:p>
                  <w:pPr>
                    <w:autoSpaceDE w:val="0"/>
                    <w:autoSpaceDN w:val="0"/>
                    <w:adjustRightInd w:val="0"/>
                    <w:jc w:val="center"/>
                    <w:rPr>
                      <w:rFonts w:hint="eastAsia" w:eastAsia="宋体"/>
                      <w:color w:val="auto"/>
                      <w:sz w:val="18"/>
                      <w:szCs w:val="18"/>
                      <w:lang w:eastAsia="zh-CN"/>
                    </w:rPr>
                  </w:pPr>
                  <w:r>
                    <w:rPr>
                      <w:rFonts w:hint="eastAsia"/>
                      <w:color w:val="auto"/>
                      <w:sz w:val="18"/>
                      <w:szCs w:val="18"/>
                      <w:lang w:eastAsia="zh-CN"/>
                    </w:rPr>
                    <w:t>氮氧化物</w:t>
                  </w:r>
                </w:p>
              </w:tc>
              <w:tc>
                <w:tcPr>
                  <w:tcW w:w="1276" w:type="dxa"/>
                  <w:vAlign w:val="center"/>
                </w:tcPr>
                <w:p>
                  <w:pPr>
                    <w:autoSpaceDE w:val="0"/>
                    <w:autoSpaceDN w:val="0"/>
                    <w:adjustRightInd w:val="0"/>
                    <w:jc w:val="center"/>
                    <w:rPr>
                      <w:rFonts w:hint="default" w:eastAsia="宋体"/>
                      <w:color w:val="auto"/>
                      <w:sz w:val="18"/>
                      <w:szCs w:val="18"/>
                      <w:lang w:val="en-US" w:eastAsia="zh-CN"/>
                    </w:rPr>
                  </w:pPr>
                  <w:r>
                    <w:rPr>
                      <w:rFonts w:hint="eastAsia"/>
                      <w:color w:val="auto"/>
                      <w:sz w:val="18"/>
                      <w:szCs w:val="18"/>
                      <w:lang w:val="en-US" w:eastAsia="zh-CN"/>
                    </w:rPr>
                    <w:t>100</w:t>
                  </w:r>
                </w:p>
              </w:tc>
              <w:tc>
                <w:tcPr>
                  <w:tcW w:w="992" w:type="dxa"/>
                  <w:vMerge w:val="continue"/>
                  <w:vAlign w:val="center"/>
                </w:tcPr>
                <w:p>
                  <w:pPr>
                    <w:autoSpaceDE w:val="0"/>
                    <w:autoSpaceDN w:val="0"/>
                    <w:adjustRightInd w:val="0"/>
                    <w:jc w:val="center"/>
                    <w:rPr>
                      <w:rFonts w:hint="default" w:eastAsia="宋体"/>
                      <w:color w:val="auto"/>
                      <w:sz w:val="18"/>
                      <w:szCs w:val="18"/>
                      <w:lang w:val="en-US" w:eastAsia="zh-CN"/>
                    </w:rPr>
                  </w:pPr>
                </w:p>
              </w:tc>
              <w:tc>
                <w:tcPr>
                  <w:tcW w:w="1134" w:type="dxa"/>
                  <w:vMerge w:val="continue"/>
                  <w:vAlign w:val="center"/>
                </w:tcPr>
                <w:p>
                  <w:pPr>
                    <w:autoSpaceDE w:val="0"/>
                    <w:autoSpaceDN w:val="0"/>
                    <w:adjustRightInd w:val="0"/>
                    <w:jc w:val="center"/>
                    <w:rPr>
                      <w:color w:val="auto"/>
                      <w:sz w:val="18"/>
                      <w:szCs w:val="18"/>
                    </w:rPr>
                  </w:pPr>
                </w:p>
              </w:tc>
              <w:tc>
                <w:tcPr>
                  <w:tcW w:w="2524" w:type="dxa"/>
                  <w:vAlign w:val="center"/>
                </w:tcPr>
                <w:p>
                  <w:pPr>
                    <w:autoSpaceDE w:val="0"/>
                    <w:autoSpaceDN w:val="0"/>
                    <w:adjustRightInd w:val="0"/>
                    <w:jc w:val="center"/>
                    <w:rPr>
                      <w:color w:val="auto"/>
                      <w:sz w:val="18"/>
                      <w:szCs w:val="18"/>
                    </w:rPr>
                  </w:pPr>
                  <w:r>
                    <w:rPr>
                      <w:color w:val="auto"/>
                      <w:sz w:val="18"/>
                      <w:szCs w:val="18"/>
                    </w:rPr>
                    <w:t>厂界监控点浓度限值</w:t>
                  </w:r>
                </w:p>
              </w:tc>
              <w:tc>
                <w:tcPr>
                  <w:tcW w:w="980" w:type="dxa"/>
                  <w:vAlign w:val="center"/>
                </w:tcPr>
                <w:p>
                  <w:pPr>
                    <w:autoSpaceDE w:val="0"/>
                    <w:autoSpaceDN w:val="0"/>
                    <w:adjustRightInd w:val="0"/>
                    <w:jc w:val="center"/>
                    <w:rPr>
                      <w:rFonts w:hint="eastAsia" w:eastAsia="宋体"/>
                      <w:color w:val="auto"/>
                      <w:spacing w:val="6"/>
                      <w:sz w:val="18"/>
                      <w:szCs w:val="18"/>
                      <w:lang w:val="en-US" w:eastAsia="zh-CN"/>
                    </w:rPr>
                  </w:pPr>
                  <w:r>
                    <w:rPr>
                      <w:rFonts w:hint="eastAsia"/>
                      <w:color w:val="auto"/>
                      <w:spacing w:val="6"/>
                      <w:sz w:val="18"/>
                      <w:szCs w:val="1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967" w:type="dxa"/>
                  <w:vAlign w:val="center"/>
                </w:tcPr>
                <w:p>
                  <w:pPr>
                    <w:autoSpaceDE w:val="0"/>
                    <w:autoSpaceDN w:val="0"/>
                    <w:adjustRightInd w:val="0"/>
                    <w:jc w:val="center"/>
                    <w:rPr>
                      <w:rFonts w:hint="eastAsia"/>
                      <w:color w:val="auto"/>
                      <w:sz w:val="18"/>
                      <w:szCs w:val="18"/>
                      <w:lang w:eastAsia="zh-CN"/>
                    </w:rPr>
                  </w:pPr>
                  <w:r>
                    <w:rPr>
                      <w:rFonts w:hint="eastAsia"/>
                      <w:color w:val="auto"/>
                      <w:sz w:val="18"/>
                      <w:szCs w:val="18"/>
                      <w:lang w:eastAsia="zh-CN"/>
                    </w:rPr>
                    <w:t>林格曼黑度</w:t>
                  </w:r>
                </w:p>
              </w:tc>
              <w:tc>
                <w:tcPr>
                  <w:tcW w:w="1276" w:type="dxa"/>
                  <w:vAlign w:val="center"/>
                </w:tcPr>
                <w:p>
                  <w:pPr>
                    <w:autoSpaceDE w:val="0"/>
                    <w:autoSpaceDN w:val="0"/>
                    <w:adjustRightInd w:val="0"/>
                    <w:jc w:val="center"/>
                    <w:rPr>
                      <w:rFonts w:hint="default"/>
                      <w:color w:val="auto"/>
                      <w:sz w:val="18"/>
                      <w:szCs w:val="18"/>
                      <w:lang w:val="en-US" w:eastAsia="zh-CN"/>
                    </w:rPr>
                  </w:pPr>
                  <w:r>
                    <w:rPr>
                      <w:rFonts w:hint="eastAsia"/>
                      <w:color w:val="auto"/>
                      <w:sz w:val="18"/>
                      <w:szCs w:val="18"/>
                      <w:lang w:val="en-US" w:eastAsia="zh-CN"/>
                    </w:rPr>
                    <w:t>1级</w:t>
                  </w:r>
                </w:p>
              </w:tc>
              <w:tc>
                <w:tcPr>
                  <w:tcW w:w="992" w:type="dxa"/>
                  <w:vMerge w:val="continue"/>
                  <w:vAlign w:val="center"/>
                </w:tcPr>
                <w:p>
                  <w:pPr>
                    <w:autoSpaceDE w:val="0"/>
                    <w:autoSpaceDN w:val="0"/>
                    <w:adjustRightInd w:val="0"/>
                    <w:jc w:val="center"/>
                    <w:rPr>
                      <w:rFonts w:hint="eastAsia"/>
                      <w:color w:val="auto"/>
                      <w:sz w:val="18"/>
                      <w:szCs w:val="18"/>
                      <w:lang w:val="en-US" w:eastAsia="zh-CN"/>
                    </w:rPr>
                  </w:pPr>
                </w:p>
              </w:tc>
              <w:tc>
                <w:tcPr>
                  <w:tcW w:w="1134" w:type="dxa"/>
                  <w:vMerge w:val="continue"/>
                  <w:vAlign w:val="center"/>
                </w:tcPr>
                <w:p>
                  <w:pPr>
                    <w:autoSpaceDE w:val="0"/>
                    <w:autoSpaceDN w:val="0"/>
                    <w:adjustRightInd w:val="0"/>
                    <w:jc w:val="center"/>
                    <w:rPr>
                      <w:rFonts w:hint="eastAsia" w:eastAsia="宋体"/>
                      <w:color w:val="auto"/>
                      <w:sz w:val="18"/>
                      <w:szCs w:val="18"/>
                      <w:lang w:val="en-US" w:eastAsia="zh-CN"/>
                    </w:rPr>
                  </w:pPr>
                </w:p>
              </w:tc>
              <w:tc>
                <w:tcPr>
                  <w:tcW w:w="2524" w:type="dxa"/>
                  <w:vAlign w:val="center"/>
                </w:tcPr>
                <w:p>
                  <w:pPr>
                    <w:autoSpaceDE w:val="0"/>
                    <w:autoSpaceDN w:val="0"/>
                    <w:adjustRightInd w:val="0"/>
                    <w:jc w:val="center"/>
                    <w:rPr>
                      <w:rFonts w:hint="eastAsia" w:eastAsia="宋体"/>
                      <w:color w:val="auto"/>
                      <w:sz w:val="18"/>
                      <w:szCs w:val="18"/>
                      <w:lang w:val="en-US" w:eastAsia="zh-CN"/>
                    </w:rPr>
                  </w:pPr>
                  <w:r>
                    <w:rPr>
                      <w:color w:val="auto"/>
                      <w:sz w:val="18"/>
                      <w:szCs w:val="18"/>
                    </w:rPr>
                    <w:t>厂界监控点浓度限值</w:t>
                  </w:r>
                </w:p>
              </w:tc>
              <w:tc>
                <w:tcPr>
                  <w:tcW w:w="980" w:type="dxa"/>
                  <w:vAlign w:val="center"/>
                </w:tcPr>
                <w:p>
                  <w:pPr>
                    <w:autoSpaceDE w:val="0"/>
                    <w:autoSpaceDN w:val="0"/>
                    <w:adjustRightInd w:val="0"/>
                    <w:jc w:val="center"/>
                    <w:rPr>
                      <w:rFonts w:hint="default"/>
                      <w:color w:val="auto"/>
                      <w:spacing w:val="6"/>
                      <w:sz w:val="18"/>
                      <w:szCs w:val="18"/>
                      <w:lang w:val="en-US" w:eastAsia="zh-CN"/>
                    </w:rPr>
                  </w:pPr>
                  <w:r>
                    <w:rPr>
                      <w:rFonts w:hint="eastAsia"/>
                      <w:color w:val="auto"/>
                      <w:spacing w:val="6"/>
                      <w:sz w:val="18"/>
                      <w:szCs w:val="18"/>
                      <w:lang w:val="en-US" w:eastAsia="zh-CN"/>
                    </w:rPr>
                    <w:t>/</w:t>
                  </w:r>
                </w:p>
              </w:tc>
            </w:tr>
          </w:tbl>
          <w:p>
            <w:pPr>
              <w:spacing w:line="420" w:lineRule="exact"/>
              <w:ind w:firstLine="422" w:firstLineChars="200"/>
              <w:rPr>
                <w:b/>
              </w:rPr>
            </w:pPr>
            <w:r>
              <w:rPr>
                <w:b/>
              </w:rPr>
              <w:t>3、固废</w:t>
            </w:r>
          </w:p>
          <w:p>
            <w:pPr>
              <w:adjustRightInd w:val="0"/>
              <w:snapToGrid w:val="0"/>
              <w:spacing w:line="420" w:lineRule="exact"/>
              <w:ind w:firstLine="420" w:firstLineChars="200"/>
              <w:rPr>
                <w:rFonts w:hint="eastAsia" w:eastAsia="宋体"/>
                <w:lang w:eastAsia="zh-CN"/>
              </w:rPr>
            </w:pPr>
            <w:r>
              <w:rPr>
                <w:rFonts w:hint="default" w:ascii="Times New Roman" w:hAnsi="Times New Roman" w:cs="Times New Roman"/>
                <w:szCs w:val="21"/>
              </w:rPr>
              <w:t>一般固体废物执行《中华人民共和国固体废物污染环境防治法》相关要求，采取防扬散、防流失、防渗漏或者其他防止污染环境的措施，不得擅自倾倒、堆放、丢弃、遗撒，管理过程中应符合《一般工业固体废物管理台账制定指南（试行）》（公告 2021 年第 82 号）要求</w:t>
            </w:r>
            <w:r>
              <w:t>，危险废物执行危险废物执行《危险废物贮存污染控制标准》（GB18597-20</w:t>
            </w:r>
            <w:r>
              <w:rPr>
                <w:rFonts w:hint="eastAsia"/>
                <w:lang w:val="en-US" w:eastAsia="zh-CN"/>
              </w:rPr>
              <w:t>23</w:t>
            </w:r>
            <w:r>
              <w:t>）及淄博市对固废处置的有关规定</w:t>
            </w:r>
            <w:r>
              <w:rPr>
                <w:rFonts w:hint="eastAsia"/>
                <w:lang w:eastAsia="zh-CN"/>
              </w:rPr>
              <w:t>。</w:t>
            </w: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ind w:firstLine="420" w:firstLineChars="200"/>
            </w:pPr>
          </w:p>
          <w:p>
            <w:pPr>
              <w:adjustRightInd w:val="0"/>
              <w:snapToGrid w:val="0"/>
              <w:spacing w:line="420" w:lineRule="exact"/>
            </w:pPr>
          </w:p>
          <w:p>
            <w:pPr>
              <w:adjustRightInd w:val="0"/>
              <w:snapToGrid w:val="0"/>
              <w:spacing w:line="420" w:lineRule="exact"/>
            </w:pPr>
          </w:p>
          <w:p>
            <w:pPr>
              <w:adjustRightInd w:val="0"/>
              <w:snapToGrid w:val="0"/>
              <w:spacing w:line="420" w:lineRule="exact"/>
            </w:pPr>
          </w:p>
          <w:p>
            <w:pPr>
              <w:adjustRightInd w:val="0"/>
              <w:snapToGrid w:val="0"/>
              <w:spacing w:line="420" w:lineRule="exact"/>
            </w:pPr>
          </w:p>
          <w:p>
            <w:pPr>
              <w:adjustRightInd w:val="0"/>
              <w:snapToGrid w:val="0"/>
              <w:spacing w:line="420" w:lineRule="exac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93" w:hRule="atLeast"/>
          <w:jc w:val="center"/>
        </w:trPr>
        <w:tc>
          <w:tcPr>
            <w:tcW w:w="800" w:type="dxa"/>
            <w:vAlign w:val="center"/>
          </w:tcPr>
          <w:p>
            <w:pPr>
              <w:adjustRightInd w:val="0"/>
              <w:snapToGrid w:val="0"/>
              <w:spacing w:line="420" w:lineRule="exact"/>
              <w:jc w:val="center"/>
              <w:rPr>
                <w:kern w:val="0"/>
              </w:rPr>
            </w:pPr>
            <w:r>
              <w:rPr>
                <w:kern w:val="0"/>
              </w:rPr>
              <w:t>总量</w:t>
            </w:r>
          </w:p>
          <w:p>
            <w:pPr>
              <w:adjustRightInd w:val="0"/>
              <w:snapToGrid w:val="0"/>
              <w:spacing w:line="420" w:lineRule="exact"/>
              <w:jc w:val="center"/>
              <w:rPr>
                <w:kern w:val="0"/>
              </w:rPr>
            </w:pPr>
            <w:r>
              <w:rPr>
                <w:kern w:val="0"/>
              </w:rPr>
              <w:t>控制</w:t>
            </w:r>
          </w:p>
          <w:p>
            <w:pPr>
              <w:adjustRightInd w:val="0"/>
              <w:snapToGrid w:val="0"/>
              <w:spacing w:line="420" w:lineRule="exact"/>
              <w:jc w:val="center"/>
              <w:rPr>
                <w:color w:val="FF0000"/>
                <w:kern w:val="0"/>
              </w:rPr>
            </w:pPr>
            <w:r>
              <w:rPr>
                <w:kern w:val="0"/>
              </w:rPr>
              <w:t>指标</w:t>
            </w:r>
          </w:p>
        </w:tc>
        <w:tc>
          <w:tcPr>
            <w:tcW w:w="8190" w:type="dxa"/>
            <w:vAlign w:val="center"/>
          </w:tcPr>
          <w:p>
            <w:pPr>
              <w:spacing w:line="360" w:lineRule="auto"/>
              <w:ind w:firstLine="420" w:firstLineChars="200"/>
            </w:pPr>
            <w:r>
              <w:t>根据《山东省建设项目主要大气污染物排放总量替代指标核算及管理办法》（鲁环发[2019]132号），山东省二氧化硫、氮氧化物、烟粉尘、挥发性有机物四项大气污染物排放总量进行替代指标的核算。用于建设项目的“可替代总量指标”不得低于建设项目所需替代的主要大气污染物排放总量指标。上一年度环境空气质量年平均浓度达标的城市，相关污染物进行等量替代。上一年度环境空气质量年平均浓度不达标的城市，相关污染物应按照建设项目所需替代的污染物排放总量指标的2倍进行削减替代（燃煤发电机组大气污染物排放浓度达到超低排放标准的进行等量替代）。上一年度细颗粒物年平均浓度超标的设区的市，实行二氧化硫、氮氧化物、烟粉尘、挥发性有机物四项污染物排放总量指标2倍削减替代。</w:t>
            </w:r>
          </w:p>
          <w:p>
            <w:pPr>
              <w:pStyle w:val="3"/>
              <w:spacing w:after="0" w:line="360" w:lineRule="auto"/>
              <w:ind w:left="0" w:leftChars="0" w:firstLine="420" w:firstLineChars="200"/>
              <w:rPr>
                <w:color w:val="auto"/>
                <w:kern w:val="2"/>
                <w:sz w:val="21"/>
                <w:szCs w:val="21"/>
              </w:rPr>
            </w:pPr>
            <w:r>
              <w:rPr>
                <w:kern w:val="2"/>
                <w:sz w:val="21"/>
                <w:szCs w:val="21"/>
              </w:rPr>
              <w:t>本项目废水主要为生活污水，经化粪池处理后由环卫部门定期清运，因此无需申请总量。</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color w:val="auto"/>
                <w:sz w:val="21"/>
                <w:szCs w:val="21"/>
                <w:highlight w:val="none"/>
              </w:rPr>
            </w:pPr>
            <w:r>
              <w:rPr>
                <w:color w:val="auto"/>
                <w:sz w:val="21"/>
                <w:szCs w:val="21"/>
              </w:rPr>
              <w:t>经计算</w:t>
            </w:r>
            <w:r>
              <w:rPr>
                <w:color w:val="auto"/>
                <w:sz w:val="21"/>
                <w:szCs w:val="21"/>
                <w:highlight w:val="none"/>
              </w:rPr>
              <w:t>，项目搬迁后颗粒物有组织排放量为</w:t>
            </w:r>
            <w:r>
              <w:rPr>
                <w:rFonts w:hint="eastAsia"/>
                <w:color w:val="auto"/>
                <w:sz w:val="21"/>
                <w:szCs w:val="21"/>
                <w:highlight w:val="none"/>
              </w:rPr>
              <w:t>0.</w:t>
            </w:r>
            <w:r>
              <w:rPr>
                <w:rFonts w:hint="eastAsia"/>
                <w:color w:val="auto"/>
                <w:sz w:val="21"/>
                <w:szCs w:val="21"/>
                <w:highlight w:val="none"/>
                <w:lang w:val="en-US" w:eastAsia="zh-CN"/>
              </w:rPr>
              <w:t>008</w:t>
            </w:r>
            <w:r>
              <w:rPr>
                <w:bCs/>
                <w:color w:val="auto"/>
                <w:sz w:val="21"/>
                <w:szCs w:val="21"/>
                <w:highlight w:val="none"/>
              </w:rPr>
              <w:t>t/a，</w:t>
            </w:r>
            <w:r>
              <w:rPr>
                <w:rFonts w:hint="eastAsia"/>
                <w:bCs/>
                <w:color w:val="auto"/>
                <w:sz w:val="21"/>
                <w:szCs w:val="21"/>
                <w:highlight w:val="none"/>
                <w:lang w:eastAsia="zh-CN"/>
              </w:rPr>
              <w:t>二氧化硫</w:t>
            </w:r>
            <w:r>
              <w:rPr>
                <w:color w:val="auto"/>
                <w:sz w:val="21"/>
                <w:szCs w:val="21"/>
                <w:highlight w:val="none"/>
              </w:rPr>
              <w:t>有组织排放量为</w:t>
            </w:r>
            <w:r>
              <w:rPr>
                <w:rFonts w:hint="eastAsia"/>
                <w:color w:val="auto"/>
                <w:sz w:val="21"/>
                <w:szCs w:val="21"/>
                <w:highlight w:val="none"/>
              </w:rPr>
              <w:t>0.</w:t>
            </w:r>
            <w:r>
              <w:rPr>
                <w:rFonts w:hint="eastAsia"/>
                <w:color w:val="auto"/>
                <w:sz w:val="21"/>
                <w:szCs w:val="21"/>
                <w:highlight w:val="none"/>
                <w:lang w:val="en-US" w:eastAsia="zh-CN"/>
              </w:rPr>
              <w:t>006</w:t>
            </w:r>
            <w:r>
              <w:rPr>
                <w:bCs/>
                <w:color w:val="auto"/>
                <w:sz w:val="21"/>
                <w:szCs w:val="21"/>
                <w:highlight w:val="none"/>
              </w:rPr>
              <w:t>t/a，</w:t>
            </w:r>
            <w:r>
              <w:rPr>
                <w:rFonts w:hint="eastAsia"/>
                <w:bCs/>
                <w:color w:val="auto"/>
                <w:sz w:val="21"/>
                <w:szCs w:val="21"/>
                <w:highlight w:val="none"/>
                <w:lang w:eastAsia="zh-CN"/>
              </w:rPr>
              <w:t>氮氧化物</w:t>
            </w:r>
            <w:r>
              <w:rPr>
                <w:color w:val="auto"/>
                <w:sz w:val="21"/>
                <w:szCs w:val="21"/>
                <w:highlight w:val="none"/>
              </w:rPr>
              <w:t>有组织排放量为</w:t>
            </w:r>
            <w:r>
              <w:rPr>
                <w:rFonts w:hint="eastAsia"/>
                <w:color w:val="auto"/>
                <w:sz w:val="21"/>
                <w:szCs w:val="21"/>
                <w:highlight w:val="none"/>
              </w:rPr>
              <w:t>0.</w:t>
            </w:r>
            <w:r>
              <w:rPr>
                <w:rFonts w:hint="eastAsia"/>
                <w:color w:val="auto"/>
                <w:sz w:val="21"/>
                <w:szCs w:val="21"/>
                <w:highlight w:val="none"/>
                <w:lang w:val="en-US" w:eastAsia="zh-CN"/>
              </w:rPr>
              <w:t>053</w:t>
            </w:r>
            <w:r>
              <w:rPr>
                <w:bCs/>
                <w:color w:val="auto"/>
                <w:sz w:val="21"/>
                <w:szCs w:val="21"/>
                <w:highlight w:val="none"/>
              </w:rPr>
              <w:t>t/a，VOCs</w:t>
            </w:r>
            <w:r>
              <w:rPr>
                <w:color w:val="auto"/>
                <w:sz w:val="21"/>
                <w:szCs w:val="21"/>
                <w:highlight w:val="none"/>
              </w:rPr>
              <w:t>有组织排放量为0.</w:t>
            </w:r>
            <w:r>
              <w:rPr>
                <w:rFonts w:hint="eastAsia"/>
                <w:color w:val="auto"/>
                <w:sz w:val="21"/>
                <w:szCs w:val="21"/>
                <w:highlight w:val="none"/>
                <w:lang w:val="en-US" w:eastAsia="zh-CN"/>
              </w:rPr>
              <w:t>108</w:t>
            </w:r>
            <w:r>
              <w:rPr>
                <w:color w:val="auto"/>
                <w:sz w:val="21"/>
                <w:szCs w:val="21"/>
                <w:highlight w:val="none"/>
              </w:rPr>
              <w:t>t/a。</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sz w:val="21"/>
                <w:szCs w:val="21"/>
                <w:highlight w:val="none"/>
                <w:lang w:val="en-US" w:eastAsia="zh-CN"/>
              </w:rPr>
            </w:pPr>
            <w:r>
              <w:rPr>
                <w:rFonts w:hint="eastAsia"/>
                <w:sz w:val="21"/>
                <w:szCs w:val="21"/>
                <w:highlight w:val="none"/>
                <w:lang w:val="en-US" w:eastAsia="zh-CN"/>
              </w:rPr>
              <w:t>需申请污染物总量指标为颗粒物0.008t/a，二氧化硫0.006t/a，氮氧化物0.053t/a，VOCs0.108t/a。</w:t>
            </w:r>
          </w:p>
          <w:p>
            <w:pPr>
              <w:spacing w:line="360" w:lineRule="auto"/>
              <w:ind w:firstLine="420" w:firstLineChars="200"/>
              <w:rPr>
                <w:rFonts w:hint="eastAsia"/>
                <w:sz w:val="21"/>
                <w:szCs w:val="21"/>
                <w:highlight w:val="none"/>
                <w:lang w:val="en-US" w:eastAsia="zh-CN"/>
              </w:rPr>
            </w:pPr>
            <w:r>
              <w:rPr>
                <w:rFonts w:hint="eastAsia"/>
                <w:sz w:val="21"/>
                <w:szCs w:val="21"/>
                <w:highlight w:val="none"/>
                <w:lang w:val="en-US" w:eastAsia="zh-CN"/>
              </w:rPr>
              <w:t>根据淄博市生态环境局《关于统筹使用“十四五”建设项目主要大气污染物总量指标的通知》（淄环函〔2021〕55号）规定，</w:t>
            </w:r>
            <w:r>
              <w:rPr>
                <w:sz w:val="21"/>
                <w:szCs w:val="21"/>
                <w:highlight w:val="none"/>
              </w:rPr>
              <w:t>上一年度淄博市细颗粒物不达标，实行二氧化硫、氮氧化物、烟粉尘、挥发性有机物四项污染物排放总量指标2倍削减替代。</w:t>
            </w:r>
            <w:r>
              <w:rPr>
                <w:rFonts w:hint="eastAsia"/>
                <w:sz w:val="21"/>
                <w:szCs w:val="21"/>
                <w:highlight w:val="none"/>
                <w:lang w:val="en-US" w:eastAsia="zh-CN"/>
              </w:rPr>
              <w:t>该项目所需颗粒物、</w:t>
            </w:r>
            <w:r>
              <w:rPr>
                <w:sz w:val="21"/>
                <w:szCs w:val="21"/>
                <w:highlight w:val="none"/>
              </w:rPr>
              <w:t>二氧化硫、氮氧化物、</w:t>
            </w:r>
            <w:r>
              <w:rPr>
                <w:rFonts w:hint="eastAsia"/>
                <w:sz w:val="21"/>
                <w:szCs w:val="21"/>
                <w:highlight w:val="none"/>
                <w:lang w:val="en-US" w:eastAsia="zh-CN"/>
              </w:rPr>
              <w:t>VOCs按1:2比例替代，即需从现役污染源中调剂颗粒物0.016t/a、二氧化硫0.012t/a、氮氧化物0.106t/a、VOCs0.216t/a，方可达到污染物倍量替代要求。</w:t>
            </w:r>
          </w:p>
          <w:p>
            <w:pPr>
              <w:rPr>
                <w:color w:val="FF0000"/>
              </w:rPr>
            </w:pPr>
          </w:p>
        </w:tc>
      </w:tr>
    </w:tbl>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color w:val="FF0000"/>
          <w:sz w:val="36"/>
          <w:szCs w:val="36"/>
        </w:rPr>
        <w:br w:type="page"/>
      </w:r>
      <w:r>
        <w:rPr>
          <w:rFonts w:ascii="Times New Roman" w:hAnsi="Times New Roman" w:eastAsia="黑体"/>
          <w:snapToGrid w:val="0"/>
          <w:sz w:val="30"/>
          <w:szCs w:val="30"/>
        </w:rPr>
        <w:t>四、主要环境影响和保护措施</w:t>
      </w:r>
    </w:p>
    <w:tbl>
      <w:tblPr>
        <w:tblStyle w:val="85"/>
        <w:tblpPr w:leftFromText="180" w:rightFromText="180" w:vertAnchor="text" w:tblpXSpec="righ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50" w:hRule="atLeast"/>
        </w:trPr>
        <w:tc>
          <w:tcPr>
            <w:tcW w:w="736" w:type="dxa"/>
            <w:vAlign w:val="center"/>
          </w:tcPr>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施工</w:t>
            </w:r>
          </w:p>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期环</w:t>
            </w:r>
          </w:p>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境保</w:t>
            </w:r>
          </w:p>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护措</w:t>
            </w:r>
          </w:p>
          <w:p>
            <w:pPr>
              <w:pStyle w:val="80"/>
              <w:adjustRightInd w:val="0"/>
              <w:snapToGrid w:val="0"/>
              <w:spacing w:before="0" w:beforeAutospacing="0" w:after="0" w:afterAutospacing="0" w:line="420" w:lineRule="exact"/>
              <w:jc w:val="center"/>
              <w:rPr>
                <w:rFonts w:ascii="Times New Roman" w:hAnsi="Times New Roman"/>
                <w:kern w:val="2"/>
                <w:sz w:val="21"/>
                <w:szCs w:val="21"/>
              </w:rPr>
            </w:pPr>
            <w:r>
              <w:rPr>
                <w:rFonts w:ascii="Times New Roman" w:hAnsi="Times New Roman"/>
                <w:kern w:val="2"/>
                <w:sz w:val="21"/>
                <w:szCs w:val="21"/>
              </w:rPr>
              <w:t>施</w:t>
            </w:r>
          </w:p>
        </w:tc>
        <w:tc>
          <w:tcPr>
            <w:tcW w:w="8178" w:type="dxa"/>
            <w:vAlign w:val="center"/>
          </w:tcPr>
          <w:p>
            <w:pPr>
              <w:pStyle w:val="2"/>
              <w:adjustRightInd w:val="0"/>
              <w:snapToGrid w:val="0"/>
              <w:spacing w:line="360" w:lineRule="auto"/>
              <w:ind w:left="0" w:leftChars="0" w:firstLine="420" w:firstLineChars="200"/>
            </w:pPr>
            <w:r>
              <w:rPr>
                <w:sz w:val="21"/>
                <w:szCs w:val="21"/>
              </w:rPr>
              <w:t>本项目租赁现有闲置厂房进行建设，施工期主要为设备安装及调试，故施工期的主要影响因素是设备调试运行时产生的机械噪声和设备安装时产生的少量固废，对周围环境影响较小，本环评不再对施工期进行环境影响分析。</w:t>
            </w:r>
          </w:p>
        </w:tc>
      </w:tr>
    </w:tbl>
    <w:p>
      <w:pPr>
        <w:adjustRightInd w:val="0"/>
        <w:snapToGrid w:val="0"/>
        <w:spacing w:line="420" w:lineRule="exact"/>
        <w:rPr>
          <w:b/>
          <w:color w:val="FF0000"/>
          <w:kern w:val="0"/>
          <w:sz w:val="28"/>
          <w:szCs w:val="28"/>
        </w:rPr>
        <w:sectPr>
          <w:footerReference r:id="rId5" w:type="default"/>
          <w:pgSz w:w="11907" w:h="16840"/>
          <w:pgMar w:top="1701" w:right="1531" w:bottom="2127" w:left="1531" w:header="851" w:footer="851" w:gutter="0"/>
          <w:cols w:space="720" w:num="1"/>
          <w:docGrid w:linePitch="312" w:charSpace="0"/>
        </w:sectPr>
      </w:pP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45" w:type="dxa"/>
            <w:vAlign w:val="center"/>
          </w:tcPr>
          <w:p>
            <w:pPr>
              <w:adjustRightInd w:val="0"/>
              <w:snapToGrid w:val="0"/>
              <w:spacing w:line="420" w:lineRule="exact"/>
              <w:jc w:val="center"/>
              <w:rPr>
                <w:bCs/>
              </w:rPr>
            </w:pPr>
            <w:r>
              <w:rPr>
                <w:bCs/>
              </w:rPr>
              <w:t>运营</w:t>
            </w:r>
          </w:p>
          <w:p>
            <w:pPr>
              <w:adjustRightInd w:val="0"/>
              <w:snapToGrid w:val="0"/>
              <w:spacing w:line="420" w:lineRule="exact"/>
              <w:jc w:val="center"/>
              <w:rPr>
                <w:bCs/>
              </w:rPr>
            </w:pPr>
            <w:r>
              <w:rPr>
                <w:bCs/>
              </w:rPr>
              <w:t>期环</w:t>
            </w:r>
          </w:p>
          <w:p>
            <w:pPr>
              <w:adjustRightInd w:val="0"/>
              <w:snapToGrid w:val="0"/>
              <w:spacing w:line="420" w:lineRule="exact"/>
              <w:jc w:val="center"/>
              <w:rPr>
                <w:bCs/>
              </w:rPr>
            </w:pPr>
            <w:r>
              <w:rPr>
                <w:bCs/>
              </w:rPr>
              <w:t>境影</w:t>
            </w:r>
          </w:p>
          <w:p>
            <w:pPr>
              <w:adjustRightInd w:val="0"/>
              <w:snapToGrid w:val="0"/>
              <w:spacing w:line="420" w:lineRule="exact"/>
              <w:jc w:val="center"/>
              <w:rPr>
                <w:bCs/>
              </w:rPr>
            </w:pPr>
            <w:r>
              <w:rPr>
                <w:bCs/>
              </w:rPr>
              <w:t>响和</w:t>
            </w:r>
          </w:p>
          <w:p>
            <w:pPr>
              <w:adjustRightInd w:val="0"/>
              <w:snapToGrid w:val="0"/>
              <w:spacing w:line="420" w:lineRule="exact"/>
              <w:jc w:val="center"/>
              <w:rPr>
                <w:bCs/>
              </w:rPr>
            </w:pPr>
            <w:r>
              <w:rPr>
                <w:bCs/>
              </w:rPr>
              <w:t>保护</w:t>
            </w:r>
          </w:p>
          <w:p>
            <w:pPr>
              <w:adjustRightInd w:val="0"/>
              <w:snapToGrid w:val="0"/>
              <w:spacing w:line="420" w:lineRule="exact"/>
              <w:jc w:val="center"/>
              <w:rPr>
                <w:color w:val="FF0000"/>
              </w:rPr>
            </w:pPr>
            <w:r>
              <w:rPr>
                <w:bCs/>
              </w:rPr>
              <w:t>措施</w:t>
            </w:r>
          </w:p>
        </w:tc>
        <w:tc>
          <w:tcPr>
            <w:tcW w:w="12807" w:type="dxa"/>
          </w:tcPr>
          <w:p>
            <w:pPr>
              <w:pStyle w:val="379"/>
              <w:ind w:firstLine="422"/>
              <w:rPr>
                <w:b/>
                <w:bCs/>
                <w:sz w:val="21"/>
              </w:rPr>
            </w:pPr>
            <w:r>
              <w:rPr>
                <w:b/>
                <w:bCs/>
                <w:sz w:val="21"/>
              </w:rPr>
              <w:t>一、大气污染物</w:t>
            </w:r>
          </w:p>
          <w:p>
            <w:pPr>
              <w:pStyle w:val="2"/>
              <w:ind w:firstLine="422"/>
              <w:jc w:val="left"/>
              <w:rPr>
                <w:b/>
                <w:bCs/>
                <w:szCs w:val="21"/>
              </w:rPr>
            </w:pPr>
            <w:r>
              <w:rPr>
                <w:b/>
                <w:bCs/>
                <w:szCs w:val="21"/>
              </w:rPr>
              <w:t>（一）产排污环节、污染物及污染治理设施</w:t>
            </w:r>
          </w:p>
          <w:p>
            <w:pPr>
              <w:jc w:val="center"/>
              <w:rPr>
                <w:b/>
                <w:bCs/>
              </w:rPr>
            </w:pPr>
            <w:r>
              <w:rPr>
                <w:b/>
                <w:bCs/>
              </w:rPr>
              <w:t>表 4-1 废气产排污节点、污染物及污染治理设施信息表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7"/>
              <w:gridCol w:w="451"/>
              <w:gridCol w:w="685"/>
              <w:gridCol w:w="801"/>
              <w:gridCol w:w="976"/>
              <w:gridCol w:w="990"/>
              <w:gridCol w:w="830"/>
              <w:gridCol w:w="655"/>
              <w:gridCol w:w="1078"/>
              <w:gridCol w:w="552"/>
              <w:gridCol w:w="401"/>
              <w:gridCol w:w="837"/>
              <w:gridCol w:w="870"/>
              <w:gridCol w:w="547"/>
              <w:gridCol w:w="734"/>
              <w:gridCol w:w="870"/>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587" w:type="dxa"/>
                  <w:vMerge w:val="restart"/>
                  <w:vAlign w:val="center"/>
                </w:tcPr>
                <w:p>
                  <w:pPr>
                    <w:spacing w:line="240" w:lineRule="exact"/>
                    <w:jc w:val="center"/>
                    <w:rPr>
                      <w:b/>
                      <w:bCs/>
                      <w:sz w:val="18"/>
                      <w:szCs w:val="18"/>
                    </w:rPr>
                  </w:pPr>
                  <w:r>
                    <w:rPr>
                      <w:b/>
                      <w:bCs/>
                      <w:sz w:val="18"/>
                      <w:szCs w:val="18"/>
                    </w:rPr>
                    <w:t>产污环节</w:t>
                  </w:r>
                </w:p>
              </w:tc>
              <w:tc>
                <w:tcPr>
                  <w:tcW w:w="451" w:type="dxa"/>
                  <w:vMerge w:val="restart"/>
                  <w:vAlign w:val="center"/>
                </w:tcPr>
                <w:p>
                  <w:pPr>
                    <w:spacing w:line="240" w:lineRule="exact"/>
                    <w:jc w:val="center"/>
                    <w:rPr>
                      <w:b/>
                      <w:bCs/>
                      <w:sz w:val="18"/>
                      <w:szCs w:val="18"/>
                    </w:rPr>
                  </w:pPr>
                  <w:r>
                    <w:rPr>
                      <w:b/>
                      <w:bCs/>
                      <w:sz w:val="18"/>
                      <w:szCs w:val="18"/>
                    </w:rPr>
                    <w:t>排放形式</w:t>
                  </w:r>
                </w:p>
              </w:tc>
              <w:tc>
                <w:tcPr>
                  <w:tcW w:w="685" w:type="dxa"/>
                  <w:vMerge w:val="restart"/>
                  <w:vAlign w:val="center"/>
                </w:tcPr>
                <w:p>
                  <w:pPr>
                    <w:spacing w:line="240" w:lineRule="exact"/>
                    <w:jc w:val="center"/>
                    <w:rPr>
                      <w:b/>
                      <w:bCs/>
                      <w:sz w:val="18"/>
                      <w:szCs w:val="18"/>
                    </w:rPr>
                  </w:pPr>
                  <w:r>
                    <w:rPr>
                      <w:b/>
                      <w:bCs/>
                      <w:sz w:val="18"/>
                      <w:szCs w:val="18"/>
                    </w:rPr>
                    <w:t>污染物</w:t>
                  </w:r>
                </w:p>
                <w:p>
                  <w:pPr>
                    <w:spacing w:line="240" w:lineRule="exact"/>
                    <w:jc w:val="center"/>
                    <w:rPr>
                      <w:b/>
                      <w:bCs/>
                      <w:sz w:val="18"/>
                      <w:szCs w:val="18"/>
                    </w:rPr>
                  </w:pPr>
                  <w:r>
                    <w:rPr>
                      <w:b/>
                      <w:bCs/>
                      <w:sz w:val="18"/>
                      <w:szCs w:val="18"/>
                    </w:rPr>
                    <w:t>种类</w:t>
                  </w:r>
                </w:p>
              </w:tc>
              <w:tc>
                <w:tcPr>
                  <w:tcW w:w="2767" w:type="dxa"/>
                  <w:gridSpan w:val="3"/>
                  <w:vAlign w:val="center"/>
                </w:tcPr>
                <w:p>
                  <w:pPr>
                    <w:spacing w:line="240" w:lineRule="exact"/>
                    <w:jc w:val="center"/>
                    <w:rPr>
                      <w:b/>
                      <w:bCs/>
                      <w:sz w:val="18"/>
                      <w:szCs w:val="18"/>
                    </w:rPr>
                  </w:pPr>
                  <w:r>
                    <w:rPr>
                      <w:b/>
                      <w:bCs/>
                      <w:sz w:val="18"/>
                      <w:szCs w:val="18"/>
                    </w:rPr>
                    <w:t>污染物产生</w:t>
                  </w:r>
                </w:p>
              </w:tc>
              <w:tc>
                <w:tcPr>
                  <w:tcW w:w="3516" w:type="dxa"/>
                  <w:gridSpan w:val="5"/>
                  <w:vAlign w:val="center"/>
                </w:tcPr>
                <w:p>
                  <w:pPr>
                    <w:spacing w:line="240" w:lineRule="exact"/>
                    <w:jc w:val="center"/>
                    <w:rPr>
                      <w:b/>
                      <w:bCs/>
                      <w:sz w:val="18"/>
                      <w:szCs w:val="18"/>
                    </w:rPr>
                  </w:pPr>
                  <w:r>
                    <w:rPr>
                      <w:b/>
                      <w:bCs/>
                      <w:sz w:val="18"/>
                      <w:szCs w:val="18"/>
                    </w:rPr>
                    <w:t>治理设施</w:t>
                  </w:r>
                </w:p>
              </w:tc>
              <w:tc>
                <w:tcPr>
                  <w:tcW w:w="2988" w:type="dxa"/>
                  <w:gridSpan w:val="4"/>
                </w:tcPr>
                <w:p>
                  <w:pPr>
                    <w:spacing w:line="240" w:lineRule="exact"/>
                    <w:jc w:val="center"/>
                    <w:rPr>
                      <w:b/>
                      <w:bCs/>
                      <w:sz w:val="18"/>
                      <w:szCs w:val="18"/>
                    </w:rPr>
                  </w:pPr>
                  <w:r>
                    <w:rPr>
                      <w:b/>
                      <w:bCs/>
                      <w:sz w:val="18"/>
                      <w:szCs w:val="18"/>
                    </w:rPr>
                    <w:t>污染物排放</w:t>
                  </w:r>
                </w:p>
              </w:tc>
              <w:tc>
                <w:tcPr>
                  <w:tcW w:w="1582" w:type="dxa"/>
                  <w:gridSpan w:val="2"/>
                  <w:vAlign w:val="center"/>
                </w:tcPr>
                <w:p>
                  <w:pPr>
                    <w:spacing w:line="240" w:lineRule="exact"/>
                    <w:jc w:val="center"/>
                    <w:rPr>
                      <w:b/>
                      <w:bCs/>
                      <w:sz w:val="18"/>
                      <w:szCs w:val="18"/>
                    </w:rPr>
                  </w:pPr>
                  <w:r>
                    <w:rPr>
                      <w:b/>
                      <w:bCs/>
                      <w:sz w:val="18"/>
                      <w:szCs w:val="18"/>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587" w:type="dxa"/>
                  <w:vMerge w:val="continue"/>
                  <w:vAlign w:val="center"/>
                </w:tcPr>
                <w:p>
                  <w:pPr>
                    <w:spacing w:line="240" w:lineRule="exact"/>
                    <w:jc w:val="center"/>
                    <w:rPr>
                      <w:b/>
                      <w:bCs/>
                      <w:sz w:val="18"/>
                      <w:szCs w:val="18"/>
                    </w:rPr>
                  </w:pPr>
                </w:p>
              </w:tc>
              <w:tc>
                <w:tcPr>
                  <w:tcW w:w="451" w:type="dxa"/>
                  <w:vMerge w:val="continue"/>
                  <w:vAlign w:val="center"/>
                </w:tcPr>
                <w:p>
                  <w:pPr>
                    <w:spacing w:line="240" w:lineRule="exact"/>
                    <w:jc w:val="center"/>
                    <w:rPr>
                      <w:b/>
                      <w:bCs/>
                      <w:sz w:val="18"/>
                      <w:szCs w:val="18"/>
                    </w:rPr>
                  </w:pPr>
                </w:p>
              </w:tc>
              <w:tc>
                <w:tcPr>
                  <w:tcW w:w="685" w:type="dxa"/>
                  <w:vMerge w:val="continue"/>
                  <w:vAlign w:val="center"/>
                </w:tcPr>
                <w:p>
                  <w:pPr>
                    <w:spacing w:line="240" w:lineRule="exact"/>
                    <w:jc w:val="center"/>
                    <w:rPr>
                      <w:b/>
                      <w:bCs/>
                      <w:sz w:val="18"/>
                      <w:szCs w:val="18"/>
                    </w:rPr>
                  </w:pPr>
                </w:p>
              </w:tc>
              <w:tc>
                <w:tcPr>
                  <w:tcW w:w="801" w:type="dxa"/>
                  <w:vAlign w:val="center"/>
                </w:tcPr>
                <w:p>
                  <w:pPr>
                    <w:spacing w:line="240" w:lineRule="exact"/>
                    <w:jc w:val="center"/>
                    <w:rPr>
                      <w:b/>
                      <w:bCs/>
                      <w:sz w:val="18"/>
                      <w:szCs w:val="18"/>
                    </w:rPr>
                  </w:pPr>
                  <w:r>
                    <w:rPr>
                      <w:b/>
                      <w:bCs/>
                      <w:sz w:val="18"/>
                      <w:szCs w:val="18"/>
                    </w:rPr>
                    <w:t>产生量（t/a）</w:t>
                  </w:r>
                </w:p>
              </w:tc>
              <w:tc>
                <w:tcPr>
                  <w:tcW w:w="976" w:type="dxa"/>
                  <w:vAlign w:val="center"/>
                </w:tcPr>
                <w:p>
                  <w:pPr>
                    <w:spacing w:line="240" w:lineRule="exact"/>
                    <w:jc w:val="center"/>
                    <w:rPr>
                      <w:b/>
                      <w:bCs/>
                      <w:sz w:val="18"/>
                      <w:szCs w:val="18"/>
                    </w:rPr>
                  </w:pPr>
                  <w:r>
                    <w:rPr>
                      <w:b/>
                      <w:bCs/>
                      <w:sz w:val="18"/>
                      <w:szCs w:val="18"/>
                    </w:rPr>
                    <w:t>产生浓度（mg/m</w:t>
                  </w:r>
                  <w:r>
                    <w:rPr>
                      <w:b/>
                      <w:bCs/>
                      <w:sz w:val="18"/>
                      <w:szCs w:val="18"/>
                      <w:vertAlign w:val="superscript"/>
                    </w:rPr>
                    <w:t>3</w:t>
                  </w:r>
                  <w:r>
                    <w:rPr>
                      <w:b/>
                      <w:bCs/>
                      <w:sz w:val="18"/>
                      <w:szCs w:val="18"/>
                    </w:rPr>
                    <w:t>）</w:t>
                  </w:r>
                </w:p>
              </w:tc>
              <w:tc>
                <w:tcPr>
                  <w:tcW w:w="990" w:type="dxa"/>
                  <w:vAlign w:val="center"/>
                </w:tcPr>
                <w:p>
                  <w:pPr>
                    <w:spacing w:line="240" w:lineRule="exact"/>
                    <w:jc w:val="center"/>
                    <w:rPr>
                      <w:rFonts w:hint="eastAsia"/>
                      <w:b/>
                      <w:bCs/>
                      <w:sz w:val="18"/>
                      <w:szCs w:val="18"/>
                      <w:lang w:eastAsia="zh-CN"/>
                    </w:rPr>
                  </w:pPr>
                  <w:r>
                    <w:rPr>
                      <w:rFonts w:hint="eastAsia"/>
                      <w:b/>
                      <w:bCs/>
                      <w:sz w:val="18"/>
                      <w:szCs w:val="18"/>
                      <w:lang w:eastAsia="zh-CN"/>
                    </w:rPr>
                    <w:t>产生速率</w:t>
                  </w:r>
                </w:p>
                <w:p>
                  <w:pPr>
                    <w:spacing w:line="240" w:lineRule="exact"/>
                    <w:jc w:val="center"/>
                    <w:rPr>
                      <w:rFonts w:hint="eastAsia" w:eastAsia="宋体"/>
                      <w:b/>
                      <w:bCs/>
                      <w:sz w:val="18"/>
                      <w:szCs w:val="18"/>
                      <w:lang w:eastAsia="zh-CN"/>
                    </w:rPr>
                  </w:pPr>
                  <w:r>
                    <w:rPr>
                      <w:rFonts w:hint="eastAsia"/>
                      <w:b/>
                      <w:bCs/>
                      <w:sz w:val="18"/>
                      <w:szCs w:val="18"/>
                      <w:lang w:eastAsia="zh-CN"/>
                    </w:rPr>
                    <w:t>（</w:t>
                  </w:r>
                  <w:r>
                    <w:rPr>
                      <w:rFonts w:hint="eastAsia"/>
                      <w:b/>
                      <w:bCs/>
                      <w:sz w:val="18"/>
                      <w:szCs w:val="18"/>
                      <w:lang w:val="en-US" w:eastAsia="zh-CN"/>
                    </w:rPr>
                    <w:t>kg/h</w:t>
                  </w:r>
                  <w:r>
                    <w:rPr>
                      <w:rFonts w:hint="eastAsia"/>
                      <w:b/>
                      <w:bCs/>
                      <w:sz w:val="18"/>
                      <w:szCs w:val="18"/>
                      <w:lang w:eastAsia="zh-CN"/>
                    </w:rPr>
                    <w:t>）</w:t>
                  </w:r>
                </w:p>
              </w:tc>
              <w:tc>
                <w:tcPr>
                  <w:tcW w:w="830" w:type="dxa"/>
                  <w:vAlign w:val="center"/>
                </w:tcPr>
                <w:p>
                  <w:pPr>
                    <w:spacing w:line="240" w:lineRule="exact"/>
                    <w:jc w:val="center"/>
                    <w:rPr>
                      <w:b/>
                      <w:bCs/>
                      <w:sz w:val="18"/>
                      <w:szCs w:val="18"/>
                    </w:rPr>
                  </w:pPr>
                  <w:r>
                    <w:rPr>
                      <w:b/>
                      <w:bCs/>
                      <w:sz w:val="18"/>
                      <w:szCs w:val="18"/>
                    </w:rPr>
                    <w:t>处理能力（m</w:t>
                  </w:r>
                  <w:r>
                    <w:rPr>
                      <w:b/>
                      <w:bCs/>
                      <w:sz w:val="18"/>
                      <w:szCs w:val="18"/>
                      <w:vertAlign w:val="superscript"/>
                    </w:rPr>
                    <w:t>3</w:t>
                  </w:r>
                  <w:r>
                    <w:rPr>
                      <w:b/>
                      <w:bCs/>
                      <w:sz w:val="18"/>
                      <w:szCs w:val="18"/>
                    </w:rPr>
                    <w:t>/h）</w:t>
                  </w:r>
                </w:p>
              </w:tc>
              <w:tc>
                <w:tcPr>
                  <w:tcW w:w="655" w:type="dxa"/>
                  <w:vAlign w:val="center"/>
                </w:tcPr>
                <w:p>
                  <w:pPr>
                    <w:spacing w:line="240" w:lineRule="exact"/>
                    <w:jc w:val="center"/>
                    <w:rPr>
                      <w:b/>
                      <w:bCs/>
                      <w:sz w:val="18"/>
                      <w:szCs w:val="18"/>
                    </w:rPr>
                  </w:pPr>
                  <w:r>
                    <w:rPr>
                      <w:b/>
                      <w:bCs/>
                      <w:sz w:val="18"/>
                      <w:szCs w:val="18"/>
                    </w:rPr>
                    <w:t>收集率（%）</w:t>
                  </w:r>
                </w:p>
              </w:tc>
              <w:tc>
                <w:tcPr>
                  <w:tcW w:w="1078" w:type="dxa"/>
                  <w:vAlign w:val="center"/>
                </w:tcPr>
                <w:p>
                  <w:pPr>
                    <w:spacing w:line="240" w:lineRule="exact"/>
                    <w:jc w:val="center"/>
                    <w:rPr>
                      <w:b/>
                      <w:bCs/>
                      <w:sz w:val="18"/>
                      <w:szCs w:val="18"/>
                    </w:rPr>
                  </w:pPr>
                  <w:r>
                    <w:rPr>
                      <w:b/>
                      <w:bCs/>
                      <w:sz w:val="18"/>
                      <w:szCs w:val="18"/>
                    </w:rPr>
                    <w:t>治理工艺</w:t>
                  </w:r>
                </w:p>
              </w:tc>
              <w:tc>
                <w:tcPr>
                  <w:tcW w:w="552" w:type="dxa"/>
                  <w:vAlign w:val="center"/>
                </w:tcPr>
                <w:p>
                  <w:pPr>
                    <w:spacing w:line="240" w:lineRule="exact"/>
                    <w:jc w:val="center"/>
                    <w:rPr>
                      <w:b/>
                      <w:bCs/>
                      <w:sz w:val="18"/>
                      <w:szCs w:val="18"/>
                    </w:rPr>
                  </w:pPr>
                  <w:r>
                    <w:rPr>
                      <w:b/>
                      <w:bCs/>
                      <w:sz w:val="18"/>
                      <w:szCs w:val="18"/>
                    </w:rPr>
                    <w:t>去除率（%）</w:t>
                  </w:r>
                </w:p>
              </w:tc>
              <w:tc>
                <w:tcPr>
                  <w:tcW w:w="401" w:type="dxa"/>
                  <w:vAlign w:val="center"/>
                </w:tcPr>
                <w:p>
                  <w:pPr>
                    <w:spacing w:line="240" w:lineRule="exact"/>
                    <w:jc w:val="center"/>
                    <w:rPr>
                      <w:b/>
                      <w:bCs/>
                      <w:sz w:val="18"/>
                      <w:szCs w:val="18"/>
                    </w:rPr>
                  </w:pPr>
                  <w:r>
                    <w:rPr>
                      <w:b/>
                      <w:bCs/>
                      <w:sz w:val="18"/>
                      <w:szCs w:val="18"/>
                    </w:rPr>
                    <w:t>是否为可行技术</w:t>
                  </w:r>
                </w:p>
              </w:tc>
              <w:tc>
                <w:tcPr>
                  <w:tcW w:w="837" w:type="dxa"/>
                  <w:vAlign w:val="center"/>
                </w:tcPr>
                <w:p>
                  <w:pPr>
                    <w:spacing w:line="240" w:lineRule="exact"/>
                    <w:jc w:val="center"/>
                    <w:rPr>
                      <w:b/>
                      <w:bCs/>
                      <w:sz w:val="18"/>
                      <w:szCs w:val="18"/>
                    </w:rPr>
                  </w:pPr>
                  <w:r>
                    <w:rPr>
                      <w:b/>
                      <w:bCs/>
                      <w:sz w:val="18"/>
                      <w:szCs w:val="18"/>
                    </w:rPr>
                    <w:t>排放量（t/a）</w:t>
                  </w:r>
                </w:p>
              </w:tc>
              <w:tc>
                <w:tcPr>
                  <w:tcW w:w="870" w:type="dxa"/>
                  <w:vAlign w:val="center"/>
                </w:tcPr>
                <w:p>
                  <w:pPr>
                    <w:spacing w:line="240" w:lineRule="exact"/>
                    <w:jc w:val="center"/>
                    <w:rPr>
                      <w:b/>
                      <w:bCs/>
                      <w:sz w:val="18"/>
                      <w:szCs w:val="18"/>
                    </w:rPr>
                  </w:pPr>
                  <w:r>
                    <w:rPr>
                      <w:b/>
                      <w:bCs/>
                      <w:sz w:val="18"/>
                      <w:szCs w:val="18"/>
                    </w:rPr>
                    <w:t>排放浓度（mg/m</w:t>
                  </w:r>
                  <w:r>
                    <w:rPr>
                      <w:b/>
                      <w:bCs/>
                      <w:sz w:val="18"/>
                      <w:szCs w:val="18"/>
                      <w:vertAlign w:val="superscript"/>
                    </w:rPr>
                    <w:t>3</w:t>
                  </w:r>
                  <w:r>
                    <w:rPr>
                      <w:b/>
                      <w:bCs/>
                      <w:sz w:val="18"/>
                      <w:szCs w:val="18"/>
                    </w:rPr>
                    <w:t>）</w:t>
                  </w:r>
                </w:p>
              </w:tc>
              <w:tc>
                <w:tcPr>
                  <w:tcW w:w="547" w:type="dxa"/>
                  <w:vAlign w:val="center"/>
                </w:tcPr>
                <w:p>
                  <w:pPr>
                    <w:spacing w:line="240" w:lineRule="exact"/>
                    <w:jc w:val="center"/>
                    <w:rPr>
                      <w:b/>
                      <w:bCs/>
                      <w:sz w:val="18"/>
                      <w:szCs w:val="18"/>
                    </w:rPr>
                  </w:pPr>
                  <w:r>
                    <w:rPr>
                      <w:b/>
                      <w:bCs/>
                      <w:sz w:val="18"/>
                      <w:szCs w:val="18"/>
                    </w:rPr>
                    <w:t>排放时间（h）</w:t>
                  </w:r>
                </w:p>
              </w:tc>
              <w:tc>
                <w:tcPr>
                  <w:tcW w:w="734" w:type="dxa"/>
                  <w:vAlign w:val="center"/>
                </w:tcPr>
                <w:p>
                  <w:pPr>
                    <w:spacing w:line="240" w:lineRule="exact"/>
                    <w:jc w:val="center"/>
                    <w:rPr>
                      <w:b/>
                      <w:bCs/>
                      <w:sz w:val="18"/>
                      <w:szCs w:val="18"/>
                    </w:rPr>
                  </w:pPr>
                  <w:r>
                    <w:rPr>
                      <w:b/>
                      <w:bCs/>
                      <w:sz w:val="18"/>
                      <w:szCs w:val="18"/>
                    </w:rPr>
                    <w:t>排放速率（kg/h）</w:t>
                  </w:r>
                </w:p>
              </w:tc>
              <w:tc>
                <w:tcPr>
                  <w:tcW w:w="870" w:type="dxa"/>
                  <w:vAlign w:val="center"/>
                </w:tcPr>
                <w:p>
                  <w:pPr>
                    <w:spacing w:line="240" w:lineRule="exact"/>
                    <w:jc w:val="center"/>
                    <w:rPr>
                      <w:b/>
                      <w:bCs/>
                      <w:sz w:val="18"/>
                      <w:szCs w:val="18"/>
                    </w:rPr>
                  </w:pPr>
                  <w:r>
                    <w:rPr>
                      <w:b/>
                      <w:bCs/>
                      <w:sz w:val="18"/>
                      <w:szCs w:val="18"/>
                    </w:rPr>
                    <w:t>浓度限值（mg/m</w:t>
                  </w:r>
                  <w:r>
                    <w:rPr>
                      <w:b/>
                      <w:bCs/>
                      <w:sz w:val="18"/>
                      <w:szCs w:val="18"/>
                      <w:vertAlign w:val="superscript"/>
                    </w:rPr>
                    <w:t>3</w:t>
                  </w:r>
                  <w:r>
                    <w:rPr>
                      <w:b/>
                      <w:bCs/>
                      <w:sz w:val="18"/>
                      <w:szCs w:val="18"/>
                    </w:rPr>
                    <w:t>）</w:t>
                  </w:r>
                </w:p>
              </w:tc>
              <w:tc>
                <w:tcPr>
                  <w:tcW w:w="712" w:type="dxa"/>
                  <w:vAlign w:val="center"/>
                </w:tcPr>
                <w:p>
                  <w:pPr>
                    <w:spacing w:line="240" w:lineRule="exact"/>
                    <w:jc w:val="center"/>
                    <w:rPr>
                      <w:b/>
                      <w:bCs/>
                      <w:sz w:val="18"/>
                      <w:szCs w:val="18"/>
                    </w:rPr>
                  </w:pPr>
                  <w:r>
                    <w:rPr>
                      <w:b/>
                      <w:bCs/>
                      <w:sz w:val="18"/>
                      <w:szCs w:val="18"/>
                    </w:rPr>
                    <w:t>速率限值（kg/h）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587" w:type="dxa"/>
                  <w:vMerge w:val="restart"/>
                  <w:vAlign w:val="center"/>
                </w:tcPr>
                <w:p>
                  <w:pPr>
                    <w:spacing w:line="240" w:lineRule="exact"/>
                    <w:jc w:val="center"/>
                    <w:rPr>
                      <w:rFonts w:hint="eastAsia" w:eastAsia="宋体"/>
                      <w:sz w:val="18"/>
                      <w:szCs w:val="18"/>
                      <w:lang w:eastAsia="zh-CN"/>
                    </w:rPr>
                  </w:pPr>
                  <w:r>
                    <w:rPr>
                      <w:rFonts w:hint="eastAsia"/>
                      <w:sz w:val="18"/>
                      <w:szCs w:val="18"/>
                      <w:lang w:eastAsia="zh-CN"/>
                    </w:rPr>
                    <w:t>液化石油气燃烧</w:t>
                  </w:r>
                </w:p>
              </w:tc>
              <w:tc>
                <w:tcPr>
                  <w:tcW w:w="451" w:type="dxa"/>
                  <w:vMerge w:val="restart"/>
                  <w:vAlign w:val="center"/>
                </w:tcPr>
                <w:p>
                  <w:pPr>
                    <w:spacing w:line="240" w:lineRule="exact"/>
                    <w:jc w:val="center"/>
                    <w:rPr>
                      <w:sz w:val="18"/>
                      <w:szCs w:val="18"/>
                    </w:rPr>
                  </w:pPr>
                  <w:r>
                    <w:rPr>
                      <w:sz w:val="18"/>
                      <w:szCs w:val="18"/>
                    </w:rPr>
                    <w:t>有组织</w:t>
                  </w:r>
                </w:p>
              </w:tc>
              <w:tc>
                <w:tcPr>
                  <w:tcW w:w="685" w:type="dxa"/>
                  <w:tcBorders>
                    <w:bottom w:val="single" w:color="auto" w:sz="2" w:space="0"/>
                  </w:tcBorders>
                  <w:vAlign w:val="center"/>
                </w:tcPr>
                <w:p>
                  <w:pPr>
                    <w:spacing w:line="240" w:lineRule="exact"/>
                    <w:jc w:val="center"/>
                    <w:rPr>
                      <w:rFonts w:hint="eastAsia" w:eastAsia="宋体"/>
                      <w:sz w:val="18"/>
                      <w:szCs w:val="18"/>
                      <w:lang w:eastAsia="zh-CN"/>
                    </w:rPr>
                  </w:pPr>
                  <w:r>
                    <w:rPr>
                      <w:rFonts w:hint="eastAsia"/>
                      <w:sz w:val="18"/>
                      <w:szCs w:val="18"/>
                      <w:lang w:eastAsia="zh-CN"/>
                    </w:rPr>
                    <w:t>颗粒物</w:t>
                  </w:r>
                </w:p>
              </w:tc>
              <w:tc>
                <w:tcPr>
                  <w:tcW w:w="801" w:type="dxa"/>
                  <w:tcBorders>
                    <w:bottom w:val="single" w:color="auto" w:sz="2" w:space="0"/>
                  </w:tcBorders>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0.008</w:t>
                  </w:r>
                </w:p>
              </w:tc>
              <w:tc>
                <w:tcPr>
                  <w:tcW w:w="976" w:type="dxa"/>
                  <w:tcBorders>
                    <w:bottom w:val="single" w:color="auto" w:sz="2" w:space="0"/>
                  </w:tcBorders>
                  <w:vAlign w:val="center"/>
                </w:tcPr>
                <w:p>
                  <w:pPr>
                    <w:keepNext w:val="0"/>
                    <w:keepLines w:val="0"/>
                    <w:widowControl/>
                    <w:suppressLineNumbers w:val="0"/>
                    <w:jc w:val="center"/>
                    <w:textAlignment w:val="bottom"/>
                    <w:rPr>
                      <w:sz w:val="18"/>
                      <w:szCs w:val="18"/>
                    </w:rPr>
                  </w:pPr>
                  <w:r>
                    <w:rPr>
                      <w:rFonts w:hint="eastAsia" w:ascii="Times New Roman" w:hAnsi="Times New Roman" w:eastAsia="宋体" w:cs="Times New Roman"/>
                      <w:i w:val="0"/>
                      <w:iCs w:val="0"/>
                      <w:color w:val="000000"/>
                      <w:kern w:val="0"/>
                      <w:sz w:val="18"/>
                      <w:szCs w:val="18"/>
                      <w:u w:val="none"/>
                      <w:lang w:val="en-US" w:eastAsia="zh-CN" w:bidi="ar"/>
                    </w:rPr>
                    <w:t>7.2</w:t>
                  </w:r>
                </w:p>
              </w:tc>
              <w:tc>
                <w:tcPr>
                  <w:tcW w:w="990" w:type="dxa"/>
                  <w:tcBorders>
                    <w:bottom w:val="single" w:color="auto" w:sz="2" w:space="0"/>
                  </w:tcBorders>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0.0033</w:t>
                  </w:r>
                </w:p>
              </w:tc>
              <w:tc>
                <w:tcPr>
                  <w:tcW w:w="830" w:type="dxa"/>
                  <w:vMerge w:val="restart"/>
                  <w:vAlign w:val="center"/>
                </w:tcPr>
                <w:p>
                  <w:pPr>
                    <w:spacing w:line="240" w:lineRule="exact"/>
                    <w:jc w:val="center"/>
                    <w:rPr>
                      <w:rFonts w:hint="eastAsia" w:cs="Times New Roman"/>
                      <w:sz w:val="18"/>
                      <w:szCs w:val="18"/>
                      <w:highlight w:val="none"/>
                      <w:lang w:val="en-US" w:eastAsia="zh-CN"/>
                    </w:rPr>
                  </w:pPr>
                  <w:r>
                    <w:rPr>
                      <w:rFonts w:hint="eastAsia" w:cs="Times New Roman"/>
                      <w:sz w:val="18"/>
                      <w:szCs w:val="18"/>
                      <w:highlight w:val="none"/>
                      <w:lang w:val="en-US" w:eastAsia="zh-CN"/>
                    </w:rPr>
                    <w:t>1111908</w:t>
                  </w:r>
                </w:p>
                <w:p>
                  <w:pPr>
                    <w:spacing w:line="240" w:lineRule="exact"/>
                    <w:jc w:val="center"/>
                    <w:rPr>
                      <w:sz w:val="18"/>
                      <w:szCs w:val="18"/>
                    </w:rPr>
                  </w:pPr>
                  <w:r>
                    <w:rPr>
                      <w:rFonts w:hint="default" w:ascii="Times New Roman" w:hAnsi="Times New Roman" w:cs="Times New Roman"/>
                      <w:sz w:val="18"/>
                      <w:szCs w:val="18"/>
                      <w:highlight w:val="none"/>
                    </w:rPr>
                    <w:t>m</w:t>
                  </w:r>
                  <w:r>
                    <w:rPr>
                      <w:rFonts w:hint="default" w:ascii="Times New Roman" w:hAnsi="Times New Roman" w:cs="Times New Roman"/>
                      <w:sz w:val="18"/>
                      <w:szCs w:val="18"/>
                      <w:highlight w:val="none"/>
                      <w:vertAlign w:val="superscript"/>
                    </w:rPr>
                    <w:t>3</w:t>
                  </w:r>
                  <w:r>
                    <w:rPr>
                      <w:rFonts w:hint="eastAsia" w:ascii="Times New Roman" w:hAnsi="Times New Roman" w:cs="Times New Roman"/>
                      <w:sz w:val="18"/>
                      <w:szCs w:val="18"/>
                      <w:highlight w:val="none"/>
                      <w:vertAlign w:val="baseline"/>
                      <w:lang w:val="en-US" w:eastAsia="zh-CN"/>
                    </w:rPr>
                    <w:t>/a</w:t>
                  </w:r>
                </w:p>
              </w:tc>
              <w:tc>
                <w:tcPr>
                  <w:tcW w:w="655" w:type="dxa"/>
                  <w:tcBorders>
                    <w:bottom w:val="single" w:color="auto" w:sz="2" w:space="0"/>
                  </w:tcBorders>
                  <w:vAlign w:val="center"/>
                </w:tcPr>
                <w:p>
                  <w:pPr>
                    <w:spacing w:line="240" w:lineRule="exact"/>
                    <w:jc w:val="center"/>
                    <w:rPr>
                      <w:rFonts w:hint="default" w:eastAsia="宋体"/>
                      <w:sz w:val="18"/>
                      <w:szCs w:val="18"/>
                      <w:lang w:val="en-US" w:eastAsia="zh-CN"/>
                    </w:rPr>
                  </w:pPr>
                  <w:r>
                    <w:rPr>
                      <w:rFonts w:hint="eastAsia"/>
                      <w:sz w:val="18"/>
                      <w:szCs w:val="18"/>
                      <w:lang w:val="en-US" w:eastAsia="zh-CN"/>
                    </w:rPr>
                    <w:t>100</w:t>
                  </w:r>
                </w:p>
              </w:tc>
              <w:tc>
                <w:tcPr>
                  <w:tcW w:w="1078" w:type="dxa"/>
                  <w:vAlign w:val="center"/>
                </w:tcPr>
                <w:p>
                  <w:pPr>
                    <w:spacing w:line="240" w:lineRule="exact"/>
                    <w:jc w:val="center"/>
                    <w:rPr>
                      <w:rFonts w:hint="default" w:eastAsia="宋体"/>
                      <w:color w:val="FF0000"/>
                      <w:sz w:val="18"/>
                      <w:szCs w:val="18"/>
                      <w:lang w:val="en-US" w:eastAsia="zh-CN"/>
                    </w:rPr>
                  </w:pPr>
                  <w:r>
                    <w:rPr>
                      <w:rFonts w:hint="eastAsia"/>
                      <w:color w:val="auto"/>
                      <w:sz w:val="18"/>
                      <w:szCs w:val="18"/>
                      <w:lang w:val="en-US" w:eastAsia="zh-CN"/>
                    </w:rPr>
                    <w:t>--</w:t>
                  </w:r>
                </w:p>
              </w:tc>
              <w:tc>
                <w:tcPr>
                  <w:tcW w:w="552" w:type="dxa"/>
                  <w:tcBorders>
                    <w:bottom w:val="single" w:color="auto" w:sz="2" w:space="0"/>
                  </w:tcBorders>
                  <w:vAlign w:val="center"/>
                </w:tcPr>
                <w:p>
                  <w:pPr>
                    <w:spacing w:line="240" w:lineRule="exact"/>
                    <w:jc w:val="center"/>
                    <w:rPr>
                      <w:rFonts w:hint="default" w:eastAsia="宋体"/>
                      <w:sz w:val="18"/>
                      <w:szCs w:val="18"/>
                      <w:lang w:val="en-US" w:eastAsia="zh-CN"/>
                    </w:rPr>
                  </w:pPr>
                  <w:r>
                    <w:rPr>
                      <w:rFonts w:hint="eastAsia"/>
                      <w:sz w:val="18"/>
                      <w:szCs w:val="18"/>
                      <w:lang w:val="en-US" w:eastAsia="zh-CN"/>
                    </w:rPr>
                    <w:t>0</w:t>
                  </w:r>
                </w:p>
              </w:tc>
              <w:tc>
                <w:tcPr>
                  <w:tcW w:w="401" w:type="dxa"/>
                  <w:tcBorders>
                    <w:bottom w:val="single" w:color="auto" w:sz="2" w:space="0"/>
                  </w:tcBorders>
                  <w:vAlign w:val="center"/>
                </w:tcPr>
                <w:p>
                  <w:pPr>
                    <w:spacing w:line="240" w:lineRule="exact"/>
                    <w:jc w:val="center"/>
                    <w:rPr>
                      <w:rFonts w:hint="default" w:eastAsia="宋体"/>
                      <w:sz w:val="18"/>
                      <w:szCs w:val="18"/>
                      <w:lang w:val="en-US" w:eastAsia="zh-CN"/>
                    </w:rPr>
                  </w:pPr>
                  <w:r>
                    <w:rPr>
                      <w:rFonts w:hint="eastAsia"/>
                      <w:sz w:val="18"/>
                      <w:szCs w:val="18"/>
                      <w:lang w:val="en-US" w:eastAsia="zh-CN"/>
                    </w:rPr>
                    <w:t>--</w:t>
                  </w:r>
                </w:p>
              </w:tc>
              <w:tc>
                <w:tcPr>
                  <w:tcW w:w="837" w:type="dxa"/>
                  <w:tcBorders>
                    <w:bottom w:val="single" w:color="auto" w:sz="2" w:space="0"/>
                  </w:tcBorders>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0.008</w:t>
                  </w:r>
                </w:p>
              </w:tc>
              <w:tc>
                <w:tcPr>
                  <w:tcW w:w="870" w:type="dxa"/>
                  <w:tcBorders>
                    <w:bottom w:val="single" w:color="auto" w:sz="2" w:space="0"/>
                  </w:tcBorders>
                  <w:vAlign w:val="center"/>
                </w:tcPr>
                <w:p>
                  <w:pPr>
                    <w:keepNext w:val="0"/>
                    <w:keepLines w:val="0"/>
                    <w:widowControl/>
                    <w:suppressLineNumbers w:val="0"/>
                    <w:jc w:val="center"/>
                    <w:textAlignment w:val="bottom"/>
                    <w:rPr>
                      <w:sz w:val="18"/>
                      <w:szCs w:val="18"/>
                    </w:rPr>
                  </w:pPr>
                  <w:r>
                    <w:rPr>
                      <w:rFonts w:hint="eastAsia" w:ascii="Times New Roman" w:hAnsi="Times New Roman" w:eastAsia="宋体" w:cs="Times New Roman"/>
                      <w:i w:val="0"/>
                      <w:iCs w:val="0"/>
                      <w:color w:val="000000"/>
                      <w:kern w:val="0"/>
                      <w:sz w:val="18"/>
                      <w:szCs w:val="18"/>
                      <w:u w:val="none"/>
                      <w:lang w:val="en-US" w:eastAsia="zh-CN" w:bidi="ar"/>
                    </w:rPr>
                    <w:t>7.2</w:t>
                  </w:r>
                </w:p>
              </w:tc>
              <w:tc>
                <w:tcPr>
                  <w:tcW w:w="547"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2400</w:t>
                  </w:r>
                </w:p>
              </w:tc>
              <w:tc>
                <w:tcPr>
                  <w:tcW w:w="734" w:type="dxa"/>
                  <w:tcBorders>
                    <w:bottom w:val="single" w:color="auto" w:sz="2" w:space="0"/>
                  </w:tcBorders>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0.0033</w:t>
                  </w:r>
                </w:p>
              </w:tc>
              <w:tc>
                <w:tcPr>
                  <w:tcW w:w="870"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10</w:t>
                  </w:r>
                </w:p>
              </w:tc>
              <w:tc>
                <w:tcPr>
                  <w:tcW w:w="712"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587" w:type="dxa"/>
                  <w:vMerge w:val="continue"/>
                  <w:vAlign w:val="center"/>
                </w:tcPr>
                <w:p>
                  <w:pPr>
                    <w:spacing w:line="240" w:lineRule="exact"/>
                    <w:jc w:val="center"/>
                    <w:rPr>
                      <w:bCs/>
                    </w:rPr>
                  </w:pPr>
                </w:p>
              </w:tc>
              <w:tc>
                <w:tcPr>
                  <w:tcW w:w="451" w:type="dxa"/>
                  <w:vMerge w:val="continue"/>
                  <w:vAlign w:val="center"/>
                </w:tcPr>
                <w:p>
                  <w:pPr>
                    <w:spacing w:line="240" w:lineRule="exact"/>
                    <w:jc w:val="center"/>
                    <w:rPr>
                      <w:sz w:val="18"/>
                      <w:szCs w:val="18"/>
                    </w:rPr>
                  </w:pPr>
                </w:p>
              </w:tc>
              <w:tc>
                <w:tcPr>
                  <w:tcW w:w="685" w:type="dxa"/>
                  <w:tcBorders>
                    <w:bottom w:val="single" w:color="auto" w:sz="2" w:space="0"/>
                  </w:tcBorders>
                  <w:vAlign w:val="center"/>
                </w:tcPr>
                <w:p>
                  <w:pPr>
                    <w:spacing w:line="240" w:lineRule="exact"/>
                    <w:jc w:val="center"/>
                    <w:rPr>
                      <w:rFonts w:hint="default" w:eastAsia="宋体"/>
                      <w:sz w:val="18"/>
                      <w:szCs w:val="18"/>
                      <w:vertAlign w:val="subscript"/>
                      <w:lang w:val="en-US" w:eastAsia="zh-CN"/>
                    </w:rPr>
                  </w:pPr>
                  <w:r>
                    <w:rPr>
                      <w:rFonts w:hint="eastAsia"/>
                      <w:sz w:val="18"/>
                      <w:szCs w:val="18"/>
                      <w:lang w:val="en-US" w:eastAsia="zh-CN"/>
                    </w:rPr>
                    <w:t>SO</w:t>
                  </w:r>
                  <w:r>
                    <w:rPr>
                      <w:rFonts w:hint="eastAsia"/>
                      <w:sz w:val="18"/>
                      <w:szCs w:val="18"/>
                      <w:vertAlign w:val="subscript"/>
                      <w:lang w:val="en-US" w:eastAsia="zh-CN"/>
                    </w:rPr>
                    <w:t>2</w:t>
                  </w:r>
                </w:p>
              </w:tc>
              <w:tc>
                <w:tcPr>
                  <w:tcW w:w="801" w:type="dxa"/>
                  <w:tcBorders>
                    <w:bottom w:val="single" w:color="auto" w:sz="2" w:space="0"/>
                  </w:tcBorders>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976" w:type="dxa"/>
                  <w:tcBorders>
                    <w:bottom w:val="single" w:color="auto" w:sz="2" w:space="0"/>
                  </w:tcBorders>
                  <w:vAlign w:val="center"/>
                </w:tcPr>
                <w:p>
                  <w:pPr>
                    <w:keepNext w:val="0"/>
                    <w:keepLines w:val="0"/>
                    <w:widowControl/>
                    <w:suppressLineNumbers w:val="0"/>
                    <w:jc w:val="center"/>
                    <w:textAlignment w:val="bottom"/>
                    <w:rPr>
                      <w:sz w:val="18"/>
                      <w:szCs w:val="18"/>
                    </w:rPr>
                  </w:pPr>
                  <w:r>
                    <w:rPr>
                      <w:rFonts w:hint="eastAsia" w:ascii="Times New Roman" w:hAnsi="Times New Roman" w:eastAsia="宋体" w:cs="Times New Roman"/>
                      <w:i w:val="0"/>
                      <w:iCs w:val="0"/>
                      <w:color w:val="000000"/>
                      <w:kern w:val="0"/>
                      <w:sz w:val="21"/>
                      <w:szCs w:val="21"/>
                      <w:u w:val="none"/>
                      <w:lang w:val="en-US" w:eastAsia="zh-CN" w:bidi="ar"/>
                    </w:rPr>
                    <w:t>5.4</w:t>
                  </w:r>
                </w:p>
              </w:tc>
              <w:tc>
                <w:tcPr>
                  <w:tcW w:w="990" w:type="dxa"/>
                  <w:tcBorders>
                    <w:bottom w:val="single" w:color="auto" w:sz="2" w:space="0"/>
                  </w:tcBorders>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830" w:type="dxa"/>
                  <w:vMerge w:val="continue"/>
                  <w:vAlign w:val="center"/>
                </w:tcPr>
                <w:p>
                  <w:pPr>
                    <w:spacing w:line="240" w:lineRule="exact"/>
                    <w:jc w:val="center"/>
                    <w:rPr>
                      <w:sz w:val="18"/>
                      <w:szCs w:val="18"/>
                    </w:rPr>
                  </w:pPr>
                </w:p>
              </w:tc>
              <w:tc>
                <w:tcPr>
                  <w:tcW w:w="655" w:type="dxa"/>
                  <w:tcBorders>
                    <w:bottom w:val="single" w:color="auto" w:sz="2" w:space="0"/>
                  </w:tcBorders>
                  <w:vAlign w:val="center"/>
                </w:tcPr>
                <w:p>
                  <w:pPr>
                    <w:spacing w:line="240" w:lineRule="exact"/>
                    <w:jc w:val="center"/>
                    <w:rPr>
                      <w:sz w:val="18"/>
                      <w:szCs w:val="18"/>
                    </w:rPr>
                  </w:pPr>
                  <w:r>
                    <w:rPr>
                      <w:rFonts w:hint="eastAsia"/>
                      <w:sz w:val="18"/>
                      <w:szCs w:val="18"/>
                      <w:lang w:val="en-US" w:eastAsia="zh-CN"/>
                    </w:rPr>
                    <w:t>100</w:t>
                  </w:r>
                </w:p>
              </w:tc>
              <w:tc>
                <w:tcPr>
                  <w:tcW w:w="1078" w:type="dxa"/>
                  <w:vAlign w:val="center"/>
                </w:tcPr>
                <w:p>
                  <w:pPr>
                    <w:spacing w:line="240" w:lineRule="exact"/>
                    <w:jc w:val="center"/>
                    <w:rPr>
                      <w:rFonts w:hint="default" w:eastAsia="宋体"/>
                      <w:sz w:val="18"/>
                      <w:szCs w:val="18"/>
                      <w:lang w:val="en-US" w:eastAsia="zh-CN"/>
                    </w:rPr>
                  </w:pPr>
                  <w:r>
                    <w:rPr>
                      <w:rFonts w:hint="eastAsia"/>
                      <w:sz w:val="18"/>
                      <w:szCs w:val="18"/>
                      <w:lang w:val="en-US" w:eastAsia="zh-CN"/>
                    </w:rPr>
                    <w:t>--</w:t>
                  </w:r>
                </w:p>
              </w:tc>
              <w:tc>
                <w:tcPr>
                  <w:tcW w:w="552" w:type="dxa"/>
                  <w:vAlign w:val="center"/>
                </w:tcPr>
                <w:p>
                  <w:pPr>
                    <w:spacing w:line="240" w:lineRule="exact"/>
                    <w:jc w:val="center"/>
                    <w:rPr>
                      <w:rFonts w:hint="eastAsia" w:eastAsia="宋体"/>
                      <w:sz w:val="18"/>
                      <w:szCs w:val="18"/>
                      <w:lang w:val="en-US" w:eastAsia="zh-CN"/>
                    </w:rPr>
                  </w:pPr>
                  <w:r>
                    <w:rPr>
                      <w:rFonts w:hint="eastAsia"/>
                      <w:sz w:val="18"/>
                      <w:szCs w:val="18"/>
                      <w:lang w:val="en-US" w:eastAsia="zh-CN"/>
                    </w:rPr>
                    <w:t>0</w:t>
                  </w:r>
                </w:p>
              </w:tc>
              <w:tc>
                <w:tcPr>
                  <w:tcW w:w="401" w:type="dxa"/>
                  <w:vAlign w:val="center"/>
                </w:tcPr>
                <w:p>
                  <w:pPr>
                    <w:spacing w:line="240" w:lineRule="exact"/>
                    <w:jc w:val="center"/>
                    <w:rPr>
                      <w:rFonts w:hint="default" w:eastAsia="宋体"/>
                      <w:sz w:val="18"/>
                      <w:szCs w:val="18"/>
                      <w:lang w:val="en-US" w:eastAsia="zh-CN"/>
                    </w:rPr>
                  </w:pPr>
                  <w:r>
                    <w:rPr>
                      <w:rFonts w:hint="eastAsia"/>
                      <w:sz w:val="18"/>
                      <w:szCs w:val="18"/>
                      <w:lang w:val="en-US" w:eastAsia="zh-CN"/>
                    </w:rPr>
                    <w:t>--</w:t>
                  </w:r>
                </w:p>
              </w:tc>
              <w:tc>
                <w:tcPr>
                  <w:tcW w:w="837" w:type="dxa"/>
                  <w:tcBorders>
                    <w:bottom w:val="single" w:color="auto" w:sz="2" w:space="0"/>
                  </w:tcBorders>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870" w:type="dxa"/>
                  <w:tcBorders>
                    <w:bottom w:val="single" w:color="auto" w:sz="2" w:space="0"/>
                  </w:tcBorders>
                  <w:vAlign w:val="center"/>
                </w:tcPr>
                <w:p>
                  <w:pPr>
                    <w:keepNext w:val="0"/>
                    <w:keepLines w:val="0"/>
                    <w:widowControl/>
                    <w:suppressLineNumbers w:val="0"/>
                    <w:jc w:val="center"/>
                    <w:textAlignment w:val="bottom"/>
                    <w:rPr>
                      <w:sz w:val="18"/>
                      <w:szCs w:val="18"/>
                    </w:rPr>
                  </w:pPr>
                  <w:r>
                    <w:rPr>
                      <w:rFonts w:hint="eastAsia" w:ascii="Times New Roman" w:hAnsi="Times New Roman" w:eastAsia="宋体" w:cs="Times New Roman"/>
                      <w:i w:val="0"/>
                      <w:iCs w:val="0"/>
                      <w:color w:val="000000"/>
                      <w:kern w:val="0"/>
                      <w:sz w:val="21"/>
                      <w:szCs w:val="21"/>
                      <w:u w:val="none"/>
                      <w:lang w:val="en-US" w:eastAsia="zh-CN" w:bidi="ar"/>
                    </w:rPr>
                    <w:t>5.4</w:t>
                  </w:r>
                </w:p>
              </w:tc>
              <w:tc>
                <w:tcPr>
                  <w:tcW w:w="547"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rFonts w:hint="eastAsia"/>
                      <w:sz w:val="18"/>
                      <w:szCs w:val="18"/>
                      <w:lang w:val="en-US" w:eastAsia="zh-CN"/>
                    </w:rPr>
                    <w:t>2400</w:t>
                  </w:r>
                </w:p>
              </w:tc>
              <w:tc>
                <w:tcPr>
                  <w:tcW w:w="734" w:type="dxa"/>
                  <w:tcBorders>
                    <w:bottom w:val="single" w:color="auto" w:sz="2" w:space="0"/>
                  </w:tcBorders>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870"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50</w:t>
                  </w:r>
                </w:p>
              </w:tc>
              <w:tc>
                <w:tcPr>
                  <w:tcW w:w="712"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587" w:type="dxa"/>
                  <w:vMerge w:val="continue"/>
                  <w:vAlign w:val="center"/>
                </w:tcPr>
                <w:p>
                  <w:pPr>
                    <w:spacing w:line="240" w:lineRule="exact"/>
                    <w:jc w:val="center"/>
                    <w:rPr>
                      <w:bCs/>
                    </w:rPr>
                  </w:pPr>
                </w:p>
              </w:tc>
              <w:tc>
                <w:tcPr>
                  <w:tcW w:w="451" w:type="dxa"/>
                  <w:vMerge w:val="continue"/>
                  <w:vAlign w:val="center"/>
                </w:tcPr>
                <w:p>
                  <w:pPr>
                    <w:spacing w:line="240" w:lineRule="exact"/>
                    <w:jc w:val="center"/>
                    <w:rPr>
                      <w:sz w:val="18"/>
                      <w:szCs w:val="18"/>
                    </w:rPr>
                  </w:pPr>
                </w:p>
              </w:tc>
              <w:tc>
                <w:tcPr>
                  <w:tcW w:w="685" w:type="dxa"/>
                  <w:tcBorders>
                    <w:bottom w:val="single" w:color="auto" w:sz="2" w:space="0"/>
                  </w:tcBorders>
                  <w:vAlign w:val="center"/>
                </w:tcPr>
                <w:p>
                  <w:pPr>
                    <w:spacing w:line="240" w:lineRule="exact"/>
                    <w:jc w:val="center"/>
                    <w:rPr>
                      <w:rFonts w:hint="default" w:ascii="Times New Roman" w:hAnsi="Times New Roman" w:eastAsia="宋体" w:cs="Times New Roman"/>
                      <w:color w:val="auto"/>
                      <w:kern w:val="2"/>
                      <w:sz w:val="18"/>
                      <w:szCs w:val="18"/>
                      <w:vertAlign w:val="subscript"/>
                      <w:lang w:val="en-US" w:eastAsia="zh-CN" w:bidi="ar-SA"/>
                    </w:rPr>
                  </w:pPr>
                  <w:r>
                    <w:rPr>
                      <w:rFonts w:hint="eastAsia"/>
                      <w:color w:val="auto"/>
                      <w:sz w:val="18"/>
                      <w:szCs w:val="18"/>
                      <w:lang w:val="en-US" w:eastAsia="zh-CN"/>
                    </w:rPr>
                    <w:t>NO</w:t>
                  </w:r>
                  <w:r>
                    <w:rPr>
                      <w:rFonts w:hint="eastAsia"/>
                      <w:color w:val="auto"/>
                      <w:sz w:val="18"/>
                      <w:szCs w:val="18"/>
                      <w:vertAlign w:val="subscript"/>
                      <w:lang w:val="en-US" w:eastAsia="zh-CN"/>
                    </w:rPr>
                    <w:t>X</w:t>
                  </w:r>
                </w:p>
              </w:tc>
              <w:tc>
                <w:tcPr>
                  <w:tcW w:w="801" w:type="dxa"/>
                  <w:tcBorders>
                    <w:bottom w:val="single" w:color="auto" w:sz="2"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0.053</w:t>
                  </w:r>
                </w:p>
              </w:tc>
              <w:tc>
                <w:tcPr>
                  <w:tcW w:w="976" w:type="dxa"/>
                  <w:tcBorders>
                    <w:bottom w:val="single" w:color="auto" w:sz="2" w:space="0"/>
                  </w:tcBorders>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olor w:val="000000"/>
                      <w:kern w:val="0"/>
                      <w:sz w:val="18"/>
                      <w:szCs w:val="18"/>
                      <w:u w:val="none"/>
                      <w:lang w:val="en-US" w:eastAsia="zh-CN" w:bidi="ar"/>
                    </w:rPr>
                    <w:t>47.7</w:t>
                  </w:r>
                </w:p>
              </w:tc>
              <w:tc>
                <w:tcPr>
                  <w:tcW w:w="990" w:type="dxa"/>
                  <w:tcBorders>
                    <w:bottom w:val="single" w:color="auto" w:sz="2" w:space="0"/>
                  </w:tcBorders>
                  <w:vAlign w:val="center"/>
                </w:tcPr>
                <w:p>
                  <w:pPr>
                    <w:keepNext w:val="0"/>
                    <w:keepLines w:val="0"/>
                    <w:widowControl/>
                    <w:suppressLineNumbers w:val="0"/>
                    <w:jc w:val="center"/>
                    <w:textAlignment w:val="center"/>
                    <w:rPr>
                      <w:rFonts w:hint="eastAsia"/>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0.022</w:t>
                  </w:r>
                  <w:r>
                    <w:rPr>
                      <w:rFonts w:hint="eastAsia" w:ascii="Times New Roman" w:hAnsi="Times New Roman" w:eastAsia="宋体" w:cs="Times New Roman"/>
                      <w:i w:val="0"/>
                      <w:iCs w:val="0"/>
                      <w:color w:val="000000"/>
                      <w:kern w:val="0"/>
                      <w:sz w:val="18"/>
                      <w:szCs w:val="18"/>
                      <w:u w:val="none"/>
                      <w:lang w:val="en-US" w:eastAsia="zh-CN" w:bidi="ar"/>
                    </w:rPr>
                    <w:t>1</w:t>
                  </w:r>
                </w:p>
              </w:tc>
              <w:tc>
                <w:tcPr>
                  <w:tcW w:w="830" w:type="dxa"/>
                  <w:vMerge w:val="continue"/>
                  <w:vAlign w:val="center"/>
                </w:tcPr>
                <w:p>
                  <w:pPr>
                    <w:spacing w:line="240" w:lineRule="exact"/>
                    <w:jc w:val="center"/>
                    <w:rPr>
                      <w:rFonts w:hint="eastAsia"/>
                      <w:color w:val="auto"/>
                      <w:sz w:val="18"/>
                      <w:szCs w:val="18"/>
                    </w:rPr>
                  </w:pPr>
                </w:p>
              </w:tc>
              <w:tc>
                <w:tcPr>
                  <w:tcW w:w="655" w:type="dxa"/>
                  <w:tcBorders>
                    <w:bottom w:val="single" w:color="auto" w:sz="2" w:space="0"/>
                  </w:tcBorders>
                  <w:vAlign w:val="center"/>
                </w:tcPr>
                <w:p>
                  <w:pPr>
                    <w:spacing w:line="240" w:lineRule="exact"/>
                    <w:jc w:val="center"/>
                    <w:rPr>
                      <w:rFonts w:hint="eastAsia"/>
                      <w:color w:val="auto"/>
                      <w:sz w:val="18"/>
                      <w:szCs w:val="18"/>
                    </w:rPr>
                  </w:pPr>
                  <w:r>
                    <w:rPr>
                      <w:rFonts w:hint="eastAsia"/>
                      <w:sz w:val="18"/>
                      <w:szCs w:val="18"/>
                      <w:lang w:val="en-US" w:eastAsia="zh-CN"/>
                    </w:rPr>
                    <w:t>100</w:t>
                  </w:r>
                </w:p>
              </w:tc>
              <w:tc>
                <w:tcPr>
                  <w:tcW w:w="1078" w:type="dxa"/>
                  <w:tcBorders>
                    <w:bottom w:val="single" w:color="auto" w:sz="2" w:space="0"/>
                  </w:tcBorders>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低氮燃烧</w:t>
                  </w:r>
                </w:p>
              </w:tc>
              <w:tc>
                <w:tcPr>
                  <w:tcW w:w="552"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30</w:t>
                  </w:r>
                </w:p>
              </w:tc>
              <w:tc>
                <w:tcPr>
                  <w:tcW w:w="401" w:type="dxa"/>
                  <w:tcBorders>
                    <w:bottom w:val="single" w:color="auto" w:sz="2" w:space="0"/>
                  </w:tcBorders>
                  <w:vAlign w:val="center"/>
                </w:tcPr>
                <w:p>
                  <w:pPr>
                    <w:spacing w:line="240" w:lineRule="exact"/>
                    <w:jc w:val="center"/>
                    <w:rPr>
                      <w:rFonts w:hint="eastAsia" w:eastAsia="宋体"/>
                      <w:color w:val="auto"/>
                      <w:sz w:val="18"/>
                      <w:szCs w:val="18"/>
                      <w:lang w:eastAsia="zh-CN"/>
                    </w:rPr>
                  </w:pPr>
                  <w:r>
                    <w:rPr>
                      <w:rFonts w:hint="eastAsia"/>
                      <w:color w:val="auto"/>
                      <w:sz w:val="18"/>
                      <w:szCs w:val="18"/>
                      <w:lang w:eastAsia="zh-CN"/>
                    </w:rPr>
                    <w:t>是</w:t>
                  </w:r>
                </w:p>
              </w:tc>
              <w:tc>
                <w:tcPr>
                  <w:tcW w:w="837" w:type="dxa"/>
                  <w:tcBorders>
                    <w:bottom w:val="single" w:color="auto" w:sz="2" w:space="0"/>
                  </w:tcBorders>
                  <w:vAlign w:val="center"/>
                </w:tcPr>
                <w:p>
                  <w:pPr>
                    <w:keepNext w:val="0"/>
                    <w:keepLines w:val="0"/>
                    <w:widowControl/>
                    <w:suppressLineNumbers w:val="0"/>
                    <w:jc w:val="center"/>
                    <w:textAlignment w:val="center"/>
                    <w:rPr>
                      <w:rFonts w:hint="eastAsia" w:eastAsia="宋体"/>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0.053</w:t>
                  </w:r>
                </w:p>
              </w:tc>
              <w:tc>
                <w:tcPr>
                  <w:tcW w:w="870" w:type="dxa"/>
                  <w:tcBorders>
                    <w:bottom w:val="single" w:color="auto" w:sz="2" w:space="0"/>
                  </w:tcBorders>
                  <w:vAlign w:val="center"/>
                </w:tcPr>
                <w:p>
                  <w:pPr>
                    <w:keepNext w:val="0"/>
                    <w:keepLines w:val="0"/>
                    <w:widowControl/>
                    <w:suppressLineNumbers w:val="0"/>
                    <w:jc w:val="center"/>
                    <w:textAlignment w:val="bottom"/>
                    <w:rPr>
                      <w:rFonts w:hint="eastAsia"/>
                      <w:color w:val="auto"/>
                      <w:sz w:val="18"/>
                      <w:szCs w:val="18"/>
                    </w:rPr>
                  </w:pPr>
                  <w:r>
                    <w:rPr>
                      <w:rFonts w:hint="eastAsia" w:ascii="Times New Roman" w:hAnsi="Times New Roman" w:eastAsia="宋体" w:cs="Times New Roman"/>
                      <w:i w:val="0"/>
                      <w:iCs w:val="0"/>
                      <w:color w:val="000000"/>
                      <w:kern w:val="0"/>
                      <w:sz w:val="18"/>
                      <w:szCs w:val="18"/>
                      <w:u w:val="none"/>
                      <w:lang w:val="en-US" w:eastAsia="zh-CN" w:bidi="ar"/>
                    </w:rPr>
                    <w:t>47.7</w:t>
                  </w:r>
                </w:p>
              </w:tc>
              <w:tc>
                <w:tcPr>
                  <w:tcW w:w="547"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sz w:val="18"/>
                      <w:szCs w:val="18"/>
                      <w:lang w:val="en-US" w:eastAsia="zh-CN"/>
                    </w:rPr>
                    <w:t>2400</w:t>
                  </w:r>
                </w:p>
              </w:tc>
              <w:tc>
                <w:tcPr>
                  <w:tcW w:w="734" w:type="dxa"/>
                  <w:tcBorders>
                    <w:bottom w:val="single" w:color="auto" w:sz="2" w:space="0"/>
                  </w:tcBorders>
                  <w:vAlign w:val="center"/>
                </w:tcPr>
                <w:p>
                  <w:pPr>
                    <w:keepNext w:val="0"/>
                    <w:keepLines w:val="0"/>
                    <w:widowControl/>
                    <w:suppressLineNumbers w:val="0"/>
                    <w:jc w:val="center"/>
                    <w:textAlignment w:val="center"/>
                    <w:rPr>
                      <w:rFonts w:hint="default" w:eastAsia="等线"/>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0.022</w:t>
                  </w:r>
                  <w:r>
                    <w:rPr>
                      <w:rFonts w:hint="eastAsia" w:ascii="Times New Roman" w:hAnsi="Times New Roman" w:eastAsia="宋体" w:cs="Times New Roman"/>
                      <w:i w:val="0"/>
                      <w:iCs w:val="0"/>
                      <w:color w:val="000000"/>
                      <w:kern w:val="0"/>
                      <w:sz w:val="18"/>
                      <w:szCs w:val="18"/>
                      <w:u w:val="none"/>
                      <w:lang w:val="en-US" w:eastAsia="zh-CN" w:bidi="ar"/>
                    </w:rPr>
                    <w:t>1</w:t>
                  </w:r>
                </w:p>
              </w:tc>
              <w:tc>
                <w:tcPr>
                  <w:tcW w:w="870"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color w:val="auto"/>
                      <w:sz w:val="18"/>
                      <w:szCs w:val="18"/>
                      <w:lang w:val="en-US" w:eastAsia="zh-CN"/>
                    </w:rPr>
                    <w:t>100</w:t>
                  </w:r>
                </w:p>
              </w:tc>
              <w:tc>
                <w:tcPr>
                  <w:tcW w:w="712"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587" w:type="dxa"/>
                  <w:vMerge w:val="continue"/>
                  <w:vAlign w:val="center"/>
                </w:tcPr>
                <w:p>
                  <w:pPr>
                    <w:spacing w:line="240" w:lineRule="exact"/>
                    <w:jc w:val="center"/>
                    <w:rPr>
                      <w:bCs/>
                    </w:rPr>
                  </w:pPr>
                </w:p>
              </w:tc>
              <w:tc>
                <w:tcPr>
                  <w:tcW w:w="451" w:type="dxa"/>
                  <w:vMerge w:val="continue"/>
                  <w:vAlign w:val="center"/>
                </w:tcPr>
                <w:p>
                  <w:pPr>
                    <w:spacing w:line="240" w:lineRule="exact"/>
                    <w:jc w:val="center"/>
                    <w:rPr>
                      <w:sz w:val="18"/>
                      <w:szCs w:val="18"/>
                    </w:rPr>
                  </w:pPr>
                </w:p>
              </w:tc>
              <w:tc>
                <w:tcPr>
                  <w:tcW w:w="685"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林格曼黑度</w:t>
                  </w:r>
                </w:p>
              </w:tc>
              <w:tc>
                <w:tcPr>
                  <w:tcW w:w="801"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976"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eastAsia="zh-CN"/>
                    </w:rPr>
                    <w:t>＜</w:t>
                  </w:r>
                  <w:r>
                    <w:rPr>
                      <w:rFonts w:hint="eastAsia"/>
                      <w:color w:val="auto"/>
                      <w:sz w:val="18"/>
                      <w:szCs w:val="18"/>
                      <w:lang w:val="en-US" w:eastAsia="zh-CN"/>
                    </w:rPr>
                    <w:t>1级</w:t>
                  </w:r>
                </w:p>
              </w:tc>
              <w:tc>
                <w:tcPr>
                  <w:tcW w:w="990"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830" w:type="dxa"/>
                  <w:vMerge w:val="continue"/>
                  <w:tcBorders>
                    <w:bottom w:val="single" w:color="auto" w:sz="2" w:space="0"/>
                  </w:tcBorders>
                  <w:vAlign w:val="center"/>
                </w:tcPr>
                <w:p>
                  <w:pPr>
                    <w:spacing w:line="240" w:lineRule="exact"/>
                    <w:jc w:val="center"/>
                    <w:rPr>
                      <w:color w:val="auto"/>
                      <w:sz w:val="18"/>
                      <w:szCs w:val="18"/>
                    </w:rPr>
                  </w:pPr>
                </w:p>
              </w:tc>
              <w:tc>
                <w:tcPr>
                  <w:tcW w:w="655" w:type="dxa"/>
                  <w:tcBorders>
                    <w:bottom w:val="single" w:color="auto" w:sz="2" w:space="0"/>
                  </w:tcBorders>
                  <w:vAlign w:val="center"/>
                </w:tcPr>
                <w:p>
                  <w:pPr>
                    <w:spacing w:line="240" w:lineRule="exact"/>
                    <w:jc w:val="center"/>
                    <w:rPr>
                      <w:color w:val="auto"/>
                      <w:sz w:val="18"/>
                      <w:szCs w:val="18"/>
                    </w:rPr>
                  </w:pPr>
                  <w:r>
                    <w:rPr>
                      <w:rFonts w:hint="eastAsia"/>
                      <w:sz w:val="18"/>
                      <w:szCs w:val="18"/>
                      <w:lang w:val="en-US" w:eastAsia="zh-CN"/>
                    </w:rPr>
                    <w:t>100</w:t>
                  </w:r>
                </w:p>
              </w:tc>
              <w:tc>
                <w:tcPr>
                  <w:tcW w:w="1078"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552" w:type="dxa"/>
                  <w:tcBorders>
                    <w:bottom w:val="single" w:color="auto" w:sz="2" w:space="0"/>
                  </w:tcBorders>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0</w:t>
                  </w:r>
                </w:p>
              </w:tc>
              <w:tc>
                <w:tcPr>
                  <w:tcW w:w="401"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837" w:type="dxa"/>
                  <w:tcBorders>
                    <w:bottom w:val="single" w:color="auto" w:sz="2"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18"/>
                      <w:szCs w:val="18"/>
                      <w:lang w:val="en-US" w:eastAsia="zh-CN"/>
                    </w:rPr>
                  </w:pPr>
                  <w:r>
                    <w:rPr>
                      <w:rFonts w:hint="eastAsia"/>
                      <w:color w:val="auto"/>
                      <w:sz w:val="18"/>
                      <w:szCs w:val="18"/>
                      <w:lang w:val="en-US" w:eastAsia="zh-CN"/>
                    </w:rPr>
                    <w:t>--</w:t>
                  </w:r>
                </w:p>
              </w:tc>
              <w:tc>
                <w:tcPr>
                  <w:tcW w:w="870" w:type="dxa"/>
                  <w:tcBorders>
                    <w:bottom w:val="single" w:color="auto" w:sz="2"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18"/>
                      <w:szCs w:val="18"/>
                    </w:rPr>
                  </w:pPr>
                  <w:r>
                    <w:rPr>
                      <w:rFonts w:hint="eastAsia"/>
                      <w:color w:val="auto"/>
                      <w:sz w:val="18"/>
                      <w:szCs w:val="18"/>
                      <w:lang w:eastAsia="zh-CN"/>
                    </w:rPr>
                    <w:t>＜</w:t>
                  </w:r>
                  <w:r>
                    <w:rPr>
                      <w:rFonts w:hint="eastAsia"/>
                      <w:color w:val="auto"/>
                      <w:sz w:val="18"/>
                      <w:szCs w:val="18"/>
                      <w:lang w:val="en-US" w:eastAsia="zh-CN"/>
                    </w:rPr>
                    <w:t>1级</w:t>
                  </w:r>
                </w:p>
              </w:tc>
              <w:tc>
                <w:tcPr>
                  <w:tcW w:w="547"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r>
                    <w:rPr>
                      <w:rFonts w:hint="eastAsia"/>
                      <w:sz w:val="18"/>
                      <w:szCs w:val="18"/>
                      <w:lang w:val="en-US" w:eastAsia="zh-CN"/>
                    </w:rPr>
                    <w:t>2400</w:t>
                  </w:r>
                </w:p>
              </w:tc>
              <w:tc>
                <w:tcPr>
                  <w:tcW w:w="734" w:type="dxa"/>
                  <w:tcBorders>
                    <w:bottom w:val="single" w:color="auto" w:sz="2" w:space="0"/>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等线"/>
                      <w:color w:val="auto"/>
                      <w:sz w:val="18"/>
                      <w:szCs w:val="18"/>
                      <w:lang w:val="en-US" w:eastAsia="zh-CN"/>
                    </w:rPr>
                  </w:pPr>
                  <w:r>
                    <w:rPr>
                      <w:rFonts w:hint="eastAsia" w:eastAsia="等线"/>
                      <w:color w:val="auto"/>
                      <w:sz w:val="18"/>
                      <w:szCs w:val="18"/>
                      <w:lang w:val="en-US" w:eastAsia="zh-CN"/>
                    </w:rPr>
                    <w:t>--</w:t>
                  </w:r>
                </w:p>
              </w:tc>
              <w:tc>
                <w:tcPr>
                  <w:tcW w:w="870"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宋体"/>
                      <w:color w:val="auto"/>
                      <w:sz w:val="18"/>
                      <w:szCs w:val="18"/>
                      <w:lang w:eastAsia="zh-CN"/>
                    </w:rPr>
                  </w:pPr>
                  <w:r>
                    <w:rPr>
                      <w:rFonts w:hint="eastAsia"/>
                      <w:color w:val="auto"/>
                      <w:sz w:val="18"/>
                      <w:szCs w:val="18"/>
                    </w:rPr>
                    <w:t>1</w:t>
                  </w:r>
                  <w:r>
                    <w:rPr>
                      <w:rFonts w:hint="eastAsia"/>
                      <w:color w:val="auto"/>
                      <w:sz w:val="18"/>
                      <w:szCs w:val="18"/>
                      <w:lang w:eastAsia="zh-CN"/>
                    </w:rPr>
                    <w:t>级</w:t>
                  </w:r>
                </w:p>
              </w:tc>
              <w:tc>
                <w:tcPr>
                  <w:tcW w:w="712"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r>
                    <w:rPr>
                      <w:rFonts w:hint="eastAsia"/>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587" w:type="dxa"/>
                  <w:vMerge w:val="restart"/>
                  <w:vAlign w:val="center"/>
                </w:tcPr>
                <w:p>
                  <w:pPr>
                    <w:spacing w:line="240" w:lineRule="exact"/>
                    <w:jc w:val="center"/>
                    <w:rPr>
                      <w:rFonts w:hint="eastAsia" w:eastAsia="宋体"/>
                      <w:bCs/>
                      <w:sz w:val="18"/>
                      <w:szCs w:val="18"/>
                      <w:lang w:eastAsia="zh-CN"/>
                    </w:rPr>
                  </w:pPr>
                  <w:r>
                    <w:rPr>
                      <w:rFonts w:hint="eastAsia"/>
                      <w:bCs/>
                      <w:sz w:val="18"/>
                      <w:szCs w:val="18"/>
                      <w:lang w:eastAsia="zh-CN"/>
                    </w:rPr>
                    <w:t>覆膜</w:t>
                  </w:r>
                </w:p>
              </w:tc>
              <w:tc>
                <w:tcPr>
                  <w:tcW w:w="451" w:type="dxa"/>
                  <w:vAlign w:val="center"/>
                </w:tcPr>
                <w:p>
                  <w:pPr>
                    <w:spacing w:line="240" w:lineRule="exact"/>
                    <w:jc w:val="center"/>
                    <w:rPr>
                      <w:sz w:val="18"/>
                      <w:szCs w:val="18"/>
                    </w:rPr>
                  </w:pPr>
                  <w:r>
                    <w:rPr>
                      <w:sz w:val="18"/>
                      <w:szCs w:val="18"/>
                    </w:rPr>
                    <w:t>有组织</w:t>
                  </w:r>
                </w:p>
              </w:tc>
              <w:tc>
                <w:tcPr>
                  <w:tcW w:w="685" w:type="dxa"/>
                  <w:tcBorders>
                    <w:bottom w:val="single" w:color="auto" w:sz="2" w:space="0"/>
                  </w:tcBorders>
                  <w:vAlign w:val="center"/>
                </w:tcPr>
                <w:p>
                  <w:pPr>
                    <w:spacing w:line="240" w:lineRule="exact"/>
                    <w:jc w:val="center"/>
                    <w:rPr>
                      <w:rFonts w:hint="default" w:eastAsia="宋体"/>
                      <w:sz w:val="18"/>
                      <w:szCs w:val="18"/>
                      <w:lang w:val="en-US" w:eastAsia="zh-CN"/>
                    </w:rPr>
                  </w:pPr>
                  <w:r>
                    <w:rPr>
                      <w:rFonts w:hint="eastAsia"/>
                      <w:sz w:val="18"/>
                      <w:szCs w:val="18"/>
                      <w:lang w:val="en-US" w:eastAsia="zh-CN"/>
                    </w:rPr>
                    <w:t>VOCs</w:t>
                  </w:r>
                </w:p>
              </w:tc>
              <w:tc>
                <w:tcPr>
                  <w:tcW w:w="801" w:type="dxa"/>
                  <w:tcBorders>
                    <w:bottom w:val="single" w:color="auto" w:sz="2" w:space="0"/>
                  </w:tcBorders>
                  <w:vAlign w:val="center"/>
                </w:tcPr>
                <w:p>
                  <w:pPr>
                    <w:spacing w:line="240" w:lineRule="exact"/>
                    <w:jc w:val="center"/>
                    <w:rPr>
                      <w:rFonts w:hint="default" w:eastAsia="宋体"/>
                      <w:sz w:val="18"/>
                      <w:szCs w:val="18"/>
                      <w:lang w:val="en-US" w:eastAsia="zh-CN"/>
                    </w:rPr>
                  </w:pPr>
                  <w:r>
                    <w:rPr>
                      <w:rFonts w:hint="eastAsia"/>
                      <w:sz w:val="18"/>
                      <w:szCs w:val="18"/>
                      <w:lang w:val="en-US" w:eastAsia="zh-CN"/>
                    </w:rPr>
                    <w:t>0.36</w:t>
                  </w:r>
                </w:p>
              </w:tc>
              <w:tc>
                <w:tcPr>
                  <w:tcW w:w="976" w:type="dxa"/>
                  <w:tcBorders>
                    <w:bottom w:val="single" w:color="auto" w:sz="2" w:space="0"/>
                  </w:tcBorders>
                  <w:vAlign w:val="center"/>
                </w:tcPr>
                <w:p>
                  <w:pPr>
                    <w:spacing w:line="240" w:lineRule="exact"/>
                    <w:jc w:val="center"/>
                    <w:rPr>
                      <w:rFonts w:hint="default" w:eastAsia="宋体"/>
                      <w:sz w:val="18"/>
                      <w:szCs w:val="18"/>
                      <w:lang w:val="en-US" w:eastAsia="zh-CN"/>
                    </w:rPr>
                  </w:pPr>
                  <w:r>
                    <w:rPr>
                      <w:rFonts w:hint="eastAsia"/>
                      <w:sz w:val="18"/>
                      <w:szCs w:val="18"/>
                      <w:lang w:val="en-US" w:eastAsia="zh-CN"/>
                    </w:rPr>
                    <w:t>50</w:t>
                  </w:r>
                </w:p>
              </w:tc>
              <w:tc>
                <w:tcPr>
                  <w:tcW w:w="990" w:type="dxa"/>
                  <w:tcBorders>
                    <w:bottom w:val="single" w:color="auto" w:sz="2" w:space="0"/>
                  </w:tcBorders>
                  <w:vAlign w:val="center"/>
                </w:tcPr>
                <w:p>
                  <w:pPr>
                    <w:spacing w:line="240" w:lineRule="exact"/>
                    <w:jc w:val="center"/>
                    <w:rPr>
                      <w:rFonts w:hint="default" w:eastAsia="宋体"/>
                      <w:sz w:val="18"/>
                      <w:szCs w:val="18"/>
                      <w:lang w:val="en-US" w:eastAsia="zh-CN"/>
                    </w:rPr>
                  </w:pPr>
                  <w:r>
                    <w:rPr>
                      <w:rFonts w:hint="eastAsia"/>
                      <w:sz w:val="18"/>
                      <w:szCs w:val="18"/>
                      <w:lang w:val="en-US" w:eastAsia="zh-CN"/>
                    </w:rPr>
                    <w:t>0.15</w:t>
                  </w:r>
                </w:p>
              </w:tc>
              <w:tc>
                <w:tcPr>
                  <w:tcW w:w="830" w:type="dxa"/>
                  <w:tcBorders>
                    <w:bottom w:val="single" w:color="auto" w:sz="2" w:space="0"/>
                  </w:tcBorders>
                  <w:vAlign w:val="center"/>
                </w:tcPr>
                <w:p>
                  <w:pPr>
                    <w:spacing w:line="240" w:lineRule="exact"/>
                    <w:jc w:val="center"/>
                    <w:rPr>
                      <w:sz w:val="18"/>
                      <w:szCs w:val="18"/>
                    </w:rPr>
                  </w:pPr>
                  <w:r>
                    <w:rPr>
                      <w:rFonts w:hint="eastAsia"/>
                      <w:sz w:val="18"/>
                      <w:szCs w:val="18"/>
                      <w:lang w:val="en-US" w:eastAsia="zh-CN"/>
                    </w:rPr>
                    <w:t>3</w:t>
                  </w:r>
                  <w:r>
                    <w:rPr>
                      <w:rFonts w:hint="eastAsia"/>
                      <w:sz w:val="18"/>
                      <w:szCs w:val="18"/>
                    </w:rPr>
                    <w:t>000</w:t>
                  </w:r>
                </w:p>
              </w:tc>
              <w:tc>
                <w:tcPr>
                  <w:tcW w:w="655" w:type="dxa"/>
                  <w:tcBorders>
                    <w:bottom w:val="single" w:color="auto" w:sz="2" w:space="0"/>
                  </w:tcBorders>
                  <w:vAlign w:val="center"/>
                </w:tcPr>
                <w:p>
                  <w:pPr>
                    <w:spacing w:line="240" w:lineRule="exact"/>
                    <w:jc w:val="center"/>
                    <w:rPr>
                      <w:sz w:val="18"/>
                      <w:szCs w:val="18"/>
                    </w:rPr>
                  </w:pPr>
                  <w:r>
                    <w:rPr>
                      <w:sz w:val="18"/>
                      <w:szCs w:val="18"/>
                    </w:rPr>
                    <w:t>90</w:t>
                  </w:r>
                </w:p>
              </w:tc>
              <w:tc>
                <w:tcPr>
                  <w:tcW w:w="1078" w:type="dxa"/>
                  <w:tcBorders>
                    <w:bottom w:val="single" w:color="auto" w:sz="2" w:space="0"/>
                  </w:tcBorders>
                  <w:vAlign w:val="center"/>
                </w:tcPr>
                <w:p>
                  <w:pPr>
                    <w:spacing w:line="240" w:lineRule="exact"/>
                    <w:jc w:val="center"/>
                    <w:rPr>
                      <w:rFonts w:hint="eastAsia" w:eastAsia="宋体"/>
                      <w:sz w:val="18"/>
                      <w:szCs w:val="18"/>
                      <w:lang w:eastAsia="zh-CN"/>
                    </w:rPr>
                  </w:pPr>
                  <w:r>
                    <w:rPr>
                      <w:rFonts w:hint="eastAsia"/>
                      <w:sz w:val="18"/>
                      <w:szCs w:val="18"/>
                      <w:lang w:eastAsia="zh-CN"/>
                    </w:rPr>
                    <w:t>两级活性炭吸附</w:t>
                  </w:r>
                </w:p>
              </w:tc>
              <w:tc>
                <w:tcPr>
                  <w:tcW w:w="552" w:type="dxa"/>
                  <w:tcBorders>
                    <w:bottom w:val="single" w:color="auto" w:sz="2" w:space="0"/>
                  </w:tcBorders>
                  <w:vAlign w:val="center"/>
                </w:tcPr>
                <w:p>
                  <w:pPr>
                    <w:spacing w:line="240" w:lineRule="exact"/>
                    <w:jc w:val="center"/>
                    <w:rPr>
                      <w:rFonts w:hint="default" w:eastAsia="宋体"/>
                      <w:sz w:val="18"/>
                      <w:szCs w:val="18"/>
                      <w:lang w:val="en-US" w:eastAsia="zh-CN"/>
                    </w:rPr>
                  </w:pPr>
                  <w:r>
                    <w:rPr>
                      <w:rFonts w:hint="eastAsia"/>
                      <w:sz w:val="18"/>
                      <w:szCs w:val="18"/>
                      <w:lang w:val="en-US" w:eastAsia="zh-CN"/>
                    </w:rPr>
                    <w:t>70</w:t>
                  </w:r>
                </w:p>
              </w:tc>
              <w:tc>
                <w:tcPr>
                  <w:tcW w:w="401" w:type="dxa"/>
                  <w:tcBorders>
                    <w:bottom w:val="single" w:color="auto" w:sz="2" w:space="0"/>
                  </w:tcBorders>
                  <w:vAlign w:val="center"/>
                </w:tcPr>
                <w:p>
                  <w:pPr>
                    <w:spacing w:line="240" w:lineRule="exact"/>
                    <w:jc w:val="center"/>
                    <w:rPr>
                      <w:rFonts w:hint="eastAsia" w:eastAsia="宋体"/>
                      <w:sz w:val="18"/>
                      <w:szCs w:val="18"/>
                      <w:lang w:eastAsia="zh-CN"/>
                    </w:rPr>
                  </w:pPr>
                  <w:r>
                    <w:rPr>
                      <w:rFonts w:hint="eastAsia"/>
                      <w:sz w:val="18"/>
                      <w:szCs w:val="18"/>
                      <w:lang w:val="en-US" w:eastAsia="zh-CN"/>
                    </w:rPr>
                    <w:t>是</w:t>
                  </w:r>
                </w:p>
              </w:tc>
              <w:tc>
                <w:tcPr>
                  <w:tcW w:w="837"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0.108</w:t>
                  </w:r>
                </w:p>
              </w:tc>
              <w:tc>
                <w:tcPr>
                  <w:tcW w:w="870"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15</w:t>
                  </w:r>
                </w:p>
              </w:tc>
              <w:tc>
                <w:tcPr>
                  <w:tcW w:w="547"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rFonts w:hint="eastAsia"/>
                      <w:sz w:val="18"/>
                      <w:szCs w:val="18"/>
                      <w:lang w:val="en-US" w:eastAsia="zh-CN"/>
                    </w:rPr>
                    <w:t>2400</w:t>
                  </w:r>
                </w:p>
              </w:tc>
              <w:tc>
                <w:tcPr>
                  <w:tcW w:w="734"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0.045</w:t>
                  </w:r>
                </w:p>
              </w:tc>
              <w:tc>
                <w:tcPr>
                  <w:tcW w:w="870"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60</w:t>
                  </w:r>
                </w:p>
              </w:tc>
              <w:tc>
                <w:tcPr>
                  <w:tcW w:w="712"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宋体"/>
                      <w:sz w:val="18"/>
                      <w:szCs w:val="18"/>
                      <w:lang w:eastAsia="zh-CN"/>
                    </w:rPr>
                  </w:pPr>
                  <w:r>
                    <w:rPr>
                      <w:rFonts w:hint="eastAsia"/>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587" w:type="dxa"/>
                  <w:vMerge w:val="continue"/>
                  <w:vAlign w:val="center"/>
                </w:tcPr>
                <w:p>
                  <w:pPr>
                    <w:spacing w:line="240" w:lineRule="exact"/>
                    <w:jc w:val="center"/>
                    <w:rPr>
                      <w:bCs/>
                      <w:sz w:val="18"/>
                      <w:szCs w:val="18"/>
                    </w:rPr>
                  </w:pPr>
                </w:p>
              </w:tc>
              <w:tc>
                <w:tcPr>
                  <w:tcW w:w="451" w:type="dxa"/>
                  <w:vAlign w:val="center"/>
                </w:tcPr>
                <w:p>
                  <w:pPr>
                    <w:spacing w:line="240" w:lineRule="exact"/>
                    <w:jc w:val="center"/>
                    <w:rPr>
                      <w:sz w:val="18"/>
                      <w:szCs w:val="18"/>
                    </w:rPr>
                  </w:pPr>
                  <w:r>
                    <w:rPr>
                      <w:sz w:val="18"/>
                      <w:szCs w:val="18"/>
                    </w:rPr>
                    <w:t>无组织</w:t>
                  </w:r>
                </w:p>
              </w:tc>
              <w:tc>
                <w:tcPr>
                  <w:tcW w:w="685" w:type="dxa"/>
                  <w:tcBorders>
                    <w:bottom w:val="single" w:color="auto" w:sz="2" w:space="0"/>
                  </w:tcBorders>
                  <w:vAlign w:val="center"/>
                </w:tcPr>
                <w:p>
                  <w:pPr>
                    <w:spacing w:line="240" w:lineRule="exact"/>
                    <w:jc w:val="center"/>
                    <w:rPr>
                      <w:color w:val="auto"/>
                      <w:sz w:val="18"/>
                      <w:szCs w:val="18"/>
                    </w:rPr>
                  </w:pPr>
                  <w:r>
                    <w:rPr>
                      <w:rFonts w:hint="eastAsia"/>
                      <w:sz w:val="18"/>
                      <w:szCs w:val="18"/>
                      <w:lang w:val="en-US" w:eastAsia="zh-CN"/>
                    </w:rPr>
                    <w:t>VOCs</w:t>
                  </w:r>
                </w:p>
              </w:tc>
              <w:tc>
                <w:tcPr>
                  <w:tcW w:w="801" w:type="dxa"/>
                  <w:tcBorders>
                    <w:bottom w:val="single" w:color="auto" w:sz="2" w:space="0"/>
                  </w:tcBorders>
                  <w:vAlign w:val="center"/>
                </w:tcPr>
                <w:p>
                  <w:pPr>
                    <w:spacing w:line="240" w:lineRule="exact"/>
                    <w:jc w:val="center"/>
                    <w:rPr>
                      <w:rFonts w:hint="eastAsia" w:eastAsia="宋体"/>
                      <w:color w:val="auto"/>
                      <w:sz w:val="18"/>
                      <w:szCs w:val="18"/>
                      <w:lang w:eastAsia="zh-CN"/>
                    </w:rPr>
                  </w:pPr>
                  <w:r>
                    <w:rPr>
                      <w:rFonts w:hint="eastAsia"/>
                      <w:color w:val="auto"/>
                      <w:sz w:val="18"/>
                      <w:szCs w:val="18"/>
                    </w:rPr>
                    <w:t>0.0</w:t>
                  </w:r>
                  <w:r>
                    <w:rPr>
                      <w:rFonts w:hint="eastAsia"/>
                      <w:color w:val="auto"/>
                      <w:sz w:val="18"/>
                      <w:szCs w:val="18"/>
                      <w:lang w:val="en-US" w:eastAsia="zh-CN"/>
                    </w:rPr>
                    <w:t>4</w:t>
                  </w:r>
                </w:p>
              </w:tc>
              <w:tc>
                <w:tcPr>
                  <w:tcW w:w="976" w:type="dxa"/>
                  <w:tcBorders>
                    <w:bottom w:val="single" w:color="auto" w:sz="2" w:space="0"/>
                  </w:tcBorders>
                  <w:vAlign w:val="center"/>
                </w:tcPr>
                <w:p>
                  <w:pPr>
                    <w:spacing w:line="240" w:lineRule="exact"/>
                    <w:jc w:val="center"/>
                    <w:rPr>
                      <w:color w:val="auto"/>
                      <w:sz w:val="18"/>
                      <w:szCs w:val="18"/>
                    </w:rPr>
                  </w:pPr>
                  <w:r>
                    <w:rPr>
                      <w:color w:val="auto"/>
                      <w:sz w:val="18"/>
                      <w:szCs w:val="18"/>
                    </w:rPr>
                    <w:t>--</w:t>
                  </w:r>
                </w:p>
              </w:tc>
              <w:tc>
                <w:tcPr>
                  <w:tcW w:w="990"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830" w:type="dxa"/>
                  <w:tcBorders>
                    <w:bottom w:val="single" w:color="auto" w:sz="2" w:space="0"/>
                  </w:tcBorders>
                  <w:vAlign w:val="center"/>
                </w:tcPr>
                <w:p>
                  <w:pPr>
                    <w:spacing w:line="240" w:lineRule="exact"/>
                    <w:jc w:val="center"/>
                    <w:rPr>
                      <w:color w:val="auto"/>
                      <w:sz w:val="18"/>
                      <w:szCs w:val="18"/>
                    </w:rPr>
                  </w:pPr>
                  <w:r>
                    <w:rPr>
                      <w:color w:val="auto"/>
                      <w:sz w:val="18"/>
                      <w:szCs w:val="18"/>
                    </w:rPr>
                    <w:t>--</w:t>
                  </w:r>
                </w:p>
              </w:tc>
              <w:tc>
                <w:tcPr>
                  <w:tcW w:w="655" w:type="dxa"/>
                  <w:tcBorders>
                    <w:bottom w:val="single" w:color="auto" w:sz="2" w:space="0"/>
                  </w:tcBorders>
                  <w:vAlign w:val="center"/>
                </w:tcPr>
                <w:p>
                  <w:pPr>
                    <w:spacing w:line="240" w:lineRule="exact"/>
                    <w:jc w:val="center"/>
                    <w:rPr>
                      <w:color w:val="auto"/>
                      <w:sz w:val="18"/>
                      <w:szCs w:val="18"/>
                    </w:rPr>
                  </w:pPr>
                  <w:r>
                    <w:rPr>
                      <w:color w:val="auto"/>
                      <w:sz w:val="18"/>
                      <w:szCs w:val="18"/>
                    </w:rPr>
                    <w:t>--</w:t>
                  </w:r>
                </w:p>
              </w:tc>
              <w:tc>
                <w:tcPr>
                  <w:tcW w:w="1078" w:type="dxa"/>
                  <w:tcBorders>
                    <w:bottom w:val="single" w:color="auto" w:sz="2" w:space="0"/>
                  </w:tcBorders>
                  <w:vAlign w:val="center"/>
                </w:tcPr>
                <w:p>
                  <w:pPr>
                    <w:spacing w:line="240" w:lineRule="exact"/>
                    <w:jc w:val="center"/>
                    <w:rPr>
                      <w:rFonts w:hint="eastAsia" w:eastAsia="宋体"/>
                      <w:color w:val="auto"/>
                      <w:sz w:val="18"/>
                      <w:szCs w:val="18"/>
                      <w:lang w:eastAsia="zh-CN"/>
                    </w:rPr>
                  </w:pPr>
                  <w:r>
                    <w:rPr>
                      <w:rFonts w:hint="eastAsia"/>
                      <w:color w:val="auto"/>
                      <w:sz w:val="18"/>
                      <w:szCs w:val="18"/>
                      <w:lang w:eastAsia="zh-CN"/>
                    </w:rPr>
                    <w:t>车间密闭</w:t>
                  </w:r>
                </w:p>
              </w:tc>
              <w:tc>
                <w:tcPr>
                  <w:tcW w:w="552" w:type="dxa"/>
                  <w:tcBorders>
                    <w:bottom w:val="single" w:color="auto" w:sz="2" w:space="0"/>
                  </w:tcBorders>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w:t>
                  </w:r>
                </w:p>
              </w:tc>
              <w:tc>
                <w:tcPr>
                  <w:tcW w:w="401" w:type="dxa"/>
                  <w:tcBorders>
                    <w:bottom w:val="single" w:color="auto" w:sz="2" w:space="0"/>
                  </w:tcBorders>
                  <w:vAlign w:val="center"/>
                </w:tcPr>
                <w:p>
                  <w:pPr>
                    <w:spacing w:line="240" w:lineRule="exact"/>
                    <w:jc w:val="center"/>
                    <w:rPr>
                      <w:rFonts w:hint="eastAsia" w:eastAsia="宋体"/>
                      <w:color w:val="auto"/>
                      <w:sz w:val="18"/>
                      <w:szCs w:val="18"/>
                      <w:lang w:val="en-US" w:eastAsia="zh-CN"/>
                    </w:rPr>
                  </w:pPr>
                  <w:r>
                    <w:rPr>
                      <w:color w:val="auto"/>
                      <w:sz w:val="18"/>
                      <w:szCs w:val="18"/>
                    </w:rPr>
                    <w:t>-</w:t>
                  </w:r>
                  <w:r>
                    <w:rPr>
                      <w:rFonts w:hint="eastAsia"/>
                      <w:color w:val="auto"/>
                      <w:sz w:val="18"/>
                      <w:szCs w:val="18"/>
                      <w:lang w:val="en-US" w:eastAsia="zh-CN"/>
                    </w:rPr>
                    <w:t>-</w:t>
                  </w:r>
                </w:p>
              </w:tc>
              <w:tc>
                <w:tcPr>
                  <w:tcW w:w="837"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color w:val="auto"/>
                      <w:sz w:val="18"/>
                      <w:szCs w:val="18"/>
                      <w:lang w:val="en-US" w:eastAsia="zh-CN"/>
                    </w:rPr>
                    <w:t>0.04</w:t>
                  </w:r>
                </w:p>
              </w:tc>
              <w:tc>
                <w:tcPr>
                  <w:tcW w:w="870"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color w:val="auto"/>
                      <w:sz w:val="18"/>
                      <w:szCs w:val="18"/>
                      <w:lang w:val="en-US" w:eastAsia="zh-CN"/>
                    </w:rPr>
                    <w:t>--</w:t>
                  </w:r>
                </w:p>
              </w:tc>
              <w:tc>
                <w:tcPr>
                  <w:tcW w:w="547"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r>
                    <w:rPr>
                      <w:rFonts w:hint="eastAsia"/>
                      <w:sz w:val="18"/>
                      <w:szCs w:val="18"/>
                      <w:lang w:val="en-US" w:eastAsia="zh-CN"/>
                    </w:rPr>
                    <w:t>2400</w:t>
                  </w:r>
                </w:p>
              </w:tc>
              <w:tc>
                <w:tcPr>
                  <w:tcW w:w="734"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color w:val="auto"/>
                      <w:sz w:val="18"/>
                      <w:szCs w:val="18"/>
                      <w:lang w:val="en-US" w:eastAsia="zh-CN"/>
                    </w:rPr>
                    <w:t>0.0167</w:t>
                  </w:r>
                </w:p>
              </w:tc>
              <w:tc>
                <w:tcPr>
                  <w:tcW w:w="870"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color w:val="auto"/>
                      <w:sz w:val="18"/>
                      <w:szCs w:val="18"/>
                      <w:lang w:val="en-US" w:eastAsia="zh-CN"/>
                    </w:rPr>
                    <w:t>2.0</w:t>
                  </w:r>
                </w:p>
              </w:tc>
              <w:tc>
                <w:tcPr>
                  <w:tcW w:w="712" w:type="dxa"/>
                  <w:tcBorders>
                    <w:bottom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宋体"/>
                      <w:color w:val="auto"/>
                      <w:sz w:val="18"/>
                      <w:szCs w:val="18"/>
                      <w:lang w:val="en-US" w:eastAsia="zh-CN"/>
                    </w:rPr>
                  </w:pPr>
                  <w:r>
                    <w:rPr>
                      <w:rFonts w:hint="eastAsia"/>
                      <w:color w:val="auto"/>
                      <w:sz w:val="18"/>
                      <w:szCs w:val="18"/>
                    </w:rPr>
                    <w:t>-</w:t>
                  </w:r>
                  <w:r>
                    <w:rPr>
                      <w:rFonts w:hint="eastAsia"/>
                      <w:color w:val="auto"/>
                      <w:sz w:val="18"/>
                      <w:szCs w:val="18"/>
                      <w:lang w:val="en-US" w:eastAsia="zh-CN"/>
                    </w:rPr>
                    <w:t>-</w:t>
                  </w:r>
                </w:p>
              </w:tc>
            </w:tr>
          </w:tbl>
          <w:p>
            <w:pPr>
              <w:jc w:val="center"/>
              <w:rPr>
                <w:b/>
                <w:bCs/>
              </w:rPr>
            </w:pPr>
            <w:r>
              <w:rPr>
                <w:b/>
                <w:bCs/>
              </w:rPr>
              <w:t>表4-2大气污染物排放口基本情况表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8"/>
              <w:gridCol w:w="466"/>
              <w:gridCol w:w="626"/>
              <w:gridCol w:w="990"/>
              <w:gridCol w:w="1005"/>
              <w:gridCol w:w="1009"/>
              <w:gridCol w:w="1381"/>
              <w:gridCol w:w="562"/>
              <w:gridCol w:w="686"/>
              <w:gridCol w:w="566"/>
              <w:gridCol w:w="835"/>
              <w:gridCol w:w="819"/>
              <w:gridCol w:w="976"/>
              <w:gridCol w:w="877"/>
              <w:gridCol w:w="636"/>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9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序号</w:t>
                  </w:r>
                </w:p>
              </w:tc>
              <w:tc>
                <w:tcPr>
                  <w:tcW w:w="46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排放时段</w:t>
                  </w:r>
                </w:p>
              </w:tc>
              <w:tc>
                <w:tcPr>
                  <w:tcW w:w="62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编号</w:t>
                  </w:r>
                </w:p>
              </w:tc>
              <w:tc>
                <w:tcPr>
                  <w:tcW w:w="990"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名称</w:t>
                  </w:r>
                </w:p>
              </w:tc>
              <w:tc>
                <w:tcPr>
                  <w:tcW w:w="100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类型</w:t>
                  </w:r>
                </w:p>
              </w:tc>
              <w:tc>
                <w:tcPr>
                  <w:tcW w:w="1009"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污染物种类</w:t>
                  </w:r>
                </w:p>
              </w:tc>
              <w:tc>
                <w:tcPr>
                  <w:tcW w:w="138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排放口地理坐标</w:t>
                  </w:r>
                </w:p>
              </w:tc>
              <w:tc>
                <w:tcPr>
                  <w:tcW w:w="562"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排气筒高度（m）</w:t>
                  </w:r>
                </w:p>
              </w:tc>
              <w:tc>
                <w:tcPr>
                  <w:tcW w:w="68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排气筒出口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内径（m）</w:t>
                  </w:r>
                </w:p>
              </w:tc>
              <w:tc>
                <w:tcPr>
                  <w:tcW w:w="56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排气温度（℃）</w:t>
                  </w:r>
                </w:p>
              </w:tc>
              <w:tc>
                <w:tcPr>
                  <w:tcW w:w="83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废气排放量（m</w:t>
                  </w:r>
                  <w:r>
                    <w:rPr>
                      <w:b/>
                      <w:bCs/>
                      <w:sz w:val="18"/>
                      <w:szCs w:val="18"/>
                      <w:vertAlign w:val="superscript"/>
                    </w:rPr>
                    <w:t>3</w:t>
                  </w:r>
                  <w:r>
                    <w:rPr>
                      <w:b/>
                      <w:bCs/>
                      <w:sz w:val="18"/>
                      <w:szCs w:val="18"/>
                    </w:rPr>
                    <w:t>/h）</w:t>
                  </w:r>
                </w:p>
              </w:tc>
              <w:tc>
                <w:tcPr>
                  <w:tcW w:w="819"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污染物排放量（t/a）</w:t>
                  </w:r>
                </w:p>
              </w:tc>
              <w:tc>
                <w:tcPr>
                  <w:tcW w:w="97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污染物排放</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浓度（mg/m</w:t>
                  </w:r>
                  <w:r>
                    <w:rPr>
                      <w:b/>
                      <w:bCs/>
                      <w:sz w:val="18"/>
                      <w:szCs w:val="18"/>
                      <w:vertAlign w:val="superscript"/>
                    </w:rPr>
                    <w:t>3</w:t>
                  </w:r>
                  <w:r>
                    <w:rPr>
                      <w:b/>
                      <w:bCs/>
                      <w:sz w:val="18"/>
                      <w:szCs w:val="18"/>
                    </w:rPr>
                    <w:t>）</w:t>
                  </w:r>
                </w:p>
              </w:tc>
              <w:tc>
                <w:tcPr>
                  <w:tcW w:w="87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排放速率（kg/h）</w:t>
                  </w:r>
                </w:p>
              </w:tc>
              <w:tc>
                <w:tcPr>
                  <w:tcW w:w="63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排放时间（h）</w:t>
                  </w:r>
                </w:p>
              </w:tc>
              <w:tc>
                <w:tcPr>
                  <w:tcW w:w="849"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sz w:val="18"/>
                      <w:szCs w:val="18"/>
                    </w:rPr>
                  </w:pPr>
                  <w:r>
                    <w:rPr>
                      <w:b/>
                      <w:bCs/>
                      <w:sz w:val="18"/>
                      <w:szCs w:val="18"/>
                    </w:rPr>
                    <w:t>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46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2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990"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100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1009"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1381"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b/>
                      <w:bCs/>
                      <w:sz w:val="18"/>
                      <w:szCs w:val="18"/>
                    </w:rPr>
                    <w:t>经度、纬度</w:t>
                  </w:r>
                </w:p>
              </w:tc>
              <w:tc>
                <w:tcPr>
                  <w:tcW w:w="562"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56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83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819"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97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87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63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849"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29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sz w:val="18"/>
                      <w:szCs w:val="18"/>
                    </w:rPr>
                    <w:t>1</w:t>
                  </w:r>
                </w:p>
              </w:tc>
              <w:tc>
                <w:tcPr>
                  <w:tcW w:w="46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 w:val="18"/>
                      <w:szCs w:val="18"/>
                      <w:lang w:eastAsia="zh-CN"/>
                    </w:rPr>
                  </w:pPr>
                  <w:r>
                    <w:rPr>
                      <w:rFonts w:hint="eastAsia"/>
                      <w:sz w:val="18"/>
                      <w:szCs w:val="18"/>
                      <w:lang w:eastAsia="zh-CN"/>
                    </w:rPr>
                    <w:t>昼间</w:t>
                  </w:r>
                </w:p>
              </w:tc>
              <w:tc>
                <w:tcPr>
                  <w:tcW w:w="62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 w:val="18"/>
                      <w:szCs w:val="18"/>
                      <w:lang w:eastAsia="zh-CN"/>
                    </w:rPr>
                  </w:pPr>
                  <w:r>
                    <w:rPr>
                      <w:sz w:val="18"/>
                      <w:szCs w:val="18"/>
                    </w:rPr>
                    <w:t>DA00</w:t>
                  </w:r>
                  <w:r>
                    <w:rPr>
                      <w:rFonts w:hint="eastAsia"/>
                      <w:sz w:val="18"/>
                      <w:szCs w:val="18"/>
                      <w:lang w:val="en-US" w:eastAsia="zh-CN"/>
                    </w:rPr>
                    <w:t>2</w:t>
                  </w:r>
                </w:p>
              </w:tc>
              <w:tc>
                <w:tcPr>
                  <w:tcW w:w="990"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rFonts w:hint="eastAsia"/>
                      <w:bCs/>
                      <w:sz w:val="18"/>
                      <w:szCs w:val="18"/>
                      <w:lang w:eastAsia="zh-CN"/>
                    </w:rPr>
                    <w:t>医用级电气两用蒸发器</w:t>
                  </w:r>
                  <w:r>
                    <w:rPr>
                      <w:sz w:val="18"/>
                      <w:szCs w:val="18"/>
                    </w:rPr>
                    <w:t>排放口</w:t>
                  </w:r>
                </w:p>
              </w:tc>
              <w:tc>
                <w:tcPr>
                  <w:tcW w:w="100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sz w:val="18"/>
                      <w:szCs w:val="18"/>
                    </w:rPr>
                    <w:t>一般排放口</w:t>
                  </w:r>
                </w:p>
              </w:tc>
              <w:tc>
                <w:tcPr>
                  <w:tcW w:w="10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宋体"/>
                      <w:sz w:val="18"/>
                      <w:szCs w:val="18"/>
                      <w:lang w:eastAsia="zh-CN"/>
                    </w:rPr>
                  </w:pPr>
                  <w:r>
                    <w:rPr>
                      <w:rFonts w:hint="eastAsia"/>
                      <w:sz w:val="18"/>
                      <w:szCs w:val="18"/>
                      <w:lang w:eastAsia="zh-CN"/>
                    </w:rPr>
                    <w:t>颗粒物</w:t>
                  </w:r>
                </w:p>
              </w:tc>
              <w:tc>
                <w:tcPr>
                  <w:tcW w:w="138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sz w:val="18"/>
                      <w:szCs w:val="18"/>
                    </w:rPr>
                    <w:t>117°</w:t>
                  </w:r>
                  <w:r>
                    <w:rPr>
                      <w:rFonts w:hint="eastAsia"/>
                      <w:sz w:val="18"/>
                      <w:szCs w:val="18"/>
                      <w:lang w:val="en-US" w:eastAsia="zh-CN"/>
                    </w:rPr>
                    <w:t>59′39.791″</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sz w:val="18"/>
                      <w:szCs w:val="18"/>
                    </w:rPr>
                    <w:t>36°</w:t>
                  </w:r>
                  <w:r>
                    <w:rPr>
                      <w:rFonts w:hint="eastAsia"/>
                      <w:sz w:val="18"/>
                      <w:szCs w:val="18"/>
                      <w:lang w:val="en-US" w:eastAsia="zh-CN"/>
                    </w:rPr>
                    <w:t>40′34.495″</w:t>
                  </w:r>
                </w:p>
              </w:tc>
              <w:tc>
                <w:tcPr>
                  <w:tcW w:w="5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sz w:val="18"/>
                      <w:szCs w:val="18"/>
                    </w:rPr>
                    <w:t>15</w:t>
                  </w:r>
                </w:p>
              </w:tc>
              <w:tc>
                <w:tcPr>
                  <w:tcW w:w="6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sz w:val="18"/>
                      <w:szCs w:val="18"/>
                    </w:rPr>
                    <w:t>0.</w:t>
                  </w:r>
                  <w:r>
                    <w:rPr>
                      <w:rStyle w:val="99"/>
                      <w:rFonts w:hint="eastAsia"/>
                      <w:kern w:val="0"/>
                      <w:sz w:val="18"/>
                      <w:szCs w:val="18"/>
                      <w:lang w:val="en-US" w:eastAsia="zh-CN"/>
                    </w:rPr>
                    <w:t>15</w:t>
                  </w:r>
                </w:p>
              </w:tc>
              <w:tc>
                <w:tcPr>
                  <w:tcW w:w="5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50</w:t>
                  </w:r>
                </w:p>
              </w:tc>
              <w:tc>
                <w:tcPr>
                  <w:tcW w:w="83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cs="Times New Roman"/>
                      <w:sz w:val="18"/>
                      <w:szCs w:val="18"/>
                      <w:highlight w:val="none"/>
                      <w:lang w:val="en-US" w:eastAsia="zh-CN"/>
                    </w:rPr>
                  </w:pPr>
                  <w:r>
                    <w:rPr>
                      <w:rFonts w:hint="eastAsia" w:cs="Times New Roman"/>
                      <w:sz w:val="18"/>
                      <w:szCs w:val="18"/>
                      <w:highlight w:val="none"/>
                      <w:lang w:val="en-US" w:eastAsia="zh-CN"/>
                    </w:rPr>
                    <w:t>1111908</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rFonts w:hint="default" w:ascii="Times New Roman" w:hAnsi="Times New Roman" w:cs="Times New Roman"/>
                      <w:sz w:val="18"/>
                      <w:szCs w:val="18"/>
                      <w:highlight w:val="none"/>
                    </w:rPr>
                    <w:t>m</w:t>
                  </w:r>
                  <w:r>
                    <w:rPr>
                      <w:rFonts w:hint="default" w:ascii="Times New Roman" w:hAnsi="Times New Roman" w:cs="Times New Roman"/>
                      <w:sz w:val="18"/>
                      <w:szCs w:val="18"/>
                      <w:highlight w:val="none"/>
                      <w:vertAlign w:val="superscript"/>
                    </w:rPr>
                    <w:t>3</w:t>
                  </w:r>
                  <w:r>
                    <w:rPr>
                      <w:rFonts w:hint="eastAsia" w:ascii="Times New Roman" w:hAnsi="Times New Roman" w:cs="Times New Roman"/>
                      <w:sz w:val="18"/>
                      <w:szCs w:val="18"/>
                      <w:highlight w:val="none"/>
                      <w:vertAlign w:val="baseline"/>
                      <w:lang w:val="en-US" w:eastAsia="zh-CN"/>
                    </w:rPr>
                    <w:t>/a</w:t>
                  </w:r>
                </w:p>
              </w:tc>
              <w:tc>
                <w:tcPr>
                  <w:tcW w:w="819" w:type="dxa"/>
                  <w:vAlign w:val="center"/>
                </w:tcPr>
                <w:p>
                  <w:pPr>
                    <w:keepNext w:val="0"/>
                    <w:keepLines w:val="0"/>
                    <w:widowControl/>
                    <w:suppressLineNumbers w:val="0"/>
                    <w:jc w:val="center"/>
                    <w:textAlignment w:val="center"/>
                    <w:rPr>
                      <w:color w:val="FF0000"/>
                      <w:sz w:val="18"/>
                      <w:szCs w:val="18"/>
                    </w:rPr>
                  </w:pPr>
                  <w:r>
                    <w:rPr>
                      <w:rFonts w:hint="default" w:ascii="Times New Roman" w:hAnsi="Times New Roman" w:eastAsia="宋体" w:cs="Times New Roman"/>
                      <w:i w:val="0"/>
                      <w:iCs w:val="0"/>
                      <w:color w:val="000000"/>
                      <w:kern w:val="0"/>
                      <w:sz w:val="18"/>
                      <w:szCs w:val="18"/>
                      <w:u w:val="none"/>
                      <w:lang w:val="en-US" w:eastAsia="zh-CN" w:bidi="ar"/>
                    </w:rPr>
                    <w:t>0.008</w:t>
                  </w:r>
                </w:p>
              </w:tc>
              <w:tc>
                <w:tcPr>
                  <w:tcW w:w="976" w:type="dxa"/>
                  <w:vAlign w:val="center"/>
                </w:tcPr>
                <w:p>
                  <w:pPr>
                    <w:keepNext w:val="0"/>
                    <w:keepLines w:val="0"/>
                    <w:widowControl/>
                    <w:suppressLineNumbers w:val="0"/>
                    <w:jc w:val="center"/>
                    <w:textAlignment w:val="bottom"/>
                    <w:rPr>
                      <w:color w:val="FF0000"/>
                      <w:sz w:val="18"/>
                      <w:szCs w:val="18"/>
                    </w:rPr>
                  </w:pPr>
                  <w:r>
                    <w:rPr>
                      <w:rFonts w:hint="eastAsia" w:ascii="Times New Roman" w:hAnsi="Times New Roman" w:eastAsia="宋体" w:cs="Times New Roman"/>
                      <w:i w:val="0"/>
                      <w:iCs w:val="0"/>
                      <w:color w:val="000000"/>
                      <w:kern w:val="0"/>
                      <w:sz w:val="18"/>
                      <w:szCs w:val="18"/>
                      <w:u w:val="none"/>
                      <w:lang w:val="en-US" w:eastAsia="zh-CN" w:bidi="ar"/>
                    </w:rPr>
                    <w:t>7.2</w:t>
                  </w:r>
                </w:p>
              </w:tc>
              <w:tc>
                <w:tcPr>
                  <w:tcW w:w="877" w:type="dxa"/>
                  <w:vAlign w:val="center"/>
                </w:tcPr>
                <w:p>
                  <w:pPr>
                    <w:keepNext w:val="0"/>
                    <w:keepLines w:val="0"/>
                    <w:widowControl/>
                    <w:suppressLineNumbers w:val="0"/>
                    <w:jc w:val="center"/>
                    <w:textAlignment w:val="center"/>
                    <w:rPr>
                      <w:color w:val="FF0000"/>
                      <w:sz w:val="18"/>
                      <w:szCs w:val="18"/>
                    </w:rPr>
                  </w:pPr>
                  <w:r>
                    <w:rPr>
                      <w:rFonts w:hint="default" w:ascii="Times New Roman" w:hAnsi="Times New Roman" w:eastAsia="宋体" w:cs="Times New Roman"/>
                      <w:i w:val="0"/>
                      <w:iCs w:val="0"/>
                      <w:color w:val="000000"/>
                      <w:kern w:val="0"/>
                      <w:sz w:val="18"/>
                      <w:szCs w:val="18"/>
                      <w:u w:val="none"/>
                      <w:lang w:val="en-US" w:eastAsia="zh-CN" w:bidi="ar"/>
                    </w:rPr>
                    <w:t>0.0033</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color w:val="auto"/>
                      <w:sz w:val="18"/>
                      <w:szCs w:val="18"/>
                      <w:lang w:val="en-US" w:eastAsia="zh-CN"/>
                    </w:rPr>
                    <w:t>2400</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rFonts w:hint="eastAsia"/>
                      <w:sz w:val="18"/>
                      <w:szCs w:val="18"/>
                      <w:lang w:val="en-US" w:eastAsia="zh-CN"/>
                    </w:rPr>
                    <w:t>1</w:t>
                  </w:r>
                  <w:r>
                    <w:rPr>
                      <w:sz w:val="18"/>
                      <w:szCs w:val="18"/>
                    </w:rPr>
                    <w:t>0mg/m</w:t>
                  </w:r>
                  <w:r>
                    <w:rPr>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2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4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6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1009" w:type="dxa"/>
                  <w:vAlign w:val="center"/>
                </w:tcPr>
                <w:p>
                  <w:pPr>
                    <w:spacing w:line="240" w:lineRule="exact"/>
                    <w:jc w:val="center"/>
                    <w:rPr>
                      <w:sz w:val="18"/>
                      <w:szCs w:val="18"/>
                    </w:rPr>
                  </w:pPr>
                  <w:r>
                    <w:rPr>
                      <w:rFonts w:hint="eastAsia"/>
                      <w:sz w:val="18"/>
                      <w:szCs w:val="18"/>
                      <w:lang w:val="en-US" w:eastAsia="zh-CN"/>
                    </w:rPr>
                    <w:t>SO</w:t>
                  </w:r>
                  <w:r>
                    <w:rPr>
                      <w:rFonts w:hint="eastAsia"/>
                      <w:sz w:val="18"/>
                      <w:szCs w:val="18"/>
                      <w:vertAlign w:val="subscript"/>
                      <w:lang w:val="en-US" w:eastAsia="zh-CN"/>
                    </w:rPr>
                    <w:t>2</w:t>
                  </w:r>
                </w:p>
              </w:tc>
              <w:tc>
                <w:tcPr>
                  <w:tcW w:w="13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819" w:type="dxa"/>
                  <w:vAlign w:val="center"/>
                </w:tcPr>
                <w:p>
                  <w:pPr>
                    <w:keepNext w:val="0"/>
                    <w:keepLines w:val="0"/>
                    <w:widowControl/>
                    <w:suppressLineNumbers w:val="0"/>
                    <w:jc w:val="center"/>
                    <w:textAlignment w:val="center"/>
                    <w:rPr>
                      <w:color w:val="FF0000"/>
                      <w:sz w:val="18"/>
                      <w:szCs w:val="18"/>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976" w:type="dxa"/>
                  <w:vAlign w:val="center"/>
                </w:tcPr>
                <w:p>
                  <w:pPr>
                    <w:keepNext w:val="0"/>
                    <w:keepLines w:val="0"/>
                    <w:widowControl/>
                    <w:suppressLineNumbers w:val="0"/>
                    <w:jc w:val="center"/>
                    <w:textAlignment w:val="bottom"/>
                    <w:rPr>
                      <w:color w:val="FF0000"/>
                      <w:sz w:val="18"/>
                      <w:szCs w:val="18"/>
                    </w:rPr>
                  </w:pPr>
                  <w:r>
                    <w:rPr>
                      <w:rFonts w:hint="eastAsia" w:ascii="Times New Roman" w:hAnsi="Times New Roman" w:eastAsia="宋体" w:cs="Times New Roman"/>
                      <w:i w:val="0"/>
                      <w:iCs w:val="0"/>
                      <w:color w:val="000000"/>
                      <w:kern w:val="0"/>
                      <w:sz w:val="21"/>
                      <w:szCs w:val="21"/>
                      <w:u w:val="none"/>
                      <w:lang w:val="en-US" w:eastAsia="zh-CN" w:bidi="ar"/>
                    </w:rPr>
                    <w:t>5.4</w:t>
                  </w:r>
                </w:p>
              </w:tc>
              <w:tc>
                <w:tcPr>
                  <w:tcW w:w="877" w:type="dxa"/>
                  <w:vAlign w:val="center"/>
                </w:tcPr>
                <w:p>
                  <w:pPr>
                    <w:keepNext w:val="0"/>
                    <w:keepLines w:val="0"/>
                    <w:widowControl/>
                    <w:suppressLineNumbers w:val="0"/>
                    <w:jc w:val="center"/>
                    <w:textAlignment w:val="center"/>
                    <w:rPr>
                      <w:color w:val="FF0000"/>
                      <w:sz w:val="18"/>
                      <w:szCs w:val="18"/>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r>
                    <w:rPr>
                      <w:rFonts w:hint="eastAsia"/>
                      <w:color w:val="auto"/>
                      <w:sz w:val="18"/>
                      <w:szCs w:val="18"/>
                      <w:lang w:val="en-US" w:eastAsia="zh-CN"/>
                    </w:rPr>
                    <w:t>2400</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rFonts w:hint="eastAsia"/>
                      <w:sz w:val="18"/>
                      <w:szCs w:val="18"/>
                      <w:lang w:val="en-US" w:eastAsia="zh-CN"/>
                    </w:rPr>
                    <w:t>5</w:t>
                  </w:r>
                  <w:r>
                    <w:rPr>
                      <w:sz w:val="18"/>
                      <w:szCs w:val="18"/>
                    </w:rPr>
                    <w:t>0mg/m</w:t>
                  </w:r>
                  <w:r>
                    <w:rPr>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4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6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1009" w:type="dxa"/>
                  <w:vAlign w:val="center"/>
                </w:tcPr>
                <w:p>
                  <w:pPr>
                    <w:spacing w:line="240" w:lineRule="exact"/>
                    <w:jc w:val="center"/>
                    <w:rPr>
                      <w:rFonts w:hint="eastAsia" w:eastAsia="宋体"/>
                      <w:color w:val="auto"/>
                      <w:sz w:val="18"/>
                      <w:szCs w:val="18"/>
                      <w:lang w:val="en-US" w:eastAsia="zh-CN"/>
                    </w:rPr>
                  </w:pPr>
                  <w:r>
                    <w:rPr>
                      <w:rFonts w:hint="eastAsia"/>
                      <w:color w:val="auto"/>
                      <w:sz w:val="18"/>
                      <w:szCs w:val="18"/>
                      <w:lang w:val="en-US" w:eastAsia="zh-CN"/>
                    </w:rPr>
                    <w:t>NO</w:t>
                  </w:r>
                  <w:r>
                    <w:rPr>
                      <w:rFonts w:hint="eastAsia"/>
                      <w:color w:val="auto"/>
                      <w:sz w:val="18"/>
                      <w:szCs w:val="18"/>
                      <w:vertAlign w:val="subscript"/>
                      <w:lang w:val="en-US" w:eastAsia="zh-CN"/>
                    </w:rPr>
                    <w:t>X</w:t>
                  </w:r>
                </w:p>
              </w:tc>
              <w:tc>
                <w:tcPr>
                  <w:tcW w:w="13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819" w:type="dxa"/>
                  <w:vAlign w:val="center"/>
                </w:tcPr>
                <w:p>
                  <w:pPr>
                    <w:keepNext w:val="0"/>
                    <w:keepLines w:val="0"/>
                    <w:widowControl/>
                    <w:suppressLineNumbers w:val="0"/>
                    <w:jc w:val="center"/>
                    <w:textAlignment w:val="center"/>
                    <w:rPr>
                      <w:rFonts w:hint="eastAsia" w:eastAsia="宋体"/>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0.053</w:t>
                  </w:r>
                </w:p>
              </w:tc>
              <w:tc>
                <w:tcPr>
                  <w:tcW w:w="976" w:type="dxa"/>
                  <w:vAlign w:val="center"/>
                </w:tcPr>
                <w:p>
                  <w:pPr>
                    <w:keepNext w:val="0"/>
                    <w:keepLines w:val="0"/>
                    <w:widowControl/>
                    <w:suppressLineNumbers w:val="0"/>
                    <w:jc w:val="center"/>
                    <w:textAlignment w:val="bottom"/>
                    <w:rPr>
                      <w:rFonts w:hint="default"/>
                      <w:color w:val="auto"/>
                      <w:sz w:val="18"/>
                      <w:szCs w:val="18"/>
                      <w:lang w:val="en-US"/>
                    </w:rPr>
                  </w:pPr>
                  <w:r>
                    <w:rPr>
                      <w:rFonts w:hint="eastAsia" w:ascii="Times New Roman" w:hAnsi="Times New Roman" w:eastAsia="宋体" w:cs="Times New Roman"/>
                      <w:i w:val="0"/>
                      <w:iCs w:val="0"/>
                      <w:color w:val="000000"/>
                      <w:kern w:val="0"/>
                      <w:sz w:val="18"/>
                      <w:szCs w:val="18"/>
                      <w:u w:val="none"/>
                      <w:lang w:val="en-US" w:eastAsia="zh-CN" w:bidi="ar"/>
                    </w:rPr>
                    <w:t>47.7</w:t>
                  </w:r>
                </w:p>
              </w:tc>
              <w:tc>
                <w:tcPr>
                  <w:tcW w:w="877" w:type="dxa"/>
                  <w:vAlign w:val="center"/>
                </w:tcPr>
                <w:p>
                  <w:pPr>
                    <w:keepNext w:val="0"/>
                    <w:keepLines w:val="0"/>
                    <w:widowControl/>
                    <w:suppressLineNumbers w:val="0"/>
                    <w:jc w:val="center"/>
                    <w:textAlignment w:val="center"/>
                    <w:rPr>
                      <w:rFonts w:hint="eastAsia" w:eastAsia="等线"/>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0.022</w:t>
                  </w:r>
                  <w:r>
                    <w:rPr>
                      <w:rFonts w:hint="eastAsia" w:ascii="Times New Roman" w:hAnsi="Times New Roman" w:eastAsia="宋体" w:cs="Times New Roman"/>
                      <w:i w:val="0"/>
                      <w:iCs w:val="0"/>
                      <w:color w:val="000000"/>
                      <w:kern w:val="0"/>
                      <w:sz w:val="18"/>
                      <w:szCs w:val="18"/>
                      <w:u w:val="none"/>
                      <w:lang w:val="en-US" w:eastAsia="zh-CN" w:bidi="ar"/>
                    </w:rPr>
                    <w:t>1</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color w:val="auto"/>
                      <w:sz w:val="18"/>
                      <w:szCs w:val="18"/>
                    </w:rPr>
                  </w:pPr>
                  <w:r>
                    <w:rPr>
                      <w:rFonts w:hint="eastAsia"/>
                      <w:color w:val="auto"/>
                      <w:sz w:val="18"/>
                      <w:szCs w:val="18"/>
                      <w:lang w:val="en-US" w:eastAsia="zh-CN"/>
                    </w:rPr>
                    <w:t>2400</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color w:val="auto"/>
                      <w:sz w:val="18"/>
                      <w:szCs w:val="18"/>
                    </w:rPr>
                  </w:pPr>
                  <w:r>
                    <w:rPr>
                      <w:rFonts w:hint="eastAsia"/>
                      <w:sz w:val="18"/>
                      <w:szCs w:val="18"/>
                      <w:lang w:val="en-US" w:eastAsia="zh-CN"/>
                    </w:rPr>
                    <w:t>10</w:t>
                  </w:r>
                  <w:r>
                    <w:rPr>
                      <w:sz w:val="18"/>
                      <w:szCs w:val="18"/>
                    </w:rPr>
                    <w:t>0mg/m</w:t>
                  </w:r>
                  <w:r>
                    <w:rPr>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4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6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p>
              </w:tc>
              <w:tc>
                <w:tcPr>
                  <w:tcW w:w="1009" w:type="dxa"/>
                  <w:vAlign w:val="center"/>
                </w:tcPr>
                <w:p>
                  <w:pPr>
                    <w:spacing w:line="240" w:lineRule="exact"/>
                    <w:jc w:val="center"/>
                    <w:rPr>
                      <w:color w:val="auto"/>
                      <w:sz w:val="18"/>
                      <w:szCs w:val="18"/>
                    </w:rPr>
                  </w:pPr>
                  <w:r>
                    <w:rPr>
                      <w:rFonts w:hint="eastAsia"/>
                      <w:color w:val="auto"/>
                      <w:sz w:val="18"/>
                      <w:szCs w:val="18"/>
                      <w:lang w:val="en-US" w:eastAsia="zh-CN"/>
                    </w:rPr>
                    <w:t>林格曼黑度</w:t>
                  </w:r>
                </w:p>
              </w:tc>
              <w:tc>
                <w:tcPr>
                  <w:tcW w:w="13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5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68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83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p>
              </w:tc>
              <w:tc>
                <w:tcPr>
                  <w:tcW w:w="819"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18"/>
                      <w:szCs w:val="18"/>
                      <w:lang w:val="en-US" w:eastAsia="zh-CN"/>
                    </w:rPr>
                  </w:pPr>
                  <w:r>
                    <w:rPr>
                      <w:rFonts w:hint="eastAsia"/>
                      <w:color w:val="auto"/>
                      <w:sz w:val="18"/>
                      <w:szCs w:val="18"/>
                      <w:lang w:val="en-US" w:eastAsia="zh-CN"/>
                    </w:rPr>
                    <w:t>/</w:t>
                  </w:r>
                </w:p>
              </w:tc>
              <w:tc>
                <w:tcPr>
                  <w:tcW w:w="97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18"/>
                      <w:szCs w:val="18"/>
                      <w:lang w:val="en-US" w:eastAsia="zh-CN"/>
                    </w:rPr>
                  </w:pPr>
                  <w:r>
                    <w:rPr>
                      <w:rFonts w:hint="eastAsia"/>
                      <w:color w:val="auto"/>
                      <w:sz w:val="18"/>
                      <w:szCs w:val="18"/>
                      <w:lang w:eastAsia="zh-CN"/>
                    </w:rPr>
                    <w:t>＜</w:t>
                  </w:r>
                  <w:r>
                    <w:rPr>
                      <w:rFonts w:hint="eastAsia"/>
                      <w:color w:val="auto"/>
                      <w:sz w:val="18"/>
                      <w:szCs w:val="18"/>
                      <w:lang w:val="en-US" w:eastAsia="zh-CN"/>
                    </w:rPr>
                    <w:t>1级</w:t>
                  </w:r>
                </w:p>
              </w:tc>
              <w:tc>
                <w:tcPr>
                  <w:tcW w:w="877"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18"/>
                      <w:szCs w:val="18"/>
                      <w:lang w:val="en-US" w:eastAsia="zh-CN"/>
                    </w:rPr>
                  </w:pPr>
                  <w:r>
                    <w:rPr>
                      <w:rFonts w:hint="eastAsia"/>
                      <w:color w:val="auto"/>
                      <w:sz w:val="18"/>
                      <w:szCs w:val="18"/>
                      <w:lang w:val="en-US" w:eastAsia="zh-CN"/>
                    </w:rPr>
                    <w:t>/</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r>
                    <w:rPr>
                      <w:rFonts w:hint="eastAsia"/>
                      <w:color w:val="auto"/>
                      <w:sz w:val="18"/>
                      <w:szCs w:val="18"/>
                      <w:lang w:val="en-US" w:eastAsia="zh-CN"/>
                    </w:rPr>
                    <w:t>2400</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宋体"/>
                      <w:color w:val="auto"/>
                      <w:sz w:val="18"/>
                      <w:szCs w:val="18"/>
                      <w:lang w:val="en-US" w:eastAsia="zh-CN"/>
                    </w:rPr>
                  </w:pPr>
                  <w:r>
                    <w:rPr>
                      <w:rFonts w:hint="eastAsia"/>
                      <w:color w:val="auto"/>
                      <w:sz w:val="18"/>
                      <w:szCs w:val="18"/>
                      <w:lang w:val="en-US" w:eastAsia="zh-CN"/>
                    </w:rPr>
                    <w:t>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29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rFonts w:hint="eastAsia"/>
                      <w:sz w:val="18"/>
                      <w:szCs w:val="18"/>
                    </w:rPr>
                    <w:t>2</w:t>
                  </w:r>
                </w:p>
              </w:tc>
              <w:tc>
                <w:tcPr>
                  <w:tcW w:w="46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 w:val="18"/>
                      <w:szCs w:val="18"/>
                      <w:lang w:eastAsia="zh-CN"/>
                    </w:rPr>
                  </w:pPr>
                  <w:r>
                    <w:rPr>
                      <w:rFonts w:hint="eastAsia"/>
                      <w:sz w:val="18"/>
                      <w:szCs w:val="18"/>
                      <w:lang w:eastAsia="zh-CN"/>
                    </w:rPr>
                    <w:t>昼间</w:t>
                  </w:r>
                </w:p>
              </w:tc>
              <w:tc>
                <w:tcPr>
                  <w:tcW w:w="626"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sz w:val="18"/>
                      <w:szCs w:val="18"/>
                      <w:lang w:eastAsia="zh-CN"/>
                    </w:rPr>
                  </w:pPr>
                  <w:r>
                    <w:rPr>
                      <w:rFonts w:hint="eastAsia"/>
                      <w:sz w:val="18"/>
                      <w:szCs w:val="18"/>
                    </w:rPr>
                    <w:t>DA00</w:t>
                  </w:r>
                  <w:r>
                    <w:rPr>
                      <w:rFonts w:hint="eastAsia"/>
                      <w:sz w:val="18"/>
                      <w:szCs w:val="18"/>
                      <w:lang w:val="en-US" w:eastAsia="zh-CN"/>
                    </w:rPr>
                    <w:t>1</w:t>
                  </w:r>
                </w:p>
              </w:tc>
              <w:tc>
                <w:tcPr>
                  <w:tcW w:w="990"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rFonts w:hint="eastAsia"/>
                      <w:sz w:val="18"/>
                      <w:szCs w:val="18"/>
                      <w:lang w:eastAsia="zh-CN"/>
                    </w:rPr>
                    <w:t>覆膜</w:t>
                  </w:r>
                  <w:r>
                    <w:rPr>
                      <w:rFonts w:hint="eastAsia"/>
                      <w:sz w:val="18"/>
                      <w:szCs w:val="18"/>
                    </w:rPr>
                    <w:t>排放口</w:t>
                  </w:r>
                </w:p>
              </w:tc>
              <w:tc>
                <w:tcPr>
                  <w:tcW w:w="1005"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sz w:val="18"/>
                      <w:szCs w:val="18"/>
                    </w:rPr>
                    <w:t>一般排放口</w:t>
                  </w:r>
                </w:p>
              </w:tc>
              <w:tc>
                <w:tcPr>
                  <w:tcW w:w="1009"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VOCs</w:t>
                  </w:r>
                </w:p>
              </w:tc>
              <w:tc>
                <w:tcPr>
                  <w:tcW w:w="138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sz w:val="18"/>
                      <w:szCs w:val="18"/>
                    </w:rPr>
                    <w:t>117°</w:t>
                  </w:r>
                  <w:r>
                    <w:rPr>
                      <w:rFonts w:hint="eastAsia"/>
                      <w:sz w:val="18"/>
                      <w:szCs w:val="18"/>
                      <w:lang w:val="en-US" w:eastAsia="zh-CN"/>
                    </w:rPr>
                    <w:t>59′38.960″</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bCs/>
                      <w:kern w:val="0"/>
                      <w:sz w:val="18"/>
                      <w:szCs w:val="18"/>
                      <w:lang w:val="en-US" w:eastAsia="zh-CN"/>
                    </w:rPr>
                  </w:pPr>
                  <w:r>
                    <w:rPr>
                      <w:sz w:val="18"/>
                      <w:szCs w:val="18"/>
                    </w:rPr>
                    <w:t>36°</w:t>
                  </w:r>
                  <w:r>
                    <w:rPr>
                      <w:rFonts w:hint="eastAsia"/>
                      <w:sz w:val="18"/>
                      <w:szCs w:val="18"/>
                      <w:lang w:val="en-US" w:eastAsia="zh-CN"/>
                    </w:rPr>
                    <w:t>40′34.437″</w:t>
                  </w:r>
                </w:p>
              </w:tc>
              <w:tc>
                <w:tcPr>
                  <w:tcW w:w="56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sz w:val="18"/>
                      <w:szCs w:val="18"/>
                    </w:rPr>
                    <w:t>15</w:t>
                  </w: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sz w:val="18"/>
                      <w:szCs w:val="18"/>
                      <w:highlight w:val="none"/>
                    </w:rPr>
                    <w:t>0.</w:t>
                  </w:r>
                  <w:r>
                    <w:rPr>
                      <w:rStyle w:val="99"/>
                      <w:rFonts w:hint="eastAsia"/>
                      <w:kern w:val="0"/>
                      <w:sz w:val="18"/>
                      <w:szCs w:val="18"/>
                      <w:highlight w:val="none"/>
                      <w:lang w:val="en-US" w:eastAsia="zh-CN"/>
                    </w:rPr>
                    <w:t>27</w:t>
                  </w:r>
                </w:p>
              </w:tc>
              <w:tc>
                <w:tcPr>
                  <w:tcW w:w="5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25</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rFonts w:hint="eastAsia"/>
                      <w:sz w:val="18"/>
                      <w:szCs w:val="18"/>
                      <w:lang w:val="en-US" w:eastAsia="zh-CN"/>
                    </w:rPr>
                    <w:t>3000</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FF0000"/>
                      <w:sz w:val="18"/>
                      <w:szCs w:val="18"/>
                    </w:rPr>
                  </w:pPr>
                  <w:r>
                    <w:rPr>
                      <w:rFonts w:hint="eastAsia"/>
                      <w:sz w:val="18"/>
                      <w:szCs w:val="18"/>
                      <w:lang w:val="en-US" w:eastAsia="zh-CN"/>
                    </w:rPr>
                    <w:t>0.108</w:t>
                  </w:r>
                </w:p>
              </w:tc>
              <w:tc>
                <w:tcPr>
                  <w:tcW w:w="9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FF0000"/>
                      <w:sz w:val="18"/>
                      <w:szCs w:val="18"/>
                    </w:rPr>
                  </w:pPr>
                  <w:r>
                    <w:rPr>
                      <w:rFonts w:hint="eastAsia"/>
                      <w:sz w:val="18"/>
                      <w:szCs w:val="18"/>
                      <w:lang w:val="en-US" w:eastAsia="zh-CN"/>
                    </w:rPr>
                    <w:t>15</w:t>
                  </w:r>
                </w:p>
              </w:tc>
              <w:tc>
                <w:tcPr>
                  <w:tcW w:w="87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sz w:val="18"/>
                      <w:szCs w:val="18"/>
                      <w:lang w:val="en-US" w:eastAsia="zh-CN"/>
                    </w:rPr>
                  </w:pPr>
                  <w:r>
                    <w:rPr>
                      <w:rFonts w:hint="eastAsia"/>
                      <w:color w:val="auto"/>
                      <w:sz w:val="18"/>
                      <w:szCs w:val="18"/>
                      <w:lang w:val="en-US" w:eastAsia="zh-CN"/>
                    </w:rPr>
                    <w:t>0.045</w:t>
                  </w:r>
                </w:p>
              </w:tc>
              <w:tc>
                <w:tcPr>
                  <w:tcW w:w="6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sz w:val="18"/>
                      <w:szCs w:val="18"/>
                    </w:rPr>
                  </w:pPr>
                  <w:r>
                    <w:rPr>
                      <w:rFonts w:hint="eastAsia"/>
                      <w:color w:val="auto"/>
                      <w:sz w:val="18"/>
                      <w:szCs w:val="18"/>
                      <w:lang w:val="en-US" w:eastAsia="zh-CN"/>
                    </w:rPr>
                    <w:t>2400</w:t>
                  </w:r>
                </w:p>
              </w:tc>
              <w:tc>
                <w:tcPr>
                  <w:tcW w:w="849"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 w:val="18"/>
                      <w:szCs w:val="18"/>
                      <w:vertAlign w:val="baseline"/>
                      <w:lang w:val="en-US" w:eastAsia="zh-CN"/>
                    </w:rPr>
                  </w:pPr>
                  <w:r>
                    <w:rPr>
                      <w:rFonts w:hint="eastAsia"/>
                      <w:sz w:val="18"/>
                      <w:szCs w:val="18"/>
                      <w:lang w:val="en-US" w:eastAsia="zh-CN"/>
                    </w:rPr>
                    <w:t>6</w:t>
                  </w:r>
                  <w:r>
                    <w:rPr>
                      <w:sz w:val="18"/>
                      <w:szCs w:val="18"/>
                    </w:rPr>
                    <w:t>0mg/m</w:t>
                  </w:r>
                  <w:r>
                    <w:rPr>
                      <w:sz w:val="18"/>
                      <w:szCs w:val="18"/>
                      <w:vertAlign w:val="superscript"/>
                    </w:rPr>
                    <w:t>3</w:t>
                  </w:r>
                  <w:r>
                    <w:rPr>
                      <w:rFonts w:hint="eastAsia"/>
                      <w:sz w:val="18"/>
                      <w:szCs w:val="18"/>
                      <w:vertAlign w:val="baseline"/>
                      <w:lang w:eastAsia="zh-CN"/>
                    </w:rPr>
                    <w:t>；</w:t>
                  </w:r>
                  <w:r>
                    <w:rPr>
                      <w:rFonts w:hint="eastAsia"/>
                      <w:sz w:val="18"/>
                      <w:szCs w:val="18"/>
                      <w:vertAlign w:val="baseline"/>
                      <w:lang w:val="en-US" w:eastAsia="zh-CN"/>
                    </w:rPr>
                    <w:t>3kg/h</w:t>
                  </w:r>
                </w:p>
              </w:tc>
            </w:tr>
          </w:tbl>
          <w:p>
            <w:pPr>
              <w:rPr>
                <w:color w:val="FF0000"/>
              </w:rPr>
            </w:pPr>
          </w:p>
          <w:p>
            <w:pPr>
              <w:rPr>
                <w:rFonts w:hint="eastAsia" w:eastAsia="宋体"/>
                <w:color w:val="FF0000"/>
                <w:lang w:eastAsia="zh-CN"/>
              </w:rPr>
            </w:pPr>
          </w:p>
        </w:tc>
      </w:tr>
    </w:tbl>
    <w:p>
      <w:pPr>
        <w:pStyle w:val="2"/>
        <w:jc w:val="right"/>
        <w:rPr>
          <w:color w:val="FF0000"/>
        </w:rPr>
        <w:sectPr>
          <w:pgSz w:w="16838" w:h="11906" w:orient="landscape"/>
          <w:pgMar w:top="1531" w:right="1701" w:bottom="1531" w:left="1701" w:header="851" w:footer="851" w:gutter="0"/>
          <w:cols w:space="720" w:num="1"/>
          <w:docGrid w:linePitch="312" w:charSpace="0"/>
        </w:sectPr>
      </w:pP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4" w:hRule="atLeast"/>
          <w:jc w:val="center"/>
        </w:trPr>
        <w:tc>
          <w:tcPr>
            <w:tcW w:w="466" w:type="dxa"/>
            <w:tcBorders>
              <w:top w:val="single" w:color="auto" w:sz="4" w:space="0"/>
              <w:left w:val="single" w:color="auto" w:sz="4" w:space="0"/>
              <w:right w:val="single" w:color="auto" w:sz="4" w:space="0"/>
            </w:tcBorders>
            <w:vAlign w:val="center"/>
          </w:tcPr>
          <w:p>
            <w:pPr>
              <w:adjustRightInd w:val="0"/>
              <w:snapToGrid w:val="0"/>
              <w:spacing w:line="420" w:lineRule="exact"/>
              <w:jc w:val="center"/>
              <w:rPr>
                <w:bCs/>
              </w:rPr>
            </w:pPr>
            <w:r>
              <w:rPr>
                <w:bCs/>
              </w:rPr>
              <w:t>运营</w:t>
            </w:r>
          </w:p>
          <w:p>
            <w:pPr>
              <w:adjustRightInd w:val="0"/>
              <w:snapToGrid w:val="0"/>
              <w:spacing w:line="420" w:lineRule="exact"/>
              <w:jc w:val="center"/>
              <w:rPr>
                <w:bCs/>
              </w:rPr>
            </w:pPr>
            <w:r>
              <w:rPr>
                <w:bCs/>
              </w:rPr>
              <w:t>期环</w:t>
            </w:r>
          </w:p>
          <w:p>
            <w:pPr>
              <w:adjustRightInd w:val="0"/>
              <w:snapToGrid w:val="0"/>
              <w:spacing w:line="420" w:lineRule="exact"/>
              <w:jc w:val="center"/>
              <w:rPr>
                <w:bCs/>
              </w:rPr>
            </w:pPr>
            <w:r>
              <w:rPr>
                <w:bCs/>
              </w:rPr>
              <w:t>境影</w:t>
            </w:r>
          </w:p>
          <w:p>
            <w:pPr>
              <w:adjustRightInd w:val="0"/>
              <w:snapToGrid w:val="0"/>
              <w:spacing w:line="420" w:lineRule="exact"/>
              <w:jc w:val="center"/>
              <w:rPr>
                <w:bCs/>
              </w:rPr>
            </w:pPr>
            <w:r>
              <w:rPr>
                <w:bCs/>
              </w:rPr>
              <w:t>响和</w:t>
            </w:r>
          </w:p>
          <w:p>
            <w:pPr>
              <w:adjustRightInd w:val="0"/>
              <w:snapToGrid w:val="0"/>
              <w:spacing w:line="420" w:lineRule="exact"/>
              <w:jc w:val="center"/>
              <w:rPr>
                <w:bCs/>
              </w:rPr>
            </w:pPr>
            <w:r>
              <w:rPr>
                <w:bCs/>
              </w:rPr>
              <w:t>保护</w:t>
            </w:r>
          </w:p>
          <w:p>
            <w:pPr>
              <w:adjustRightInd w:val="0"/>
              <w:snapToGrid w:val="0"/>
              <w:spacing w:line="420" w:lineRule="exact"/>
              <w:jc w:val="center"/>
              <w:rPr>
                <w:bCs/>
                <w:color w:val="FF0000"/>
              </w:rPr>
            </w:pPr>
            <w:r>
              <w:rPr>
                <w:bCs/>
              </w:rPr>
              <w:t>措施</w:t>
            </w:r>
          </w:p>
        </w:tc>
        <w:tc>
          <w:tcPr>
            <w:tcW w:w="8594" w:type="dxa"/>
            <w:tcBorders>
              <w:top w:val="single" w:color="auto" w:sz="4" w:space="0"/>
              <w:left w:val="single" w:color="auto" w:sz="4" w:space="0"/>
              <w:right w:val="single" w:color="auto" w:sz="4" w:space="0"/>
            </w:tcBorders>
          </w:tcPr>
          <w:p>
            <w:pPr>
              <w:pStyle w:val="1040"/>
              <w:adjustRightInd w:val="0"/>
              <w:snapToGrid w:val="0"/>
              <w:spacing w:line="360" w:lineRule="auto"/>
              <w:ind w:firstLine="422"/>
              <w:rPr>
                <w:b/>
                <w:szCs w:val="21"/>
              </w:rPr>
            </w:pPr>
            <w:r>
              <w:rPr>
                <w:b/>
                <w:szCs w:val="21"/>
              </w:rPr>
              <w:t>（三）源强核算过程：</w:t>
            </w:r>
          </w:p>
          <w:p>
            <w:pPr>
              <w:pStyle w:val="379"/>
              <w:ind w:firstLine="422"/>
              <w:rPr>
                <w:b/>
                <w:bCs/>
                <w:sz w:val="21"/>
              </w:rPr>
            </w:pPr>
            <w:r>
              <w:rPr>
                <w:b/>
                <w:bCs/>
                <w:sz w:val="21"/>
                <w:lang w:val="en-US"/>
              </w:rPr>
              <w:t>1、</w:t>
            </w:r>
            <w:r>
              <w:rPr>
                <w:b/>
                <w:bCs/>
                <w:sz w:val="21"/>
              </w:rPr>
              <w:t>污染物排放情况核算</w:t>
            </w:r>
          </w:p>
          <w:p>
            <w:pPr>
              <w:adjustRightInd w:val="0"/>
              <w:snapToGrid w:val="0"/>
              <w:spacing w:line="360" w:lineRule="auto"/>
              <w:ind w:firstLine="420" w:firstLineChars="200"/>
              <w:rPr>
                <w:color w:val="auto"/>
              </w:rPr>
            </w:pPr>
            <w:r>
              <w:rPr>
                <w:bCs/>
              </w:rPr>
              <w:t>本项目大</w:t>
            </w:r>
            <w:r>
              <w:rPr>
                <w:bCs/>
                <w:color w:val="auto"/>
              </w:rPr>
              <w:t>气污染物</w:t>
            </w:r>
            <w:r>
              <w:rPr>
                <w:rFonts w:hint="eastAsia"/>
                <w:bCs/>
                <w:color w:val="auto"/>
                <w:lang w:eastAsia="zh-CN"/>
              </w:rPr>
              <w:t>分为有组织废气及无组织废气，其中有组织废气</w:t>
            </w:r>
            <w:r>
              <w:rPr>
                <w:bCs/>
                <w:color w:val="auto"/>
              </w:rPr>
              <w:t>主要为</w:t>
            </w:r>
            <w:r>
              <w:rPr>
                <w:rFonts w:hint="eastAsia"/>
                <w:bCs/>
                <w:color w:val="auto"/>
                <w:lang w:eastAsia="zh-CN"/>
              </w:rPr>
              <w:t>覆膜</w:t>
            </w:r>
            <w:r>
              <w:rPr>
                <w:bCs/>
                <w:color w:val="auto"/>
              </w:rPr>
              <w:t>过程</w:t>
            </w:r>
            <w:r>
              <w:rPr>
                <w:rFonts w:hint="eastAsia"/>
                <w:bCs/>
                <w:color w:val="auto"/>
                <w:lang w:eastAsia="zh-CN"/>
              </w:rPr>
              <w:t>集气罩收集</w:t>
            </w:r>
            <w:r>
              <w:rPr>
                <w:bCs/>
                <w:color w:val="auto"/>
              </w:rPr>
              <w:t>的VOCs，</w:t>
            </w:r>
            <w:r>
              <w:rPr>
                <w:rFonts w:hint="eastAsia"/>
                <w:bCs/>
                <w:color w:val="auto"/>
                <w:lang w:eastAsia="zh-CN"/>
              </w:rPr>
              <w:t>蒸发器液化石油气燃烧产生的颗粒物、</w:t>
            </w:r>
            <w:r>
              <w:rPr>
                <w:rFonts w:hint="eastAsia"/>
                <w:bCs/>
                <w:color w:val="auto"/>
                <w:lang w:val="en-US" w:eastAsia="zh-CN"/>
              </w:rPr>
              <w:t>SO</w:t>
            </w:r>
            <w:r>
              <w:rPr>
                <w:rFonts w:hint="eastAsia"/>
                <w:bCs/>
                <w:color w:val="auto"/>
                <w:vertAlign w:val="subscript"/>
                <w:lang w:val="en-US" w:eastAsia="zh-CN"/>
              </w:rPr>
              <w:t>2</w:t>
            </w:r>
            <w:r>
              <w:rPr>
                <w:rFonts w:hint="eastAsia"/>
                <w:bCs/>
                <w:color w:val="auto"/>
                <w:vertAlign w:val="baseline"/>
                <w:lang w:val="en-US" w:eastAsia="zh-CN"/>
              </w:rPr>
              <w:t>、NO</w:t>
            </w:r>
            <w:r>
              <w:rPr>
                <w:rFonts w:hint="eastAsia"/>
                <w:bCs/>
                <w:color w:val="auto"/>
                <w:vertAlign w:val="subscript"/>
                <w:lang w:val="en-US" w:eastAsia="zh-CN"/>
              </w:rPr>
              <w:t>x</w:t>
            </w:r>
            <w:r>
              <w:rPr>
                <w:rFonts w:hint="eastAsia"/>
                <w:bCs/>
                <w:color w:val="auto"/>
                <w:vertAlign w:val="baseline"/>
                <w:lang w:val="en-US" w:eastAsia="zh-CN"/>
              </w:rPr>
              <w:t>、林格曼黑度</w:t>
            </w:r>
            <w:r>
              <w:rPr>
                <w:rFonts w:hint="eastAsia"/>
                <w:color w:val="auto"/>
                <w:lang w:eastAsia="zh-CN"/>
              </w:rPr>
              <w:t>；无组织废气主要为</w:t>
            </w:r>
            <w:r>
              <w:rPr>
                <w:rFonts w:hint="eastAsia"/>
                <w:color w:val="auto"/>
              </w:rPr>
              <w:t>集气罩未收集的VOCs</w:t>
            </w:r>
            <w:r>
              <w:rPr>
                <w:color w:val="auto"/>
              </w:rPr>
              <w:t>。</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Fonts w:hint="eastAsia" w:eastAsia="宋体"/>
                <w:sz w:val="21"/>
                <w:szCs w:val="21"/>
                <w:lang w:eastAsia="zh-CN"/>
              </w:rPr>
            </w:pPr>
            <w:r>
              <w:rPr>
                <w:rFonts w:hint="eastAsia"/>
                <w:color w:val="auto"/>
                <w:sz w:val="21"/>
                <w:szCs w:val="21"/>
                <w:lang w:eastAsia="zh-CN"/>
              </w:rPr>
              <w:t>覆膜</w:t>
            </w:r>
            <w:r>
              <w:rPr>
                <w:color w:val="auto"/>
                <w:sz w:val="21"/>
                <w:szCs w:val="21"/>
              </w:rPr>
              <w:t>过程产生的VOCs</w:t>
            </w:r>
            <w:r>
              <w:rPr>
                <w:rFonts w:hint="eastAsia"/>
                <w:color w:val="auto"/>
                <w:sz w:val="21"/>
                <w:szCs w:val="21"/>
              </w:rPr>
              <w:t>集气罩收集</w:t>
            </w:r>
            <w:r>
              <w:rPr>
                <w:rFonts w:hint="eastAsia"/>
                <w:color w:val="auto"/>
                <w:sz w:val="21"/>
                <w:szCs w:val="21"/>
                <w:lang w:eastAsia="zh-CN"/>
              </w:rPr>
              <w:t>后通过两</w:t>
            </w:r>
            <w:r>
              <w:rPr>
                <w:rFonts w:hint="eastAsia"/>
                <w:color w:val="auto"/>
                <w:sz w:val="21"/>
                <w:szCs w:val="21"/>
              </w:rPr>
              <w:t>级活性炭吸附装置</w:t>
            </w:r>
            <w:r>
              <w:rPr>
                <w:color w:val="auto"/>
                <w:sz w:val="21"/>
                <w:szCs w:val="21"/>
              </w:rPr>
              <w:t>处理</w:t>
            </w:r>
            <w:r>
              <w:rPr>
                <w:rFonts w:hint="eastAsia"/>
                <w:color w:val="auto"/>
                <w:sz w:val="21"/>
                <w:szCs w:val="21"/>
                <w:lang w:eastAsia="zh-CN"/>
              </w:rPr>
              <w:t>后经</w:t>
            </w:r>
            <w:r>
              <w:rPr>
                <w:color w:val="auto"/>
                <w:sz w:val="21"/>
                <w:szCs w:val="21"/>
              </w:rPr>
              <w:t>15mDA001排气筒有组织排放；</w:t>
            </w:r>
            <w:r>
              <w:rPr>
                <w:rFonts w:hint="eastAsia"/>
                <w:color w:val="auto"/>
                <w:sz w:val="21"/>
                <w:szCs w:val="21"/>
                <w:lang w:eastAsia="zh-CN"/>
              </w:rPr>
              <w:t>电气两用蒸发器配套建设低氮燃烧器，液化石油气燃烧</w:t>
            </w:r>
            <w:r>
              <w:rPr>
                <w:rFonts w:hint="eastAsia"/>
                <w:sz w:val="21"/>
                <w:szCs w:val="21"/>
              </w:rPr>
              <w:t>产生的</w:t>
            </w:r>
            <w:r>
              <w:rPr>
                <w:rFonts w:hint="eastAsia"/>
                <w:sz w:val="21"/>
                <w:szCs w:val="21"/>
                <w:lang w:eastAsia="zh-CN"/>
              </w:rPr>
              <w:t>颗粒物、</w:t>
            </w:r>
            <w:r>
              <w:rPr>
                <w:rFonts w:hint="eastAsia"/>
                <w:bCs/>
                <w:color w:val="auto"/>
                <w:sz w:val="21"/>
                <w:szCs w:val="21"/>
                <w:lang w:val="en-US" w:eastAsia="zh-CN"/>
              </w:rPr>
              <w:t>SO</w:t>
            </w:r>
            <w:r>
              <w:rPr>
                <w:rFonts w:hint="eastAsia"/>
                <w:bCs/>
                <w:color w:val="auto"/>
                <w:sz w:val="21"/>
                <w:szCs w:val="21"/>
                <w:vertAlign w:val="subscript"/>
                <w:lang w:val="en-US" w:eastAsia="zh-CN"/>
              </w:rPr>
              <w:t>2</w:t>
            </w:r>
            <w:r>
              <w:rPr>
                <w:rFonts w:hint="eastAsia"/>
                <w:bCs/>
                <w:color w:val="auto"/>
                <w:sz w:val="21"/>
                <w:szCs w:val="21"/>
                <w:vertAlign w:val="baseline"/>
                <w:lang w:val="en-US" w:eastAsia="zh-CN"/>
              </w:rPr>
              <w:t>、NO</w:t>
            </w:r>
            <w:r>
              <w:rPr>
                <w:rFonts w:hint="eastAsia"/>
                <w:bCs/>
                <w:color w:val="auto"/>
                <w:sz w:val="21"/>
                <w:szCs w:val="21"/>
                <w:vertAlign w:val="subscript"/>
                <w:lang w:val="en-US" w:eastAsia="zh-CN"/>
              </w:rPr>
              <w:t>x</w:t>
            </w:r>
            <w:r>
              <w:rPr>
                <w:rFonts w:hint="eastAsia"/>
                <w:sz w:val="21"/>
                <w:szCs w:val="21"/>
                <w:lang w:eastAsia="zh-CN"/>
              </w:rPr>
              <w:t>、林格曼黑度全部收集后经</w:t>
            </w:r>
            <w:r>
              <w:rPr>
                <w:rFonts w:hint="eastAsia"/>
                <w:sz w:val="21"/>
                <w:szCs w:val="21"/>
                <w:lang w:val="en-US" w:eastAsia="zh-CN"/>
              </w:rPr>
              <w:t>15m</w:t>
            </w:r>
            <w:r>
              <w:rPr>
                <w:sz w:val="21"/>
                <w:szCs w:val="21"/>
              </w:rPr>
              <w:t>DA002排气筒有组织排放</w:t>
            </w:r>
            <w:r>
              <w:rPr>
                <w:rFonts w:hint="eastAsia"/>
                <w:sz w:val="21"/>
                <w:szCs w:val="21"/>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sz w:val="21"/>
                <w:szCs w:val="21"/>
              </w:rPr>
            </w:pPr>
            <w:r>
              <w:rPr>
                <w:sz w:val="21"/>
                <w:szCs w:val="21"/>
              </w:rPr>
              <w:t>（1）有组织</w:t>
            </w:r>
            <w:r>
              <w:rPr>
                <w:rFonts w:hint="eastAsia"/>
                <w:sz w:val="21"/>
                <w:szCs w:val="21"/>
              </w:rPr>
              <w:t>废气</w:t>
            </w:r>
          </w:p>
          <w:p>
            <w:pPr>
              <w:pStyle w:val="2"/>
              <w:adjustRightInd w:val="0"/>
              <w:snapToGrid w:val="0"/>
              <w:spacing w:line="360" w:lineRule="auto"/>
              <w:ind w:left="0" w:leftChars="0" w:firstLine="420" w:firstLineChars="200"/>
              <w:rPr>
                <w:rFonts w:hint="default"/>
                <w:color w:val="auto"/>
                <w:sz w:val="21"/>
                <w:szCs w:val="21"/>
                <w:lang w:val="en-US" w:eastAsia="zh-CN"/>
              </w:rPr>
            </w:pPr>
            <w:r>
              <w:rPr>
                <w:rFonts w:hint="eastAsia"/>
                <w:color w:val="auto"/>
                <w:sz w:val="21"/>
                <w:szCs w:val="21"/>
                <w:lang w:val="en-US" w:eastAsia="zh-CN"/>
              </w:rPr>
              <w:t>1）覆膜工序产生的VOCs</w:t>
            </w:r>
          </w:p>
          <w:p>
            <w:pPr>
              <w:spacing w:line="360" w:lineRule="auto"/>
              <w:ind w:firstLine="420" w:firstLineChars="200"/>
            </w:pPr>
            <w:r>
              <w:rPr>
                <w:rFonts w:hint="eastAsia"/>
                <w:color w:val="auto"/>
                <w:sz w:val="21"/>
                <w:szCs w:val="21"/>
                <w:lang w:eastAsia="zh-CN"/>
              </w:rPr>
              <w:t>覆膜工序使用预涂膜，表面预涂</w:t>
            </w:r>
            <w:r>
              <w:rPr>
                <w:rFonts w:hint="eastAsia"/>
                <w:color w:val="auto"/>
                <w:sz w:val="21"/>
                <w:szCs w:val="21"/>
                <w:lang w:val="en-US" w:eastAsia="zh-CN"/>
              </w:rPr>
              <w:t>EVA</w:t>
            </w:r>
            <w:r>
              <w:rPr>
                <w:rFonts w:hint="eastAsia"/>
                <w:color w:val="auto"/>
                <w:sz w:val="21"/>
                <w:szCs w:val="21"/>
                <w:lang w:eastAsia="zh-CN"/>
              </w:rPr>
              <w:t>热熔胶，覆膜工序需使用覆膜机将预涂膜覆在印刷好的板纸表面，覆膜过程需使用电加热，加热温度为</w:t>
            </w:r>
            <w:r>
              <w:rPr>
                <w:rFonts w:hint="eastAsia"/>
                <w:color w:val="auto"/>
                <w:sz w:val="21"/>
                <w:szCs w:val="21"/>
                <w:lang w:val="en-US" w:eastAsia="zh-CN"/>
              </w:rPr>
              <w:t>130℃，加热过程会产生少量VOCs。</w:t>
            </w:r>
            <w:r>
              <w:rPr>
                <w:spacing w:val="0"/>
                <w:sz w:val="21"/>
                <w:szCs w:val="21"/>
              </w:rPr>
              <w:t>EVA</w:t>
            </w:r>
            <w:r>
              <w:rPr>
                <w:rFonts w:hint="eastAsia"/>
                <w:spacing w:val="0"/>
                <w:sz w:val="21"/>
                <w:szCs w:val="21"/>
                <w:lang w:eastAsia="zh-CN"/>
              </w:rPr>
              <w:t>热熔胶</w:t>
            </w:r>
            <w:r>
              <w:rPr>
                <w:spacing w:val="0"/>
                <w:sz w:val="21"/>
                <w:szCs w:val="21"/>
              </w:rPr>
              <w:t>VOCs</w:t>
            </w:r>
            <w:r>
              <w:rPr>
                <w:rFonts w:hint="eastAsia"/>
                <w:spacing w:val="0"/>
                <w:sz w:val="21"/>
                <w:szCs w:val="21"/>
              </w:rPr>
              <w:t>含量按照</w:t>
            </w:r>
            <w:r>
              <w:rPr>
                <w:rFonts w:hint="eastAsia"/>
                <w:sz w:val="21"/>
                <w:szCs w:val="21"/>
              </w:rPr>
              <w:t>《胶粘剂挥发性有机化合物限量》（</w:t>
            </w:r>
            <w:r>
              <w:rPr>
                <w:sz w:val="21"/>
                <w:szCs w:val="21"/>
              </w:rPr>
              <w:t>GB33372-2020</w:t>
            </w:r>
            <w:r>
              <w:rPr>
                <w:rFonts w:hint="eastAsia"/>
                <w:sz w:val="21"/>
                <w:szCs w:val="21"/>
              </w:rPr>
              <w:t>）表</w:t>
            </w:r>
            <w:r>
              <w:rPr>
                <w:sz w:val="21"/>
                <w:szCs w:val="21"/>
              </w:rPr>
              <w:t>3</w:t>
            </w:r>
            <w:r>
              <w:rPr>
                <w:rFonts w:hint="eastAsia"/>
                <w:sz w:val="21"/>
                <w:szCs w:val="21"/>
              </w:rPr>
              <w:t>中热塑类本体型胶粘剂</w:t>
            </w:r>
            <w:r>
              <w:rPr>
                <w:sz w:val="21"/>
                <w:szCs w:val="21"/>
              </w:rPr>
              <w:t>VOC</w:t>
            </w:r>
            <w:r>
              <w:rPr>
                <w:rFonts w:hint="eastAsia"/>
                <w:sz w:val="21"/>
                <w:szCs w:val="21"/>
              </w:rPr>
              <w:t>含量限量要求（≤</w:t>
            </w:r>
            <w:r>
              <w:rPr>
                <w:sz w:val="21"/>
                <w:szCs w:val="21"/>
              </w:rPr>
              <w:t>50g/kg</w:t>
            </w:r>
            <w:r>
              <w:rPr>
                <w:rFonts w:hint="eastAsia"/>
                <w:sz w:val="21"/>
                <w:szCs w:val="21"/>
              </w:rPr>
              <w:t>）</w:t>
            </w:r>
            <w:r>
              <w:rPr>
                <w:rFonts w:hint="eastAsia"/>
                <w:sz w:val="21"/>
                <w:szCs w:val="21"/>
                <w:lang w:eastAsia="zh-CN"/>
              </w:rPr>
              <w:t>计算，即</w:t>
            </w:r>
            <w:r>
              <w:rPr>
                <w:rFonts w:hint="eastAsia"/>
                <w:sz w:val="21"/>
                <w:szCs w:val="21"/>
                <w:lang w:val="en-US" w:eastAsia="zh-CN"/>
              </w:rPr>
              <w:t>EVA热熔胶中VOCs含量按50g/kg计。</w:t>
            </w:r>
            <w:r>
              <w:rPr>
                <w:rFonts w:hint="eastAsia"/>
                <w:color w:val="auto"/>
                <w:sz w:val="21"/>
                <w:szCs w:val="21"/>
                <w:lang w:val="en-US" w:eastAsia="zh-CN"/>
              </w:rPr>
              <w:t>本项目预涂膜用量为20t/a，根据厂家提供的BOPP预涂膜MSDS报告（见附件），预涂膜中EVA热熔胶含量为30%~40%，本次环评按照40%计，本项目EVA</w:t>
            </w:r>
            <w:r>
              <w:rPr>
                <w:rFonts w:hint="eastAsia"/>
                <w:color w:val="auto"/>
                <w:sz w:val="21"/>
                <w:szCs w:val="21"/>
                <w:highlight w:val="none"/>
                <w:lang w:val="en-US" w:eastAsia="zh-CN"/>
              </w:rPr>
              <w:t>热熔胶用量为8t/a，则覆膜过程VOCs产生量为0.4t/a，</w:t>
            </w:r>
            <w:r>
              <w:rPr>
                <w:rFonts w:hint="eastAsia"/>
                <w:color w:val="auto"/>
                <w:sz w:val="21"/>
                <w:szCs w:val="21"/>
                <w:highlight w:val="none"/>
                <w:vertAlign w:val="baseline"/>
                <w:lang w:val="en-US" w:eastAsia="zh-CN"/>
              </w:rPr>
              <w:t>经集气罩（集气效率90%）收集，有组织VOCs收集量为0.36t/a，</w:t>
            </w:r>
            <w:r>
              <w:rPr>
                <w:rFonts w:hint="eastAsia"/>
                <w:color w:val="auto"/>
                <w:sz w:val="21"/>
                <w:szCs w:val="21"/>
                <w:highlight w:val="none"/>
                <w:lang w:val="en-US" w:eastAsia="zh-CN"/>
              </w:rPr>
              <w:t>产生浓度为50mg/m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，产生速率0.15kg/h，进入两级活性炭吸附装置（风机风量3000m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/h，VOCs处理效率70%）处理后通过DA001排气筒排放。覆膜工序年运行2400h，则覆膜工序VOCs排放量为0.108t/a，排放速率0.045kg/h，排放浓度15mg/m</w:t>
            </w:r>
            <w:r>
              <w:rPr>
                <w:rFonts w:hint="eastAsia"/>
                <w:color w:val="auto"/>
                <w:sz w:val="21"/>
                <w:szCs w:val="21"/>
                <w:highlight w:val="none"/>
                <w:vertAlign w:val="superscript"/>
                <w:lang w:val="en-US" w:eastAsia="zh-CN"/>
              </w:rPr>
              <w:t>3</w:t>
            </w:r>
            <w:r>
              <w:rPr>
                <w:rFonts w:hint="eastAsia"/>
                <w:color w:val="auto"/>
                <w:sz w:val="21"/>
                <w:szCs w:val="21"/>
                <w:highlight w:val="none"/>
                <w:vertAlign w:val="baseline"/>
                <w:lang w:val="en-US" w:eastAsia="zh-CN"/>
              </w:rPr>
              <w:t>。覆膜工序有组织VOCs排放满足</w:t>
            </w:r>
            <w:r>
              <w:rPr>
                <w:rFonts w:hint="eastAsia"/>
                <w:color w:val="000000"/>
                <w:sz w:val="21"/>
                <w:szCs w:val="21"/>
              </w:rPr>
              <w:t>《挥发性有机物排放标准第</w:t>
            </w:r>
            <w:r>
              <w:rPr>
                <w:rFonts w:hint="eastAsia"/>
                <w:color w:val="000000"/>
                <w:sz w:val="21"/>
                <w:szCs w:val="21"/>
                <w:lang w:val="en-US" w:eastAsia="zh-CN"/>
              </w:rPr>
              <w:t>4</w:t>
            </w:r>
            <w:r>
              <w:rPr>
                <w:rFonts w:hint="eastAsia"/>
                <w:color w:val="000000"/>
                <w:sz w:val="21"/>
                <w:szCs w:val="21"/>
              </w:rPr>
              <w:t>部分：</w:t>
            </w:r>
            <w:r>
              <w:rPr>
                <w:rFonts w:hint="eastAsia"/>
                <w:color w:val="000000"/>
                <w:sz w:val="21"/>
                <w:szCs w:val="21"/>
                <w:lang w:eastAsia="zh-CN"/>
              </w:rPr>
              <w:t>印刷</w:t>
            </w:r>
            <w:r>
              <w:rPr>
                <w:rFonts w:hint="eastAsia"/>
                <w:color w:val="000000"/>
                <w:sz w:val="21"/>
                <w:szCs w:val="21"/>
              </w:rPr>
              <w:t>业》（DB37/2801.</w:t>
            </w:r>
            <w:r>
              <w:rPr>
                <w:rFonts w:hint="eastAsia"/>
                <w:color w:val="000000"/>
                <w:sz w:val="21"/>
                <w:szCs w:val="21"/>
                <w:lang w:val="en-US" w:eastAsia="zh-CN"/>
              </w:rPr>
              <w:t>4</w:t>
            </w:r>
            <w:r>
              <w:rPr>
                <w:rFonts w:hint="eastAsia"/>
                <w:color w:val="000000"/>
                <w:sz w:val="21"/>
                <w:szCs w:val="21"/>
              </w:rPr>
              <w:t>—201</w:t>
            </w:r>
            <w:r>
              <w:rPr>
                <w:rFonts w:hint="eastAsia"/>
                <w:color w:val="000000"/>
                <w:sz w:val="21"/>
                <w:szCs w:val="21"/>
                <w:lang w:val="en-US" w:eastAsia="zh-CN"/>
              </w:rPr>
              <w:t>7</w:t>
            </w:r>
            <w:r>
              <w:rPr>
                <w:rFonts w:hint="eastAsia"/>
                <w:color w:val="000000"/>
                <w:sz w:val="21"/>
                <w:szCs w:val="21"/>
              </w:rPr>
              <w:t>）表</w:t>
            </w:r>
            <w:r>
              <w:rPr>
                <w:rFonts w:hint="eastAsia"/>
                <w:color w:val="000000"/>
                <w:sz w:val="21"/>
                <w:szCs w:val="21"/>
                <w:lang w:val="en-US" w:eastAsia="zh-CN"/>
              </w:rPr>
              <w:t>2</w:t>
            </w:r>
            <w:r>
              <w:rPr>
                <w:rFonts w:hint="eastAsia"/>
                <w:color w:val="000000"/>
                <w:sz w:val="21"/>
                <w:szCs w:val="21"/>
              </w:rPr>
              <w:t>中</w:t>
            </w:r>
            <w:r>
              <w:rPr>
                <w:rFonts w:hint="eastAsia"/>
                <w:color w:val="000000"/>
                <w:sz w:val="21"/>
                <w:szCs w:val="21"/>
                <w:lang w:val="en-US" w:eastAsia="zh-CN"/>
              </w:rPr>
              <w:t>VOCs</w:t>
            </w:r>
            <w:r>
              <w:rPr>
                <w:rFonts w:hint="eastAsia"/>
                <w:color w:val="000000"/>
                <w:sz w:val="21"/>
                <w:szCs w:val="21"/>
              </w:rPr>
              <w:t>排放限值要求（VOCs：</w:t>
            </w:r>
            <w:r>
              <w:rPr>
                <w:rFonts w:hint="eastAsia"/>
                <w:color w:val="000000"/>
                <w:sz w:val="21"/>
                <w:szCs w:val="21"/>
                <w:lang w:val="en-US" w:eastAsia="zh-CN"/>
              </w:rPr>
              <w:t>5</w:t>
            </w:r>
            <w:r>
              <w:rPr>
                <w:rFonts w:hint="eastAsia"/>
                <w:color w:val="000000"/>
                <w:sz w:val="21"/>
                <w:szCs w:val="21"/>
              </w:rPr>
              <w:t>0mg/m</w:t>
            </w:r>
            <w:r>
              <w:rPr>
                <w:rFonts w:hint="eastAsia"/>
                <w:color w:val="000000"/>
                <w:sz w:val="21"/>
                <w:szCs w:val="21"/>
                <w:vertAlign w:val="superscript"/>
              </w:rPr>
              <w:t>3</w:t>
            </w:r>
            <w:r>
              <w:rPr>
                <w:rFonts w:hint="eastAsia"/>
                <w:color w:val="000000"/>
                <w:sz w:val="21"/>
                <w:szCs w:val="21"/>
              </w:rPr>
              <w:t>、</w:t>
            </w:r>
            <w:r>
              <w:rPr>
                <w:rFonts w:hint="eastAsia"/>
                <w:color w:val="000000"/>
                <w:sz w:val="21"/>
                <w:szCs w:val="21"/>
                <w:lang w:val="en-US" w:eastAsia="zh-CN"/>
              </w:rPr>
              <w:t>1.5</w:t>
            </w:r>
            <w:r>
              <w:rPr>
                <w:rFonts w:hint="eastAsia"/>
                <w:color w:val="000000"/>
                <w:sz w:val="21"/>
                <w:szCs w:val="21"/>
              </w:rPr>
              <w:t>kg/h）</w:t>
            </w:r>
            <w:r>
              <w:rPr>
                <w:rFonts w:hint="eastAsia"/>
                <w:color w:val="000000"/>
                <w:sz w:val="21"/>
                <w:szCs w:val="21"/>
                <w:lang w:eastAsia="zh-CN"/>
              </w:rPr>
              <w:t>。</w:t>
            </w:r>
          </w:p>
          <w:p>
            <w:pPr>
              <w:spacing w:line="360" w:lineRule="auto"/>
              <w:ind w:firstLine="420" w:firstLineChars="200"/>
              <w:rPr>
                <w:rFonts w:hint="eastAsia" w:eastAsia="宋体"/>
                <w:lang w:val="en-US" w:eastAsia="zh-CN"/>
              </w:rPr>
            </w:pPr>
            <w:r>
              <w:rPr>
                <w:rFonts w:hint="eastAsia"/>
                <w:lang w:val="en-US" w:eastAsia="zh-CN"/>
              </w:rPr>
              <w:t>2）医用级电气两用蒸发器液化石油气燃烧产生的</w:t>
            </w:r>
            <w:r>
              <w:rPr>
                <w:rFonts w:hint="eastAsia"/>
                <w:sz w:val="21"/>
                <w:szCs w:val="21"/>
                <w:lang w:eastAsia="zh-CN"/>
              </w:rPr>
              <w:t>颗粒物、</w:t>
            </w:r>
            <w:r>
              <w:rPr>
                <w:rFonts w:hint="eastAsia"/>
                <w:bCs/>
                <w:color w:val="auto"/>
                <w:sz w:val="21"/>
                <w:szCs w:val="21"/>
                <w:lang w:val="en-US" w:eastAsia="zh-CN"/>
              </w:rPr>
              <w:t>SO</w:t>
            </w:r>
            <w:r>
              <w:rPr>
                <w:rFonts w:hint="eastAsia"/>
                <w:bCs/>
                <w:color w:val="auto"/>
                <w:sz w:val="21"/>
                <w:szCs w:val="21"/>
                <w:vertAlign w:val="subscript"/>
                <w:lang w:val="en-US" w:eastAsia="zh-CN"/>
              </w:rPr>
              <w:t>2</w:t>
            </w:r>
            <w:r>
              <w:rPr>
                <w:rFonts w:hint="eastAsia"/>
                <w:bCs/>
                <w:color w:val="auto"/>
                <w:sz w:val="21"/>
                <w:szCs w:val="21"/>
                <w:vertAlign w:val="baseline"/>
                <w:lang w:val="en-US" w:eastAsia="zh-CN"/>
              </w:rPr>
              <w:t>、NO</w:t>
            </w:r>
            <w:r>
              <w:rPr>
                <w:rFonts w:hint="eastAsia"/>
                <w:bCs/>
                <w:color w:val="auto"/>
                <w:sz w:val="21"/>
                <w:szCs w:val="21"/>
                <w:vertAlign w:val="subscript"/>
                <w:lang w:val="en-US" w:eastAsia="zh-CN"/>
              </w:rPr>
              <w:t>x</w:t>
            </w:r>
            <w:r>
              <w:rPr>
                <w:rFonts w:hint="eastAsia"/>
                <w:sz w:val="21"/>
                <w:szCs w:val="21"/>
                <w:lang w:eastAsia="zh-CN"/>
              </w:rPr>
              <w:t>、林格曼黑度</w:t>
            </w:r>
          </w:p>
          <w:p>
            <w:pPr>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本项目</w:t>
            </w:r>
            <w:r>
              <w:rPr>
                <w:rFonts w:hint="eastAsia" w:cs="Times New Roman"/>
                <w:sz w:val="21"/>
                <w:szCs w:val="21"/>
                <w:lang w:eastAsia="zh-CN"/>
              </w:rPr>
              <w:t>医用级电气两用蒸发器使用液化石油气作为燃料，燃烧时会产生颗粒物、</w:t>
            </w:r>
            <w:r>
              <w:rPr>
                <w:rFonts w:hint="eastAsia"/>
                <w:bCs/>
                <w:color w:val="auto"/>
                <w:sz w:val="21"/>
                <w:szCs w:val="21"/>
                <w:lang w:val="en-US" w:eastAsia="zh-CN"/>
              </w:rPr>
              <w:t>SO</w:t>
            </w:r>
            <w:r>
              <w:rPr>
                <w:rFonts w:hint="eastAsia"/>
                <w:bCs/>
                <w:color w:val="auto"/>
                <w:sz w:val="21"/>
                <w:szCs w:val="21"/>
                <w:vertAlign w:val="subscript"/>
                <w:lang w:val="en-US" w:eastAsia="zh-CN"/>
              </w:rPr>
              <w:t>2</w:t>
            </w:r>
            <w:r>
              <w:rPr>
                <w:rFonts w:hint="eastAsia"/>
                <w:bCs/>
                <w:color w:val="auto"/>
                <w:sz w:val="21"/>
                <w:szCs w:val="21"/>
                <w:vertAlign w:val="baseline"/>
                <w:lang w:val="en-US" w:eastAsia="zh-CN"/>
              </w:rPr>
              <w:t>、NO</w:t>
            </w:r>
            <w:r>
              <w:rPr>
                <w:rFonts w:hint="eastAsia"/>
                <w:bCs/>
                <w:color w:val="auto"/>
                <w:sz w:val="21"/>
                <w:szCs w:val="21"/>
                <w:vertAlign w:val="subscript"/>
                <w:lang w:val="en-US" w:eastAsia="zh-CN"/>
              </w:rPr>
              <w:t>x</w:t>
            </w:r>
            <w:r>
              <w:rPr>
                <w:rFonts w:hint="eastAsia"/>
                <w:sz w:val="21"/>
                <w:szCs w:val="21"/>
                <w:lang w:eastAsia="zh-CN"/>
              </w:rPr>
              <w:t>、林格曼黑度。</w:t>
            </w:r>
            <w:r>
              <w:rPr>
                <w:rFonts w:hint="eastAsia" w:cs="Times New Roman"/>
                <w:sz w:val="21"/>
                <w:szCs w:val="21"/>
                <w:lang w:eastAsia="zh-CN"/>
              </w:rPr>
              <w:t>颗粒物、</w:t>
            </w:r>
            <w:r>
              <w:rPr>
                <w:rFonts w:hint="eastAsia"/>
                <w:bCs/>
                <w:color w:val="auto"/>
                <w:sz w:val="21"/>
                <w:szCs w:val="21"/>
                <w:lang w:val="en-US" w:eastAsia="zh-CN"/>
              </w:rPr>
              <w:t>SO</w:t>
            </w:r>
            <w:r>
              <w:rPr>
                <w:rFonts w:hint="eastAsia"/>
                <w:bCs/>
                <w:color w:val="auto"/>
                <w:sz w:val="21"/>
                <w:szCs w:val="21"/>
                <w:vertAlign w:val="subscript"/>
                <w:lang w:val="en-US" w:eastAsia="zh-CN"/>
              </w:rPr>
              <w:t>2</w:t>
            </w:r>
            <w:r>
              <w:rPr>
                <w:rFonts w:hint="eastAsia"/>
                <w:bCs/>
                <w:color w:val="auto"/>
                <w:sz w:val="21"/>
                <w:szCs w:val="21"/>
                <w:vertAlign w:val="baseline"/>
                <w:lang w:val="en-US" w:eastAsia="zh-CN"/>
              </w:rPr>
              <w:t>、NO</w:t>
            </w:r>
            <w:r>
              <w:rPr>
                <w:rFonts w:hint="eastAsia"/>
                <w:bCs/>
                <w:color w:val="auto"/>
                <w:sz w:val="21"/>
                <w:szCs w:val="21"/>
                <w:vertAlign w:val="subscript"/>
                <w:lang w:val="en-US" w:eastAsia="zh-CN"/>
              </w:rPr>
              <w:t>x</w:t>
            </w:r>
            <w:r>
              <w:rPr>
                <w:rFonts w:hint="eastAsia"/>
                <w:bCs/>
                <w:color w:val="auto"/>
                <w:sz w:val="21"/>
                <w:szCs w:val="21"/>
                <w:vertAlign w:val="baseline"/>
                <w:lang w:val="en-US" w:eastAsia="zh-CN"/>
              </w:rPr>
              <w:t>产污系数引用《</w:t>
            </w:r>
            <w:r>
              <w:rPr>
                <w:rFonts w:hint="default" w:ascii="Times New Roman" w:hAnsi="Times New Roman" w:cs="Times New Roman"/>
                <w:sz w:val="21"/>
                <w:szCs w:val="21"/>
              </w:rPr>
              <w:t>社会区域类登记培训教材</w:t>
            </w:r>
            <w:r>
              <w:rPr>
                <w:rFonts w:hint="eastAsia"/>
                <w:bCs/>
                <w:color w:val="auto"/>
                <w:sz w:val="21"/>
                <w:szCs w:val="21"/>
                <w:vertAlign w:val="baseline"/>
                <w:lang w:val="en-US" w:eastAsia="zh-CN"/>
              </w:rPr>
              <w:t>》</w:t>
            </w:r>
            <w:r>
              <w:rPr>
                <w:rFonts w:hint="default" w:ascii="Times New Roman" w:hAnsi="Times New Roman" w:cs="Times New Roman"/>
                <w:sz w:val="21"/>
                <w:szCs w:val="21"/>
              </w:rPr>
              <w:t>中</w:t>
            </w:r>
            <w:r>
              <w:rPr>
                <w:rFonts w:hint="eastAsia" w:cs="Times New Roman"/>
                <w:sz w:val="21"/>
                <w:szCs w:val="21"/>
                <w:lang w:val="en-US" w:eastAsia="zh-CN"/>
              </w:rPr>
              <w:t>P</w:t>
            </w:r>
            <w:r>
              <w:rPr>
                <w:rFonts w:hint="default" w:ascii="Times New Roman" w:hAnsi="Times New Roman" w:cs="Times New Roman"/>
                <w:sz w:val="21"/>
                <w:szCs w:val="21"/>
              </w:rPr>
              <w:t>123中表4-12的数据</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烟</w:t>
            </w:r>
            <w:r>
              <w:rPr>
                <w:rFonts w:hint="default" w:ascii="Times New Roman" w:hAnsi="Times New Roman" w:cs="Times New Roman"/>
                <w:b w:val="0"/>
                <w:bCs w:val="0"/>
                <w:sz w:val="21"/>
                <w:szCs w:val="21"/>
              </w:rPr>
              <w:t>尘2.2kg/万m</w:t>
            </w:r>
            <w:r>
              <w:rPr>
                <w:rFonts w:hint="default" w:ascii="Times New Roman" w:hAnsi="Times New Roman" w:cs="Times New Roman"/>
                <w:b w:val="0"/>
                <w:bCs w:val="0"/>
                <w:sz w:val="21"/>
                <w:szCs w:val="21"/>
                <w:vertAlign w:val="superscript"/>
              </w:rPr>
              <w:t>3</w:t>
            </w:r>
            <w:r>
              <w:rPr>
                <w:rFonts w:hint="default" w:ascii="Times New Roman" w:hAnsi="Times New Roman" w:cs="Times New Roman"/>
                <w:b w:val="0"/>
                <w:bCs w:val="0"/>
                <w:sz w:val="21"/>
                <w:szCs w:val="21"/>
              </w:rPr>
              <w:t>，SO</w:t>
            </w:r>
            <w:r>
              <w:rPr>
                <w:rFonts w:hint="default" w:ascii="Times New Roman" w:hAnsi="Times New Roman" w:cs="Times New Roman"/>
                <w:b w:val="0"/>
                <w:bCs w:val="0"/>
                <w:sz w:val="21"/>
                <w:szCs w:val="21"/>
                <w:vertAlign w:val="subscript"/>
              </w:rPr>
              <w:t>2</w:t>
            </w:r>
            <w:r>
              <w:rPr>
                <w:rFonts w:hint="default" w:ascii="Times New Roman" w:hAnsi="Times New Roman" w:cs="Times New Roman"/>
                <w:b w:val="0"/>
                <w:bCs w:val="0"/>
                <w:sz w:val="21"/>
                <w:szCs w:val="21"/>
              </w:rPr>
              <w:t>1.8kg/万m</w:t>
            </w:r>
            <w:r>
              <w:rPr>
                <w:rFonts w:hint="default" w:ascii="Times New Roman" w:hAnsi="Times New Roman" w:cs="Times New Roman"/>
                <w:b w:val="0"/>
                <w:bCs w:val="0"/>
                <w:sz w:val="21"/>
                <w:szCs w:val="21"/>
                <w:vertAlign w:val="superscript"/>
              </w:rPr>
              <w:t>3</w:t>
            </w:r>
            <w:r>
              <w:rPr>
                <w:rFonts w:hint="default" w:ascii="Times New Roman" w:hAnsi="Times New Roman" w:cs="Times New Roman"/>
                <w:b w:val="0"/>
                <w:bCs w:val="0"/>
                <w:sz w:val="21"/>
                <w:szCs w:val="21"/>
              </w:rPr>
              <w:t>，NO</w:t>
            </w:r>
            <w:r>
              <w:rPr>
                <w:rFonts w:hint="eastAsia" w:ascii="Times New Roman" w:hAnsi="Times New Roman" w:cs="Times New Roman"/>
                <w:b w:val="0"/>
                <w:bCs w:val="0"/>
                <w:sz w:val="21"/>
                <w:szCs w:val="21"/>
                <w:vertAlign w:val="subscript"/>
                <w:lang w:val="en-US" w:eastAsia="zh-CN"/>
              </w:rPr>
              <w:t>x</w:t>
            </w:r>
            <w:r>
              <w:rPr>
                <w:rFonts w:hint="default" w:ascii="Times New Roman" w:hAnsi="Times New Roman" w:cs="Times New Roman"/>
                <w:b w:val="0"/>
                <w:bCs w:val="0"/>
                <w:sz w:val="21"/>
                <w:szCs w:val="21"/>
              </w:rPr>
              <w:t>21.0kg/万m</w:t>
            </w:r>
            <w:r>
              <w:rPr>
                <w:rFonts w:hint="eastAsia" w:cs="Times New Roman"/>
                <w:b w:val="0"/>
                <w:bCs w:val="0"/>
                <w:sz w:val="21"/>
                <w:szCs w:val="21"/>
                <w:vertAlign w:val="superscript"/>
                <w:lang w:val="en-US" w:eastAsia="zh-CN"/>
              </w:rPr>
              <w:t>3</w:t>
            </w:r>
            <w:r>
              <w:rPr>
                <w:rFonts w:hint="eastAsia" w:cs="Times New Roman"/>
                <w:b w:val="0"/>
                <w:bCs w:val="0"/>
                <w:sz w:val="21"/>
                <w:szCs w:val="21"/>
                <w:vertAlign w:val="baseline"/>
                <w:lang w:val="en-US" w:eastAsia="zh-CN"/>
              </w:rPr>
              <w:t>液化</w:t>
            </w:r>
            <w:r>
              <w:rPr>
                <w:rFonts w:hint="eastAsia" w:cs="Times New Roman"/>
                <w:sz w:val="21"/>
                <w:szCs w:val="21"/>
                <w:vertAlign w:val="baseline"/>
                <w:lang w:val="en-US" w:eastAsia="zh-CN"/>
              </w:rPr>
              <w:t>石油气，</w:t>
            </w:r>
            <w:r>
              <w:rPr>
                <w:rFonts w:hint="eastAsia" w:ascii="Times New Roman" w:hAnsi="Times New Roman" w:cs="Times New Roman"/>
                <w:sz w:val="21"/>
                <w:szCs w:val="21"/>
                <w:lang w:eastAsia="zh-CN"/>
              </w:rPr>
              <w:t>工业废气产生量</w:t>
            </w:r>
            <w:r>
              <w:rPr>
                <w:rFonts w:hint="default" w:ascii="Times New Roman" w:hAnsi="Times New Roman" w:cs="Times New Roman"/>
                <w:sz w:val="21"/>
                <w:szCs w:val="21"/>
              </w:rPr>
              <w:t>根据《排放源统计调查产排污核算方法和系数手册-</w:t>
            </w:r>
            <w:r>
              <w:rPr>
                <w:rFonts w:hint="default" w:ascii="Times New Roman" w:hAnsi="Times New Roman" w:eastAsia="宋体" w:cs="Times New Roman"/>
                <w:sz w:val="21"/>
                <w:szCs w:val="21"/>
              </w:rPr>
              <w:t>锅炉产排污量核算系数手册</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rPr>
              <w:t>4430 工业锅炉（热力生产和供应行业）产污系数表-燃气工业锅炉</w:t>
            </w:r>
            <w:r>
              <w:rPr>
                <w:rFonts w:hint="default" w:ascii="Times New Roman" w:hAnsi="Times New Roman" w:cs="Times New Roman"/>
                <w:sz w:val="21"/>
                <w:szCs w:val="21"/>
              </w:rPr>
              <w:t>选取。具体产排污系数见表</w:t>
            </w:r>
            <w:r>
              <w:rPr>
                <w:rFonts w:hint="eastAsia" w:cs="Times New Roman"/>
                <w:sz w:val="21"/>
                <w:szCs w:val="21"/>
                <w:lang w:val="en-US" w:eastAsia="zh-CN"/>
              </w:rPr>
              <w:t>4-3</w:t>
            </w:r>
            <w:r>
              <w:rPr>
                <w:rFonts w:hint="default" w:ascii="Times New Roman" w:hAnsi="Times New Roman" w:cs="Times New Roman"/>
                <w:sz w:val="21"/>
                <w:szCs w:val="21"/>
              </w:rPr>
              <w:t>。</w:t>
            </w:r>
          </w:p>
          <w:p>
            <w:pPr>
              <w:pStyle w:val="1311"/>
              <w:adjustRightInd w:val="0"/>
              <w:snapToGrid w:val="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表</w:t>
            </w:r>
            <w:r>
              <w:rPr>
                <w:rFonts w:hint="eastAsia" w:ascii="Times New Roman" w:hAnsi="Times New Roman" w:cs="Times New Roman"/>
                <w:sz w:val="21"/>
                <w:szCs w:val="21"/>
                <w:lang w:val="en-US" w:eastAsia="zh-CN"/>
              </w:rPr>
              <w:t>4-3</w:t>
            </w:r>
            <w:r>
              <w:rPr>
                <w:rFonts w:hint="default" w:ascii="Times New Roman" w:hAnsi="Times New Roman" w:cs="Times New Roman"/>
                <w:sz w:val="21"/>
                <w:szCs w:val="21"/>
              </w:rPr>
              <w:t xml:space="preserve"> </w:t>
            </w:r>
            <w:r>
              <w:rPr>
                <w:rFonts w:hint="eastAsia" w:ascii="Times New Roman" w:hAnsi="Times New Roman" w:cs="Times New Roman"/>
                <w:sz w:val="21"/>
                <w:szCs w:val="21"/>
                <w:lang w:eastAsia="zh-CN"/>
              </w:rPr>
              <w:t>医用级电气两用蒸发器液化石油气燃烧</w:t>
            </w:r>
            <w:r>
              <w:rPr>
                <w:rFonts w:hint="default" w:ascii="Times New Roman" w:hAnsi="Times New Roman" w:cs="Times New Roman"/>
                <w:sz w:val="21"/>
                <w:szCs w:val="21"/>
              </w:rPr>
              <w:t>产排污系数一览表</w:t>
            </w:r>
          </w:p>
          <w:tbl>
            <w:tblPr>
              <w:tblStyle w:val="85"/>
              <w:tblW w:w="4994"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2050"/>
              <w:gridCol w:w="2106"/>
              <w:gridCol w:w="2158"/>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59" w:type="dxa"/>
                  <w:tcBorders>
                    <w:top w:val="single" w:color="auto" w:sz="2" w:space="0"/>
                    <w:left w:val="single" w:color="auto" w:sz="2"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燃料名称</w:t>
                  </w:r>
                </w:p>
              </w:tc>
              <w:tc>
                <w:tcPr>
                  <w:tcW w:w="2060" w:type="dxa"/>
                  <w:tcBorders>
                    <w:top w:val="single" w:color="auto" w:sz="2"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污染物</w:t>
                  </w:r>
                </w:p>
              </w:tc>
              <w:tc>
                <w:tcPr>
                  <w:tcW w:w="2117" w:type="dxa"/>
                  <w:tcBorders>
                    <w:top w:val="single" w:color="auto" w:sz="2"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单位</w:t>
                  </w:r>
                </w:p>
              </w:tc>
              <w:tc>
                <w:tcPr>
                  <w:tcW w:w="2169" w:type="dxa"/>
                  <w:tcBorders>
                    <w:top w:val="single" w:color="auto" w:sz="2" w:space="0"/>
                    <w:left w:val="single" w:color="auto" w:sz="4" w:space="0"/>
                    <w:bottom w:val="single" w:color="auto" w:sz="4" w:space="0"/>
                    <w:right w:val="single" w:color="auto" w:sz="2" w:space="0"/>
                  </w:tcBorders>
                  <w:noWrap w:val="0"/>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产污系数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059" w:type="dxa"/>
                  <w:vMerge w:val="restart"/>
                  <w:tcBorders>
                    <w:top w:val="single" w:color="auto" w:sz="4" w:space="0"/>
                    <w:left w:val="single" w:color="auto" w:sz="2" w:space="0"/>
                    <w:right w:val="single" w:color="auto" w:sz="4" w:space="0"/>
                  </w:tcBorders>
                  <w:noWrap w:val="0"/>
                  <w:vAlign w:val="center"/>
                </w:tcPr>
                <w:p>
                  <w:pPr>
                    <w:spacing w:line="240" w:lineRule="auto"/>
                    <w:jc w:val="center"/>
                    <w:rPr>
                      <w:rFonts w:hint="eastAsia" w:ascii="Times New Roman" w:hAnsi="Times New Roman" w:eastAsia="宋体" w:cs="Times New Roman"/>
                      <w:sz w:val="18"/>
                      <w:szCs w:val="18"/>
                      <w:lang w:eastAsia="zh-CN"/>
                    </w:rPr>
                  </w:pPr>
                  <w:r>
                    <w:rPr>
                      <w:rFonts w:hint="eastAsia" w:cs="Times New Roman"/>
                      <w:sz w:val="18"/>
                      <w:szCs w:val="18"/>
                      <w:lang w:eastAsia="zh-CN"/>
                    </w:rPr>
                    <w:t>液化石油气</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 w:val="18"/>
                      <w:szCs w:val="18"/>
                    </w:rPr>
                  </w:pPr>
                  <w:r>
                    <w:rPr>
                      <w:rFonts w:hint="eastAsia" w:cs="Times New Roman"/>
                      <w:sz w:val="18"/>
                      <w:szCs w:val="18"/>
                      <w:lang w:eastAsia="zh-CN"/>
                    </w:rPr>
                    <w:t>烟尘</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rPr>
                    <w:t>kg/万m</w:t>
                  </w:r>
                  <w:r>
                    <w:rPr>
                      <w:rFonts w:hint="default" w:ascii="Times New Roman" w:hAnsi="Times New Roman" w:cs="Times New Roman"/>
                      <w:b w:val="0"/>
                      <w:bCs w:val="0"/>
                      <w:sz w:val="18"/>
                      <w:szCs w:val="18"/>
                      <w:vertAlign w:val="superscript"/>
                    </w:rPr>
                    <w:t>3</w:t>
                  </w:r>
                  <w:r>
                    <w:rPr>
                      <w:rFonts w:hint="eastAsia" w:cs="Times New Roman"/>
                      <w:b w:val="0"/>
                      <w:bCs w:val="0"/>
                      <w:sz w:val="18"/>
                      <w:szCs w:val="18"/>
                      <w:lang w:val="en-US" w:eastAsia="zh-CN"/>
                    </w:rPr>
                    <w:t>-</w:t>
                  </w:r>
                  <w:r>
                    <w:rPr>
                      <w:rFonts w:hint="default" w:ascii="Times New Roman" w:hAnsi="Times New Roman" w:cs="Times New Roman"/>
                      <w:b w:val="0"/>
                      <w:bCs w:val="0"/>
                      <w:sz w:val="18"/>
                      <w:szCs w:val="18"/>
                    </w:rPr>
                    <w:t>原料</w:t>
                  </w:r>
                </w:p>
              </w:tc>
              <w:tc>
                <w:tcPr>
                  <w:tcW w:w="2169" w:type="dxa"/>
                  <w:tcBorders>
                    <w:top w:val="single" w:color="auto" w:sz="4" w:space="0"/>
                    <w:left w:val="single" w:color="auto" w:sz="4" w:space="0"/>
                    <w:bottom w:val="single" w:color="auto" w:sz="4" w:space="0"/>
                    <w:right w:val="single" w:color="auto" w:sz="2" w:space="0"/>
                  </w:tcBorders>
                  <w:noWrap w:val="0"/>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2.2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059" w:type="dxa"/>
                  <w:vMerge w:val="continue"/>
                  <w:tcBorders>
                    <w:left w:val="single" w:color="auto" w:sz="2" w:space="0"/>
                    <w:right w:val="single" w:color="auto" w:sz="4" w:space="0"/>
                  </w:tcBorders>
                  <w:noWrap w:val="0"/>
                  <w:vAlign w:val="center"/>
                </w:tcPr>
                <w:p>
                  <w:pPr>
                    <w:spacing w:line="240" w:lineRule="auto"/>
                    <w:jc w:val="center"/>
                    <w:rPr>
                      <w:rFonts w:hint="eastAsia" w:ascii="Times New Roman" w:hAnsi="Times New Roman" w:eastAsia="宋体" w:cs="Times New Roman"/>
                      <w:sz w:val="18"/>
                      <w:szCs w:val="18"/>
                      <w:lang w:eastAsia="zh-CN"/>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二氧化硫</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cs="Times New Roman"/>
                      <w:b w:val="0"/>
                      <w:bCs w:val="0"/>
                      <w:sz w:val="18"/>
                      <w:szCs w:val="18"/>
                    </w:rPr>
                    <w:t>kg/万m</w:t>
                  </w:r>
                  <w:r>
                    <w:rPr>
                      <w:rFonts w:hint="default" w:ascii="Times New Roman" w:hAnsi="Times New Roman" w:cs="Times New Roman"/>
                      <w:b w:val="0"/>
                      <w:bCs w:val="0"/>
                      <w:sz w:val="18"/>
                      <w:szCs w:val="18"/>
                      <w:vertAlign w:val="superscript"/>
                    </w:rPr>
                    <w:t>3</w:t>
                  </w:r>
                  <w:r>
                    <w:rPr>
                      <w:rFonts w:hint="eastAsia" w:cs="Times New Roman"/>
                      <w:b w:val="0"/>
                      <w:bCs w:val="0"/>
                      <w:sz w:val="18"/>
                      <w:szCs w:val="18"/>
                      <w:lang w:val="en-US" w:eastAsia="zh-CN"/>
                    </w:rPr>
                    <w:t>-</w:t>
                  </w:r>
                  <w:r>
                    <w:rPr>
                      <w:rFonts w:hint="default" w:ascii="Times New Roman" w:hAnsi="Times New Roman" w:cs="Times New Roman"/>
                      <w:b w:val="0"/>
                      <w:bCs w:val="0"/>
                      <w:sz w:val="18"/>
                      <w:szCs w:val="18"/>
                    </w:rPr>
                    <w:t>原料</w:t>
                  </w:r>
                </w:p>
              </w:tc>
              <w:tc>
                <w:tcPr>
                  <w:tcW w:w="2169" w:type="dxa"/>
                  <w:tcBorders>
                    <w:top w:val="single" w:color="auto" w:sz="4" w:space="0"/>
                    <w:left w:val="single" w:color="auto" w:sz="4" w:space="0"/>
                    <w:bottom w:val="single" w:color="auto" w:sz="4" w:space="0"/>
                    <w:right w:val="single" w:color="auto" w:sz="2" w:space="0"/>
                  </w:tcBorders>
                  <w:noWrap w:val="0"/>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1.8</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059" w:type="dxa"/>
                  <w:vMerge w:val="continue"/>
                  <w:tcBorders>
                    <w:left w:val="single" w:color="auto" w:sz="2" w:space="0"/>
                    <w:right w:val="single" w:color="auto" w:sz="4" w:space="0"/>
                  </w:tcBorders>
                  <w:noWrap w:val="0"/>
                  <w:vAlign w:val="center"/>
                </w:tcPr>
                <w:p>
                  <w:pPr>
                    <w:spacing w:line="240" w:lineRule="auto"/>
                    <w:jc w:val="center"/>
                    <w:rPr>
                      <w:rFonts w:hint="default" w:ascii="Times New Roman" w:hAnsi="Times New Roman" w:cs="Times New Roman"/>
                      <w:sz w:val="18"/>
                      <w:szCs w:val="18"/>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氮氧化物</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cs="Times New Roman"/>
                      <w:b w:val="0"/>
                      <w:bCs w:val="0"/>
                      <w:sz w:val="18"/>
                      <w:szCs w:val="18"/>
                    </w:rPr>
                    <w:t>kg/万m</w:t>
                  </w:r>
                  <w:r>
                    <w:rPr>
                      <w:rFonts w:hint="eastAsia" w:cs="Times New Roman"/>
                      <w:b w:val="0"/>
                      <w:bCs w:val="0"/>
                      <w:sz w:val="18"/>
                      <w:szCs w:val="18"/>
                      <w:vertAlign w:val="superscript"/>
                      <w:lang w:val="en-US" w:eastAsia="zh-CN"/>
                    </w:rPr>
                    <w:t>3</w:t>
                  </w:r>
                  <w:r>
                    <w:rPr>
                      <w:rFonts w:hint="eastAsia" w:cs="Times New Roman"/>
                      <w:b w:val="0"/>
                      <w:bCs w:val="0"/>
                      <w:sz w:val="18"/>
                      <w:szCs w:val="18"/>
                      <w:lang w:val="en-US" w:eastAsia="zh-CN"/>
                    </w:rPr>
                    <w:t>-</w:t>
                  </w:r>
                  <w:r>
                    <w:rPr>
                      <w:rFonts w:hint="default" w:ascii="Times New Roman" w:hAnsi="Times New Roman" w:cs="Times New Roman"/>
                      <w:b w:val="0"/>
                      <w:bCs w:val="0"/>
                      <w:sz w:val="18"/>
                      <w:szCs w:val="18"/>
                    </w:rPr>
                    <w:t>原料</w:t>
                  </w:r>
                </w:p>
              </w:tc>
              <w:tc>
                <w:tcPr>
                  <w:tcW w:w="2169" w:type="dxa"/>
                  <w:tcBorders>
                    <w:top w:val="single" w:color="auto" w:sz="4" w:space="0"/>
                    <w:left w:val="single" w:color="auto" w:sz="4" w:space="0"/>
                    <w:bottom w:val="single" w:color="auto" w:sz="4" w:space="0"/>
                    <w:right w:val="single" w:color="auto" w:sz="2" w:space="0"/>
                  </w:tcBorders>
                  <w:noWrap w:val="0"/>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21.0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jc w:val="center"/>
              </w:trPr>
              <w:tc>
                <w:tcPr>
                  <w:tcW w:w="2059" w:type="dxa"/>
                  <w:vMerge w:val="continue"/>
                  <w:tcBorders>
                    <w:left w:val="single" w:color="auto" w:sz="2" w:space="0"/>
                    <w:right w:val="single" w:color="auto" w:sz="4" w:space="0"/>
                  </w:tcBorders>
                  <w:noWrap w:val="0"/>
                  <w:vAlign w:val="center"/>
                </w:tcPr>
                <w:p>
                  <w:pPr>
                    <w:spacing w:line="240" w:lineRule="auto"/>
                    <w:jc w:val="center"/>
                    <w:rPr>
                      <w:rFonts w:hint="default" w:ascii="Times New Roman" w:hAnsi="Times New Roman" w:cs="Times New Roman"/>
                      <w:sz w:val="18"/>
                      <w:szCs w:val="18"/>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废气量</w:t>
                  </w:r>
                </w:p>
              </w:tc>
              <w:tc>
                <w:tcPr>
                  <w:tcW w:w="211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m</w:t>
                  </w:r>
                  <w:r>
                    <w:rPr>
                      <w:rFonts w:hint="default" w:ascii="Times New Roman" w:hAnsi="Times New Roman" w:cs="Times New Roman"/>
                      <w:sz w:val="18"/>
                      <w:szCs w:val="18"/>
                      <w:vertAlign w:val="superscript"/>
                    </w:rPr>
                    <w:t>3</w:t>
                  </w:r>
                  <w:r>
                    <w:rPr>
                      <w:rFonts w:ascii="宋体" w:hAnsi="宋体" w:eastAsia="宋体" w:cs="宋体"/>
                      <w:sz w:val="18"/>
                      <w:szCs w:val="18"/>
                    </w:rPr>
                    <w:t>/</w:t>
                  </w:r>
                  <w:r>
                    <w:rPr>
                      <w:rFonts w:hint="eastAsia" w:cs="Times New Roman"/>
                      <w:sz w:val="18"/>
                      <w:szCs w:val="18"/>
                      <w:lang w:val="en-US" w:eastAsia="zh-CN"/>
                    </w:rPr>
                    <w:t>t-</w:t>
                  </w:r>
                  <w:r>
                    <w:rPr>
                      <w:rFonts w:ascii="宋体" w:hAnsi="宋体" w:eastAsia="宋体" w:cs="宋体"/>
                      <w:sz w:val="18"/>
                      <w:szCs w:val="18"/>
                    </w:rPr>
                    <w:t>原料</w:t>
                  </w:r>
                </w:p>
              </w:tc>
              <w:tc>
                <w:tcPr>
                  <w:tcW w:w="2169" w:type="dxa"/>
                  <w:tcBorders>
                    <w:top w:val="single" w:color="auto" w:sz="4" w:space="0"/>
                    <w:left w:val="single" w:color="auto" w:sz="4" w:space="0"/>
                    <w:bottom w:val="single" w:color="auto" w:sz="4" w:space="0"/>
                    <w:right w:val="single" w:color="auto" w:sz="2" w:space="0"/>
                  </w:tcBorders>
                  <w:noWrap w:val="0"/>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13237</w:t>
                  </w:r>
                </w:p>
              </w:tc>
            </w:tr>
          </w:tbl>
          <w:p>
            <w:pPr>
              <w:spacing w:line="360" w:lineRule="auto"/>
              <w:ind w:firstLine="361" w:firstLineChars="200"/>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b/>
                <w:bCs/>
                <w:sz w:val="18"/>
                <w:szCs w:val="18"/>
                <w:lang w:eastAsia="zh-CN"/>
              </w:rPr>
              <w:t>注</w:t>
            </w:r>
            <w:r>
              <w:rPr>
                <w:rFonts w:hint="default" w:ascii="Times New Roman" w:hAnsi="Times New Roman" w:cs="Times New Roman"/>
                <w:b/>
                <w:bCs/>
                <w:sz w:val="18"/>
                <w:szCs w:val="18"/>
              </w:rPr>
              <w:t>：本项目配套低氮燃烧器，可直接降低</w:t>
            </w:r>
            <w:r>
              <w:rPr>
                <w:rFonts w:hint="default" w:ascii="Times New Roman" w:hAnsi="Times New Roman" w:cs="Times New Roman"/>
                <w:b/>
                <w:bCs/>
                <w:sz w:val="18"/>
                <w:szCs w:val="18"/>
                <w:lang w:eastAsia="zh-CN"/>
              </w:rPr>
              <w:t>约</w:t>
            </w:r>
            <w:r>
              <w:rPr>
                <w:rFonts w:hint="default" w:ascii="Times New Roman" w:hAnsi="Times New Roman" w:cs="Times New Roman"/>
                <w:b/>
                <w:bCs/>
                <w:sz w:val="18"/>
                <w:szCs w:val="18"/>
                <w:lang w:val="en-US" w:eastAsia="zh-CN"/>
              </w:rPr>
              <w:t>4</w:t>
            </w:r>
            <w:r>
              <w:rPr>
                <w:rFonts w:hint="default" w:ascii="Times New Roman" w:hAnsi="Times New Roman" w:cs="Times New Roman"/>
                <w:b/>
                <w:bCs/>
                <w:sz w:val="18"/>
                <w:szCs w:val="18"/>
              </w:rPr>
              <w:t>0%氮氧化物的产生量，</w:t>
            </w:r>
            <w:r>
              <w:rPr>
                <w:rFonts w:hint="default" w:ascii="Times New Roman" w:hAnsi="Times New Roman" w:cs="Times New Roman"/>
                <w:b/>
                <w:bCs/>
                <w:sz w:val="18"/>
                <w:szCs w:val="18"/>
                <w:lang w:eastAsia="zh-CN"/>
              </w:rPr>
              <w:t>本次环</w:t>
            </w:r>
            <w:r>
              <w:rPr>
                <w:rFonts w:hint="eastAsia" w:ascii="Times New Roman" w:hAnsi="Times New Roman" w:cs="Times New Roman"/>
                <w:b/>
                <w:bCs/>
                <w:sz w:val="18"/>
                <w:szCs w:val="18"/>
                <w:lang w:eastAsia="zh-CN"/>
              </w:rPr>
              <w:t>评</w:t>
            </w:r>
            <w:r>
              <w:rPr>
                <w:rFonts w:hint="default" w:ascii="Times New Roman" w:hAnsi="Times New Roman" w:cs="Times New Roman"/>
                <w:b/>
                <w:bCs/>
                <w:sz w:val="18"/>
                <w:szCs w:val="18"/>
                <w:lang w:eastAsia="zh-CN"/>
              </w:rPr>
              <w:t>保守计算，按照降低</w:t>
            </w:r>
            <w:r>
              <w:rPr>
                <w:rFonts w:hint="default" w:ascii="Times New Roman" w:hAnsi="Times New Roman" w:cs="Times New Roman"/>
                <w:b/>
                <w:bCs/>
                <w:sz w:val="18"/>
                <w:szCs w:val="18"/>
                <w:lang w:val="en-US" w:eastAsia="zh-CN"/>
              </w:rPr>
              <w:t>30%氮氧化物产生量计算，</w:t>
            </w:r>
            <w:r>
              <w:rPr>
                <w:rFonts w:hint="default" w:ascii="Times New Roman" w:hAnsi="Times New Roman" w:cs="Times New Roman"/>
                <w:b/>
                <w:bCs/>
                <w:sz w:val="18"/>
                <w:szCs w:val="18"/>
              </w:rPr>
              <w:t>届时氮氧化物的产污系数为</w:t>
            </w:r>
            <w:r>
              <w:rPr>
                <w:rFonts w:hint="eastAsia" w:cs="Times New Roman"/>
                <w:b/>
                <w:bCs/>
                <w:sz w:val="18"/>
                <w:szCs w:val="18"/>
                <w:lang w:val="en-US" w:eastAsia="zh-CN"/>
              </w:rPr>
              <w:t>14.7</w:t>
            </w:r>
            <w:r>
              <w:rPr>
                <w:rFonts w:hint="default" w:ascii="Times New Roman" w:hAnsi="Times New Roman" w:cs="Times New Roman"/>
                <w:b/>
                <w:bCs/>
                <w:sz w:val="18"/>
                <w:szCs w:val="18"/>
              </w:rPr>
              <w:t>kg/万m</w:t>
            </w:r>
            <w:r>
              <w:rPr>
                <w:rFonts w:hint="eastAsia" w:cs="Times New Roman"/>
                <w:b/>
                <w:bCs/>
                <w:sz w:val="18"/>
                <w:szCs w:val="18"/>
                <w:vertAlign w:val="superscript"/>
                <w:lang w:val="en-US" w:eastAsia="zh-CN"/>
              </w:rPr>
              <w:t>3</w:t>
            </w:r>
            <w:r>
              <w:rPr>
                <w:rFonts w:hint="eastAsia" w:cs="Times New Roman"/>
                <w:b/>
                <w:bCs/>
                <w:sz w:val="18"/>
                <w:szCs w:val="18"/>
                <w:lang w:val="en-US" w:eastAsia="zh-CN"/>
              </w:rPr>
              <w:t>-</w:t>
            </w:r>
            <w:r>
              <w:rPr>
                <w:rFonts w:hint="default" w:ascii="Times New Roman" w:hAnsi="Times New Roman" w:cs="Times New Roman"/>
                <w:b/>
                <w:bCs/>
                <w:sz w:val="18"/>
                <w:szCs w:val="18"/>
              </w:rPr>
              <w:t>原料。</w:t>
            </w:r>
            <w:r>
              <w:rPr>
                <w:rFonts w:hint="eastAsia" w:cs="Times New Roman"/>
                <w:b/>
                <w:bCs/>
                <w:sz w:val="18"/>
                <w:szCs w:val="18"/>
                <w:lang w:eastAsia="zh-CN"/>
              </w:rPr>
              <w:t>液体液化石油气密度</w:t>
            </w:r>
            <w:r>
              <w:rPr>
                <w:rFonts w:hint="eastAsia" w:cs="Times New Roman"/>
                <w:b/>
                <w:bCs/>
                <w:sz w:val="18"/>
                <w:szCs w:val="18"/>
                <w:lang w:val="en-US" w:eastAsia="zh-CN"/>
              </w:rPr>
              <w:t>580kg/m</w:t>
            </w:r>
            <w:r>
              <w:rPr>
                <w:rFonts w:hint="eastAsia" w:cs="Times New Roman"/>
                <w:b/>
                <w:bCs/>
                <w:sz w:val="18"/>
                <w:szCs w:val="18"/>
                <w:vertAlign w:val="superscript"/>
                <w:lang w:val="en-US" w:eastAsia="zh-CN"/>
              </w:rPr>
              <w:t>3</w:t>
            </w:r>
            <w:r>
              <w:rPr>
                <w:rFonts w:hint="eastAsia" w:cs="Times New Roman"/>
                <w:b/>
                <w:bCs/>
                <w:sz w:val="18"/>
                <w:szCs w:val="18"/>
                <w:vertAlign w:val="baseline"/>
                <w:lang w:val="en-US" w:eastAsia="zh-CN"/>
              </w:rPr>
              <w:t>，气体液化石油气密度2.35kg/m</w:t>
            </w:r>
            <w:r>
              <w:rPr>
                <w:rFonts w:hint="eastAsia" w:cs="Times New Roman"/>
                <w:b/>
                <w:bCs/>
                <w:sz w:val="18"/>
                <w:szCs w:val="18"/>
                <w:vertAlign w:val="superscript"/>
                <w:lang w:val="en-US" w:eastAsia="zh-CN"/>
              </w:rPr>
              <w:t>3</w:t>
            </w:r>
            <w:r>
              <w:rPr>
                <w:rFonts w:hint="eastAsia" w:cs="Times New Roman"/>
                <w:b/>
                <w:bCs/>
                <w:sz w:val="18"/>
                <w:szCs w:val="18"/>
                <w:vertAlign w:val="baseline"/>
                <w:lang w:val="en-US" w:eastAsia="zh-CN"/>
              </w:rPr>
              <w:t>。</w:t>
            </w:r>
          </w:p>
          <w:p>
            <w:pPr>
              <w:spacing w:line="360" w:lineRule="auto"/>
              <w:ind w:firstLine="420" w:firstLineChars="200"/>
              <w:rPr>
                <w:rFonts w:hint="eastAsia"/>
                <w:lang w:val="en-US" w:eastAsia="zh-CN"/>
              </w:rPr>
            </w:pPr>
            <w:r>
              <w:rPr>
                <w:rFonts w:hint="eastAsia"/>
                <w:lang w:eastAsia="zh-CN"/>
              </w:rPr>
              <w:t>本项目医用级电气两用蒸发器共</w:t>
            </w:r>
            <w:r>
              <w:rPr>
                <w:rFonts w:hint="eastAsia"/>
                <w:lang w:val="en-US" w:eastAsia="zh-CN"/>
              </w:rPr>
              <w:t>0.6t/h，平均液化石油气用量约35kg/h，年工作2400h，液化石油气用量84t/a，气体体积折合约35745m</w:t>
            </w:r>
            <w:r>
              <w:rPr>
                <w:rFonts w:hint="eastAsia"/>
                <w:vertAlign w:val="superscript"/>
                <w:lang w:val="en-US" w:eastAsia="zh-CN"/>
              </w:rPr>
              <w:t>3</w:t>
            </w:r>
            <w:r>
              <w:rPr>
                <w:rFonts w:hint="eastAsia"/>
                <w:vertAlign w:val="baseline"/>
                <w:lang w:val="en-US" w:eastAsia="zh-CN"/>
              </w:rPr>
              <w:t>/a</w:t>
            </w:r>
            <w:r>
              <w:rPr>
                <w:rFonts w:hint="eastAsia"/>
                <w:lang w:val="en-US" w:eastAsia="zh-CN"/>
              </w:rPr>
              <w:t>。</w:t>
            </w:r>
          </w:p>
          <w:p>
            <w:pPr>
              <w:spacing w:line="360" w:lineRule="auto"/>
              <w:ind w:firstLine="420" w:firstLineChars="200"/>
              <w:rPr>
                <w:rFonts w:hint="default" w:eastAsia="宋体"/>
                <w:lang w:val="en-US" w:eastAsia="zh-CN"/>
              </w:rPr>
            </w:pPr>
            <w:r>
              <w:rPr>
                <w:rFonts w:hint="eastAsia"/>
                <w:lang w:eastAsia="zh-CN"/>
              </w:rPr>
              <w:t>淄博福禄新型材料有限公司生产工使用蒸汽热源机，与本项目医用级电气两用蒸发器有类比可行性，林格曼黑度类比淄博福禄新型材料有限公司</w:t>
            </w:r>
            <w:r>
              <w:rPr>
                <w:rFonts w:hint="eastAsia"/>
                <w:lang w:val="en-US" w:eastAsia="zh-CN"/>
              </w:rPr>
              <w:t>DA006蒸汽热源机排气筒林格曼黑度数据，根据山东汇成环保科技有限公司2022年6月出具的检测报告（编号：汇成（检）字HJ（202206011）号）数据，DA006蒸汽热源机排气筒林格曼黑度小于1级。类比可知，本项目DA002排气筒林格曼黑度小于1级。</w:t>
            </w:r>
          </w:p>
          <w:p>
            <w:pPr>
              <w:spacing w:line="360" w:lineRule="auto"/>
              <w:ind w:firstLine="420" w:firstLineChars="200"/>
              <w:rPr>
                <w:rFonts w:hint="default" w:eastAsia="宋体"/>
                <w:lang w:val="en-US" w:eastAsia="zh-CN"/>
              </w:rPr>
            </w:pPr>
            <w:r>
              <w:rPr>
                <w:rFonts w:hint="eastAsia"/>
                <w:lang w:val="en-US" w:eastAsia="zh-CN"/>
              </w:rPr>
              <w:t>液化石油气燃烧废气产生及排放情况见下表。</w:t>
            </w:r>
          </w:p>
          <w:p>
            <w:pPr>
              <w:spacing w:line="360" w:lineRule="auto"/>
              <w:jc w:val="center"/>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表4-4   液化石油气燃烧废气排放情况表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7"/>
              <w:gridCol w:w="427"/>
              <w:gridCol w:w="572"/>
              <w:gridCol w:w="575"/>
              <w:gridCol w:w="574"/>
              <w:gridCol w:w="555"/>
              <w:gridCol w:w="416"/>
              <w:gridCol w:w="1263"/>
              <w:gridCol w:w="614"/>
              <w:gridCol w:w="1070"/>
              <w:gridCol w:w="571"/>
              <w:gridCol w:w="573"/>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产污工序</w:t>
                  </w:r>
                </w:p>
              </w:tc>
              <w:tc>
                <w:tcPr>
                  <w:tcW w:w="427" w:type="dxa"/>
                  <w:tcBorders>
                    <w:top w:val="single" w:color="auto" w:sz="4" w:space="0"/>
                    <w:left w:val="single" w:color="auto" w:sz="4" w:space="0"/>
                    <w:bottom w:val="single" w:color="auto" w:sz="4" w:space="0"/>
                    <w:right w:val="single" w:color="auto" w:sz="4" w:space="0"/>
                  </w:tcBorders>
                  <w:noWrap w:val="0"/>
                  <w:vAlign w:val="center"/>
                </w:tcPr>
                <w:p>
                  <w:pPr>
                    <w:pStyle w:val="2"/>
                    <w:spacing w:after="0" w:line="240" w:lineRule="exact"/>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rPr>
                    <w:t>污染物</w:t>
                  </w:r>
                </w:p>
              </w:tc>
              <w:tc>
                <w:tcPr>
                  <w:tcW w:w="5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废气产生量t/a</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废气收集量t/a</w:t>
                  </w:r>
                </w:p>
              </w:tc>
              <w:tc>
                <w:tcPr>
                  <w:tcW w:w="5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eastAsia="zh-CN"/>
                    </w:rPr>
                    <w:t>产生速率</w:t>
                  </w:r>
                  <w:r>
                    <w:rPr>
                      <w:rFonts w:hint="eastAsia" w:ascii="Times New Roman" w:hAnsi="Times New Roman" w:cs="Times New Roman"/>
                      <w:sz w:val="18"/>
                      <w:szCs w:val="18"/>
                      <w:highlight w:val="none"/>
                      <w:lang w:val="en-US" w:eastAsia="zh-CN"/>
                    </w:rPr>
                    <w:t>kg/h</w:t>
                  </w:r>
                </w:p>
              </w:tc>
              <w:tc>
                <w:tcPr>
                  <w:tcW w:w="5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产生浓度mg/m</w:t>
                  </w:r>
                  <w:r>
                    <w:rPr>
                      <w:rFonts w:hint="default" w:ascii="Times New Roman" w:hAnsi="Times New Roman" w:cs="Times New Roman"/>
                      <w:sz w:val="18"/>
                      <w:szCs w:val="18"/>
                      <w:highlight w:val="none"/>
                      <w:vertAlign w:val="superscript"/>
                    </w:rPr>
                    <w:t>3</w:t>
                  </w:r>
                </w:p>
              </w:tc>
              <w:tc>
                <w:tcPr>
                  <w:tcW w:w="4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eastAsia="zh-CN"/>
                    </w:rPr>
                    <w:t>工作时间</w:t>
                  </w:r>
                  <w:r>
                    <w:rPr>
                      <w:rFonts w:hint="eastAsia" w:ascii="Times New Roman" w:hAnsi="Times New Roman" w:cs="Times New Roman"/>
                      <w:sz w:val="18"/>
                      <w:szCs w:val="18"/>
                      <w:highlight w:val="none"/>
                      <w:lang w:val="en-US" w:eastAsia="zh-CN"/>
                    </w:rPr>
                    <w:t>h/a</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废气处理参数</w:t>
                  </w:r>
                </w:p>
              </w:tc>
              <w:tc>
                <w:tcPr>
                  <w:tcW w:w="61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排放口</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宋体" w:cs="Times New Roman"/>
                      <w:sz w:val="18"/>
                      <w:szCs w:val="18"/>
                      <w:highlight w:val="none"/>
                      <w:lang w:eastAsia="zh-CN"/>
                    </w:rPr>
                  </w:pPr>
                  <w:r>
                    <w:rPr>
                      <w:rFonts w:hint="eastAsia" w:ascii="Times New Roman" w:hAnsi="Times New Roman" w:cs="Times New Roman"/>
                      <w:sz w:val="18"/>
                      <w:szCs w:val="18"/>
                      <w:highlight w:val="none"/>
                      <w:lang w:eastAsia="zh-CN"/>
                    </w:rPr>
                    <w:t>废气排放量</w:t>
                  </w:r>
                </w:p>
              </w:tc>
              <w:tc>
                <w:tcPr>
                  <w:tcW w:w="57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排放量t/a</w:t>
                  </w:r>
                </w:p>
              </w:tc>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eastAsia="zh-CN"/>
                    </w:rPr>
                    <w:t>排放速率</w:t>
                  </w:r>
                  <w:r>
                    <w:rPr>
                      <w:rFonts w:hint="eastAsia" w:ascii="Times New Roman" w:hAnsi="Times New Roman" w:cs="Times New Roman"/>
                      <w:sz w:val="18"/>
                      <w:szCs w:val="18"/>
                      <w:highlight w:val="none"/>
                      <w:lang w:val="en-US" w:eastAsia="zh-CN"/>
                    </w:rPr>
                    <w:t>kg/h</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排放浓度mg/m</w:t>
                  </w:r>
                  <w:r>
                    <w:rPr>
                      <w:rFonts w:hint="default" w:ascii="Times New Roman" w:hAnsi="Times New Roman" w:cs="Times New Roman"/>
                      <w:sz w:val="18"/>
                      <w:szCs w:val="18"/>
                      <w:highlight w:val="none"/>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97"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液化石油气燃烧</w:t>
                  </w:r>
                </w:p>
              </w:tc>
              <w:tc>
                <w:tcPr>
                  <w:tcW w:w="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eastAsia="zh-CN"/>
                    </w:rPr>
                    <w:t>颗粒物</w:t>
                  </w: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0.008</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0.008</w:t>
                  </w:r>
                </w:p>
              </w:tc>
              <w:tc>
                <w:tcPr>
                  <w:tcW w:w="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0.0033</w:t>
                  </w:r>
                </w:p>
              </w:tc>
              <w:tc>
                <w:tcPr>
                  <w:tcW w:w="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i w:val="0"/>
                      <w:iCs w:val="0"/>
                      <w:color w:val="000000"/>
                      <w:kern w:val="0"/>
                      <w:sz w:val="18"/>
                      <w:szCs w:val="18"/>
                      <w:u w:val="none"/>
                      <w:lang w:val="en-US" w:eastAsia="zh-CN" w:bidi="ar"/>
                    </w:rPr>
                    <w:t>7.2</w:t>
                  </w:r>
                </w:p>
              </w:tc>
              <w:tc>
                <w:tcPr>
                  <w:tcW w:w="416"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highlight w:val="none"/>
                      <w:lang w:val="en-US" w:eastAsia="zh-CN" w:bidi="ar-SA"/>
                    </w:rPr>
                  </w:pPr>
                  <w:r>
                    <w:rPr>
                      <w:rFonts w:hint="eastAsia" w:cs="Times New Roman"/>
                      <w:sz w:val="18"/>
                      <w:szCs w:val="18"/>
                      <w:highlight w:val="none"/>
                      <w:lang w:val="en-US" w:eastAsia="zh-CN"/>
                    </w:rPr>
                    <w:t>24</w:t>
                  </w:r>
                  <w:r>
                    <w:rPr>
                      <w:rFonts w:hint="eastAsia" w:ascii="Times New Roman" w:hAnsi="Times New Roman" w:cs="Times New Roman"/>
                      <w:sz w:val="18"/>
                      <w:szCs w:val="18"/>
                      <w:highlight w:val="none"/>
                      <w:lang w:val="en-US" w:eastAsia="zh-CN"/>
                    </w:rPr>
                    <w:t>00</w:t>
                  </w:r>
                </w:p>
              </w:tc>
              <w:tc>
                <w:tcPr>
                  <w:tcW w:w="1263"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eastAsia" w:ascii="Times New Roman" w:hAnsi="Times New Roman" w:cs="Times New Roman"/>
                      <w:sz w:val="18"/>
                      <w:szCs w:val="18"/>
                      <w:highlight w:val="none"/>
                      <w:lang w:eastAsia="zh-CN"/>
                    </w:rPr>
                  </w:pPr>
                  <w:r>
                    <w:rPr>
                      <w:rFonts w:hint="default" w:ascii="Times New Roman" w:hAnsi="Times New Roman" w:cs="Times New Roman"/>
                      <w:sz w:val="18"/>
                      <w:szCs w:val="18"/>
                      <w:highlight w:val="none"/>
                    </w:rPr>
                    <w:t>风量</w:t>
                  </w:r>
                  <w:r>
                    <w:rPr>
                      <w:rFonts w:hint="eastAsia" w:cs="Times New Roman"/>
                      <w:sz w:val="18"/>
                      <w:szCs w:val="18"/>
                      <w:highlight w:val="none"/>
                      <w:lang w:val="en-US" w:eastAsia="zh-CN"/>
                    </w:rPr>
                    <w:t>1111908</w:t>
                  </w:r>
                  <w:r>
                    <w:rPr>
                      <w:rFonts w:hint="default" w:ascii="Times New Roman" w:hAnsi="Times New Roman" w:cs="Times New Roman"/>
                      <w:sz w:val="18"/>
                      <w:szCs w:val="18"/>
                      <w:highlight w:val="none"/>
                    </w:rPr>
                    <w:t>m</w:t>
                  </w:r>
                  <w:r>
                    <w:rPr>
                      <w:rFonts w:hint="default" w:ascii="Times New Roman" w:hAnsi="Times New Roman" w:cs="Times New Roman"/>
                      <w:sz w:val="18"/>
                      <w:szCs w:val="18"/>
                      <w:highlight w:val="none"/>
                      <w:vertAlign w:val="superscript"/>
                    </w:rPr>
                    <w:t>3</w:t>
                  </w:r>
                  <w:r>
                    <w:rPr>
                      <w:rFonts w:hint="eastAsia" w:ascii="Times New Roman" w:hAnsi="Times New Roman" w:cs="Times New Roman"/>
                      <w:sz w:val="18"/>
                      <w:szCs w:val="18"/>
                      <w:highlight w:val="none"/>
                      <w:vertAlign w:val="baseline"/>
                      <w:lang w:val="en-US" w:eastAsia="zh-CN"/>
                    </w:rPr>
                    <w:t>/a</w:t>
                  </w:r>
                  <w:r>
                    <w:rPr>
                      <w:rFonts w:hint="eastAsia" w:ascii="Times New Roman" w:hAnsi="Times New Roman" w:cs="Times New Roman"/>
                      <w:sz w:val="18"/>
                      <w:szCs w:val="18"/>
                      <w:highlight w:val="none"/>
                      <w:lang w:eastAsia="zh-CN"/>
                    </w:rPr>
                    <w:t>，</w:t>
                  </w:r>
                </w:p>
                <w:p>
                  <w:pPr>
                    <w:spacing w:line="240" w:lineRule="exact"/>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eastAsia="zh-CN"/>
                    </w:rPr>
                    <w:t>收集效率</w:t>
                  </w:r>
                  <w:r>
                    <w:rPr>
                      <w:rFonts w:hint="eastAsia" w:cs="Times New Roman"/>
                      <w:sz w:val="18"/>
                      <w:szCs w:val="18"/>
                      <w:highlight w:val="none"/>
                      <w:lang w:val="en-US" w:eastAsia="zh-CN"/>
                    </w:rPr>
                    <w:t>100</w:t>
                  </w:r>
                  <w:r>
                    <w:rPr>
                      <w:rFonts w:hint="eastAsia" w:ascii="Times New Roman" w:hAnsi="Times New Roman" w:cs="Times New Roman"/>
                      <w:sz w:val="18"/>
                      <w:szCs w:val="18"/>
                      <w:highlight w:val="none"/>
                      <w:lang w:val="en-US" w:eastAsia="zh-CN"/>
                    </w:rPr>
                    <w:t>%，低氮燃烧</w:t>
                  </w:r>
                </w:p>
              </w:tc>
              <w:tc>
                <w:tcPr>
                  <w:tcW w:w="614"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DA00</w:t>
                  </w:r>
                  <w:r>
                    <w:rPr>
                      <w:rFonts w:hint="eastAsia" w:cs="Times New Roman"/>
                      <w:sz w:val="18"/>
                      <w:szCs w:val="18"/>
                      <w:lang w:val="en-US" w:eastAsia="zh-CN"/>
                    </w:rPr>
                    <w:t>2</w:t>
                  </w:r>
                </w:p>
              </w:tc>
              <w:tc>
                <w:tcPr>
                  <w:tcW w:w="1070"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sz w:val="18"/>
                      <w:szCs w:val="18"/>
                      <w:highlight w:val="none"/>
                      <w:vertAlign w:val="baseline"/>
                      <w:lang w:val="en-US" w:eastAsia="zh-CN"/>
                    </w:rPr>
                  </w:pPr>
                  <w:r>
                    <w:rPr>
                      <w:rFonts w:hint="eastAsia" w:ascii="Times New Roman" w:hAnsi="Times New Roman" w:eastAsia="宋体" w:cs="Times New Roman"/>
                      <w:sz w:val="18"/>
                      <w:szCs w:val="18"/>
                      <w:highlight w:val="none"/>
                      <w:lang w:val="en-US" w:eastAsia="zh-CN"/>
                    </w:rPr>
                    <w:t>总风量</w:t>
                  </w:r>
                  <w:r>
                    <w:rPr>
                      <w:rFonts w:hint="eastAsia" w:cs="Times New Roman"/>
                      <w:sz w:val="18"/>
                      <w:szCs w:val="18"/>
                      <w:highlight w:val="none"/>
                      <w:lang w:val="en-US" w:eastAsia="zh-CN"/>
                    </w:rPr>
                    <w:t>1111908</w:t>
                  </w:r>
                  <w:r>
                    <w:rPr>
                      <w:rFonts w:hint="default" w:ascii="Times New Roman" w:hAnsi="Times New Roman" w:cs="Times New Roman"/>
                      <w:sz w:val="18"/>
                      <w:szCs w:val="18"/>
                      <w:highlight w:val="none"/>
                    </w:rPr>
                    <w:t>m</w:t>
                  </w:r>
                  <w:r>
                    <w:rPr>
                      <w:rFonts w:hint="default" w:ascii="Times New Roman" w:hAnsi="Times New Roman" w:cs="Times New Roman"/>
                      <w:sz w:val="18"/>
                      <w:szCs w:val="18"/>
                      <w:highlight w:val="none"/>
                      <w:vertAlign w:val="superscript"/>
                    </w:rPr>
                    <w:t>3</w:t>
                  </w:r>
                  <w:r>
                    <w:rPr>
                      <w:rFonts w:hint="eastAsia" w:ascii="Times New Roman" w:hAnsi="Times New Roman" w:cs="Times New Roman"/>
                      <w:sz w:val="18"/>
                      <w:szCs w:val="18"/>
                      <w:highlight w:val="none"/>
                      <w:vertAlign w:val="baseline"/>
                      <w:lang w:val="en-US" w:eastAsia="zh-CN"/>
                    </w:rPr>
                    <w:t>/a</w:t>
                  </w:r>
                </w:p>
              </w:tc>
              <w:tc>
                <w:tcPr>
                  <w:tcW w:w="571"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0.008</w:t>
                  </w:r>
                </w:p>
              </w:tc>
              <w:tc>
                <w:tcPr>
                  <w:tcW w:w="573"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0.0033</w:t>
                  </w:r>
                </w:p>
              </w:tc>
              <w:tc>
                <w:tcPr>
                  <w:tcW w:w="561"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color w:val="000000"/>
                      <w:kern w:val="0"/>
                      <w:sz w:val="18"/>
                      <w:szCs w:val="18"/>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97"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rPr>
                  </w:pPr>
                </w:p>
              </w:tc>
              <w:tc>
                <w:tcPr>
                  <w:tcW w:w="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kern w:val="2"/>
                      <w:sz w:val="18"/>
                      <w:szCs w:val="18"/>
                      <w:vertAlign w:val="subscript"/>
                      <w:lang w:val="en-US" w:eastAsia="zh-CN" w:bidi="ar-SA"/>
                    </w:rPr>
                  </w:pPr>
                  <w:r>
                    <w:rPr>
                      <w:rFonts w:hint="default" w:ascii="Times New Roman" w:hAnsi="Times New Roman" w:cs="Times New Roman"/>
                      <w:sz w:val="18"/>
                      <w:szCs w:val="18"/>
                      <w:lang w:val="en-US" w:eastAsia="zh-CN"/>
                    </w:rPr>
                    <w:t>SO</w:t>
                  </w:r>
                  <w:r>
                    <w:rPr>
                      <w:rFonts w:hint="default" w:ascii="Times New Roman" w:hAnsi="Times New Roman" w:cs="Times New Roman"/>
                      <w:sz w:val="18"/>
                      <w:szCs w:val="18"/>
                      <w:vertAlign w:val="subscript"/>
                      <w:lang w:val="en-US" w:eastAsia="zh-CN"/>
                    </w:rPr>
                    <w:t>2</w:t>
                  </w: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5.4</w:t>
                  </w:r>
                </w:p>
              </w:tc>
              <w:tc>
                <w:tcPr>
                  <w:tcW w:w="416"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highlight w:val="none"/>
                    </w:rPr>
                  </w:pPr>
                </w:p>
              </w:tc>
              <w:tc>
                <w:tcPr>
                  <w:tcW w:w="1263"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highlight w:val="none"/>
                    </w:rPr>
                  </w:pPr>
                </w:p>
              </w:tc>
              <w:tc>
                <w:tcPr>
                  <w:tcW w:w="614"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sz w:val="18"/>
                      <w:szCs w:val="18"/>
                      <w:highlight w:val="none"/>
                      <w:lang w:val="en-US" w:eastAsia="zh-CN"/>
                    </w:rPr>
                  </w:pPr>
                </w:p>
              </w:tc>
              <w:tc>
                <w:tcPr>
                  <w:tcW w:w="1070"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sz w:val="18"/>
                      <w:szCs w:val="18"/>
                      <w:highlight w:val="none"/>
                      <w:lang w:val="en-US" w:eastAsia="zh-CN"/>
                    </w:rPr>
                  </w:pPr>
                </w:p>
              </w:tc>
              <w:tc>
                <w:tcPr>
                  <w:tcW w:w="571"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573"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561"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97"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lang w:val="en-US" w:eastAsia="zh-CN" w:bidi="ar-SA"/>
                    </w:rPr>
                  </w:pPr>
                </w:p>
              </w:tc>
              <w:tc>
                <w:tcPr>
                  <w:tcW w:w="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kern w:val="2"/>
                      <w:sz w:val="18"/>
                      <w:szCs w:val="18"/>
                      <w:vertAlign w:val="subscript"/>
                      <w:lang w:val="en-US" w:eastAsia="zh-CN" w:bidi="ar-SA"/>
                    </w:rPr>
                  </w:pPr>
                  <w:r>
                    <w:rPr>
                      <w:rFonts w:hint="default" w:ascii="Times New Roman" w:hAnsi="Times New Roman" w:cs="Times New Roman"/>
                      <w:sz w:val="18"/>
                      <w:szCs w:val="18"/>
                      <w:lang w:val="en-US" w:eastAsia="zh-CN"/>
                    </w:rPr>
                    <w:t>NO</w:t>
                  </w:r>
                  <w:r>
                    <w:rPr>
                      <w:rFonts w:hint="default" w:ascii="Times New Roman" w:hAnsi="Times New Roman" w:cs="Times New Roman"/>
                      <w:sz w:val="18"/>
                      <w:szCs w:val="18"/>
                      <w:vertAlign w:val="subscript"/>
                      <w:lang w:val="en-US" w:eastAsia="zh-CN"/>
                    </w:rPr>
                    <w:t>X</w:t>
                  </w: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0.053</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0.053</w:t>
                  </w:r>
                </w:p>
              </w:tc>
              <w:tc>
                <w:tcPr>
                  <w:tcW w:w="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0.022</w:t>
                  </w:r>
                  <w:r>
                    <w:rPr>
                      <w:rFonts w:hint="eastAsia" w:ascii="Times New Roman" w:hAnsi="Times New Roman" w:eastAsia="宋体" w:cs="Times New Roman"/>
                      <w:i w:val="0"/>
                      <w:iCs w:val="0"/>
                      <w:color w:val="000000"/>
                      <w:kern w:val="0"/>
                      <w:sz w:val="18"/>
                      <w:szCs w:val="18"/>
                      <w:u w:val="none"/>
                      <w:lang w:val="en-US" w:eastAsia="zh-CN" w:bidi="ar"/>
                    </w:rPr>
                    <w:t>1</w:t>
                  </w:r>
                </w:p>
              </w:tc>
              <w:tc>
                <w:tcPr>
                  <w:tcW w:w="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i w:val="0"/>
                      <w:iCs w:val="0"/>
                      <w:color w:val="000000"/>
                      <w:kern w:val="0"/>
                      <w:sz w:val="18"/>
                      <w:szCs w:val="18"/>
                      <w:u w:val="none"/>
                      <w:lang w:val="en-US" w:eastAsia="zh-CN" w:bidi="ar"/>
                    </w:rPr>
                    <w:t>47.7</w:t>
                  </w:r>
                </w:p>
              </w:tc>
              <w:tc>
                <w:tcPr>
                  <w:tcW w:w="416"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highlight w:val="none"/>
                      <w:lang w:val="en-US" w:eastAsia="zh-CN" w:bidi="ar-SA"/>
                    </w:rPr>
                  </w:pPr>
                </w:p>
              </w:tc>
              <w:tc>
                <w:tcPr>
                  <w:tcW w:w="1263"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highlight w:val="none"/>
                      <w:lang w:val="en-US" w:eastAsia="zh-CN" w:bidi="ar-SA"/>
                    </w:rPr>
                  </w:pPr>
                </w:p>
              </w:tc>
              <w:tc>
                <w:tcPr>
                  <w:tcW w:w="614"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lang w:val="en-US" w:eastAsia="zh-CN"/>
                    </w:rPr>
                  </w:pPr>
                </w:p>
              </w:tc>
              <w:tc>
                <w:tcPr>
                  <w:tcW w:w="1070" w:type="dxa"/>
                  <w:vMerge w:val="continue"/>
                  <w:tcBorders>
                    <w:left w:val="single" w:color="auto" w:sz="4" w:space="0"/>
                    <w:right w:val="single" w:color="auto" w:sz="4" w:space="0"/>
                  </w:tcBorders>
                  <w:noWrap w:val="0"/>
                  <w:vAlign w:val="center"/>
                </w:tcPr>
                <w:p>
                  <w:pPr>
                    <w:spacing w:line="240" w:lineRule="exact"/>
                    <w:jc w:val="center"/>
                    <w:rPr>
                      <w:rFonts w:hint="eastAsia" w:ascii="Times New Roman" w:hAnsi="Times New Roman" w:eastAsia="宋体" w:cs="Times New Roman"/>
                      <w:kern w:val="2"/>
                      <w:sz w:val="18"/>
                      <w:szCs w:val="18"/>
                      <w:highlight w:val="none"/>
                      <w:lang w:val="en-US" w:eastAsia="zh-CN" w:bidi="ar-SA"/>
                    </w:rPr>
                  </w:pPr>
                </w:p>
              </w:tc>
              <w:tc>
                <w:tcPr>
                  <w:tcW w:w="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0.053</w:t>
                  </w:r>
                </w:p>
              </w:tc>
              <w:tc>
                <w:tcPr>
                  <w:tcW w:w="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0.022</w:t>
                  </w:r>
                  <w:r>
                    <w:rPr>
                      <w:rFonts w:hint="eastAsia" w:ascii="Times New Roman" w:hAnsi="Times New Roman" w:eastAsia="宋体" w:cs="Times New Roman"/>
                      <w:i w:val="0"/>
                      <w:iCs w:val="0"/>
                      <w:color w:val="000000"/>
                      <w:kern w:val="0"/>
                      <w:sz w:val="18"/>
                      <w:szCs w:val="18"/>
                      <w:u w:val="none"/>
                      <w:lang w:val="en-US" w:eastAsia="zh-CN" w:bidi="ar"/>
                    </w:rPr>
                    <w:t>1</w:t>
                  </w:r>
                </w:p>
              </w:tc>
              <w:tc>
                <w:tcPr>
                  <w:tcW w:w="5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i w:val="0"/>
                      <w:iCs w:val="0"/>
                      <w:color w:val="000000"/>
                      <w:kern w:val="0"/>
                      <w:sz w:val="18"/>
                      <w:szCs w:val="18"/>
                      <w:u w:val="none"/>
                      <w:lang w:val="en-US" w:eastAsia="zh-CN" w:bidi="ar"/>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97"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lang w:val="en-US" w:eastAsia="zh-CN" w:bidi="ar-SA"/>
                    </w:rPr>
                  </w:pPr>
                </w:p>
              </w:tc>
              <w:tc>
                <w:tcPr>
                  <w:tcW w:w="4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lang w:val="en-US" w:eastAsia="zh-CN"/>
                    </w:rPr>
                  </w:pPr>
                  <w:r>
                    <w:rPr>
                      <w:rFonts w:hint="eastAsia" w:cs="Times New Roman"/>
                      <w:sz w:val="18"/>
                      <w:szCs w:val="18"/>
                      <w:lang w:val="en-US" w:eastAsia="zh-CN"/>
                    </w:rPr>
                    <w:t>林格曼黑度</w:t>
                  </w: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＜1级</w:t>
                  </w:r>
                </w:p>
              </w:tc>
              <w:tc>
                <w:tcPr>
                  <w:tcW w:w="416"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highlight w:val="none"/>
                      <w:lang w:val="en-US" w:eastAsia="zh-CN" w:bidi="ar-SA"/>
                    </w:rPr>
                  </w:pPr>
                </w:p>
              </w:tc>
              <w:tc>
                <w:tcPr>
                  <w:tcW w:w="1263"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kern w:val="2"/>
                      <w:sz w:val="18"/>
                      <w:szCs w:val="18"/>
                      <w:highlight w:val="none"/>
                      <w:lang w:val="en-US" w:eastAsia="zh-CN" w:bidi="ar-SA"/>
                    </w:rPr>
                  </w:pPr>
                </w:p>
              </w:tc>
              <w:tc>
                <w:tcPr>
                  <w:tcW w:w="614" w:type="dxa"/>
                  <w:vMerge w:val="continue"/>
                  <w:tcBorders>
                    <w:left w:val="single" w:color="auto" w:sz="4" w:space="0"/>
                    <w:right w:val="single" w:color="auto" w:sz="4" w:space="0"/>
                  </w:tcBorders>
                  <w:noWrap w:val="0"/>
                  <w:vAlign w:val="center"/>
                </w:tcPr>
                <w:p>
                  <w:pPr>
                    <w:spacing w:line="240" w:lineRule="exact"/>
                    <w:jc w:val="center"/>
                    <w:rPr>
                      <w:rFonts w:hint="default" w:ascii="Times New Roman" w:hAnsi="Times New Roman" w:cs="Times New Roman"/>
                      <w:sz w:val="18"/>
                      <w:szCs w:val="18"/>
                      <w:lang w:val="en-US" w:eastAsia="zh-CN"/>
                    </w:rPr>
                  </w:pPr>
                </w:p>
              </w:tc>
              <w:tc>
                <w:tcPr>
                  <w:tcW w:w="1070" w:type="dxa"/>
                  <w:vMerge w:val="continue"/>
                  <w:tcBorders>
                    <w:left w:val="single" w:color="auto" w:sz="4" w:space="0"/>
                    <w:right w:val="single" w:color="auto" w:sz="4" w:space="0"/>
                  </w:tcBorders>
                  <w:noWrap w:val="0"/>
                  <w:vAlign w:val="center"/>
                </w:tcPr>
                <w:p>
                  <w:pPr>
                    <w:spacing w:line="240" w:lineRule="exact"/>
                    <w:jc w:val="center"/>
                    <w:rPr>
                      <w:rFonts w:hint="eastAsia" w:ascii="Times New Roman" w:hAnsi="Times New Roman" w:eastAsia="宋体" w:cs="Times New Roman"/>
                      <w:kern w:val="2"/>
                      <w:sz w:val="18"/>
                      <w:szCs w:val="18"/>
                      <w:highlight w:val="none"/>
                      <w:lang w:val="en-US" w:eastAsia="zh-CN" w:bidi="ar-SA"/>
                    </w:rPr>
                  </w:pPr>
                </w:p>
              </w:tc>
              <w:tc>
                <w:tcPr>
                  <w:tcW w:w="571"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573"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561"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＜1级</w:t>
                  </w:r>
                </w:p>
              </w:tc>
            </w:tr>
          </w:tbl>
          <w:p>
            <w:pPr>
              <w:spacing w:line="360" w:lineRule="auto"/>
              <w:ind w:firstLine="420" w:firstLineChars="200"/>
              <w:rPr>
                <w:rFonts w:hint="eastAsia" w:eastAsia="宋体"/>
                <w:lang w:eastAsia="zh-CN"/>
              </w:rPr>
            </w:pPr>
            <w:r>
              <w:rPr>
                <w:rFonts w:hint="eastAsia"/>
                <w:lang w:eastAsia="zh-CN"/>
              </w:rPr>
              <w:t>综上，本项目液化石油气燃烧排放的颗粒物、</w:t>
            </w:r>
            <w:r>
              <w:rPr>
                <w:rFonts w:hint="eastAsia"/>
                <w:bCs/>
                <w:color w:val="auto"/>
                <w:sz w:val="21"/>
                <w:szCs w:val="21"/>
                <w:lang w:val="en-US" w:eastAsia="zh-CN"/>
              </w:rPr>
              <w:t>SO</w:t>
            </w:r>
            <w:r>
              <w:rPr>
                <w:rFonts w:hint="eastAsia"/>
                <w:bCs/>
                <w:color w:val="auto"/>
                <w:sz w:val="21"/>
                <w:szCs w:val="21"/>
                <w:vertAlign w:val="subscript"/>
                <w:lang w:val="en-US" w:eastAsia="zh-CN"/>
              </w:rPr>
              <w:t>2</w:t>
            </w:r>
            <w:r>
              <w:rPr>
                <w:rFonts w:hint="eastAsia"/>
                <w:bCs/>
                <w:color w:val="auto"/>
                <w:sz w:val="21"/>
                <w:szCs w:val="21"/>
                <w:vertAlign w:val="baseline"/>
                <w:lang w:val="en-US" w:eastAsia="zh-CN"/>
              </w:rPr>
              <w:t>、NO</w:t>
            </w:r>
            <w:r>
              <w:rPr>
                <w:rFonts w:hint="eastAsia"/>
                <w:bCs/>
                <w:color w:val="auto"/>
                <w:sz w:val="21"/>
                <w:szCs w:val="21"/>
                <w:vertAlign w:val="subscript"/>
                <w:lang w:val="en-US" w:eastAsia="zh-CN"/>
              </w:rPr>
              <w:t>x</w:t>
            </w:r>
            <w:r>
              <w:rPr>
                <w:rFonts w:hint="eastAsia"/>
                <w:sz w:val="21"/>
                <w:szCs w:val="21"/>
                <w:lang w:eastAsia="zh-CN"/>
              </w:rPr>
              <w:t>、林格曼黑度满足</w:t>
            </w:r>
            <w:r>
              <w:rPr>
                <w:rFonts w:hint="eastAsia" w:eastAsiaTheme="minorEastAsia"/>
                <w:color w:val="000000" w:themeColor="text1"/>
                <w:lang w:eastAsia="zh-CN"/>
                <w14:textFill>
                  <w14:solidFill>
                    <w14:schemeClr w14:val="tx1"/>
                  </w14:solidFill>
                </w14:textFill>
              </w:rPr>
              <w:t>《锅炉大气污染物排放标准》（</w:t>
            </w:r>
            <w:r>
              <w:rPr>
                <w:rFonts w:hint="eastAsia" w:eastAsiaTheme="minorEastAsia"/>
                <w:color w:val="000000" w:themeColor="text1"/>
                <w14:textFill>
                  <w14:solidFill>
                    <w14:schemeClr w14:val="tx1"/>
                  </w14:solidFill>
                </w14:textFill>
              </w:rPr>
              <w:t>DB37/</w:t>
            </w:r>
            <w:r>
              <w:rPr>
                <w:rFonts w:hint="eastAsia" w:eastAsiaTheme="minorEastAsia"/>
                <w:color w:val="000000" w:themeColor="text1"/>
                <w:lang w:val="en-US" w:eastAsia="zh-CN"/>
                <w14:textFill>
                  <w14:solidFill>
                    <w14:schemeClr w14:val="tx1"/>
                  </w14:solidFill>
                </w14:textFill>
              </w:rPr>
              <w:t>2374</w:t>
            </w:r>
            <w:r>
              <w:rPr>
                <w:rFonts w:hint="eastAsia" w:eastAsiaTheme="minorEastAsia"/>
                <w:color w:val="000000" w:themeColor="text1"/>
                <w14:textFill>
                  <w14:solidFill>
                    <w14:schemeClr w14:val="tx1"/>
                  </w14:solidFill>
                </w14:textFill>
              </w:rPr>
              <w:t>-201</w:t>
            </w:r>
            <w:r>
              <w:rPr>
                <w:rFonts w:hint="eastAsia" w:eastAsiaTheme="minorEastAsia"/>
                <w:color w:val="000000" w:themeColor="text1"/>
                <w:lang w:val="en-US" w:eastAsia="zh-CN"/>
                <w14:textFill>
                  <w14:solidFill>
                    <w14:schemeClr w14:val="tx1"/>
                  </w14:solidFill>
                </w14:textFill>
              </w:rPr>
              <w:t>8</w:t>
            </w:r>
            <w:r>
              <w:rPr>
                <w:rFonts w:hint="eastAsia" w:eastAsiaTheme="minorEastAsia"/>
                <w:color w:val="000000" w:themeColor="text1"/>
                <w:lang w:eastAsia="zh-CN"/>
                <w14:textFill>
                  <w14:solidFill>
                    <w14:schemeClr w14:val="tx1"/>
                  </w14:solidFill>
                </w14:textFill>
              </w:rPr>
              <w:t>）表</w:t>
            </w:r>
            <w:r>
              <w:rPr>
                <w:rFonts w:hint="eastAsia" w:eastAsiaTheme="minorEastAsia"/>
                <w:color w:val="000000" w:themeColor="text1"/>
                <w:lang w:val="en-US" w:eastAsia="zh-CN"/>
                <w14:textFill>
                  <w14:solidFill>
                    <w14:schemeClr w14:val="tx1"/>
                  </w14:solidFill>
                </w14:textFill>
              </w:rPr>
              <w:t>2重点控制区</w:t>
            </w:r>
            <w:r>
              <w:rPr>
                <w:rFonts w:hint="eastAsia" w:eastAsiaTheme="minorEastAsia"/>
                <w:color w:val="000000" w:themeColor="text1"/>
                <w14:textFill>
                  <w14:solidFill>
                    <w14:schemeClr w14:val="tx1"/>
                  </w14:solidFill>
                </w14:textFill>
              </w:rPr>
              <w:t>污染物排放浓度限值</w:t>
            </w:r>
            <w:r>
              <w:rPr>
                <w:rFonts w:hint="eastAsia" w:eastAsiaTheme="minorEastAsia"/>
                <w:color w:val="000000" w:themeColor="text1"/>
                <w:lang w:eastAsia="zh-CN"/>
                <w14:textFill>
                  <w14:solidFill>
                    <w14:schemeClr w14:val="tx1"/>
                  </w14:solidFill>
                </w14:textFill>
              </w:rPr>
              <w:t>要求（颗粒物：</w:t>
            </w:r>
            <w:r>
              <w:rPr>
                <w:rFonts w:hint="eastAsia" w:eastAsiaTheme="minorEastAsia"/>
                <w:color w:val="000000" w:themeColor="text1"/>
                <w:lang w:val="en-US" w:eastAsia="zh-CN"/>
                <w14:textFill>
                  <w14:solidFill>
                    <w14:schemeClr w14:val="tx1"/>
                  </w14:solidFill>
                </w14:textFill>
              </w:rPr>
              <w:t>10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；二氧化硫：</w:t>
            </w:r>
            <w:r>
              <w:rPr>
                <w:rFonts w:hint="eastAsia" w:eastAsiaTheme="minorEastAsia"/>
                <w:color w:val="000000" w:themeColor="text1"/>
                <w:vertAlign w:val="baseline"/>
                <w:lang w:val="en-US" w:eastAsia="zh-CN"/>
                <w14:textFill>
                  <w14:solidFill>
                    <w14:schemeClr w14:val="tx1"/>
                  </w14:solidFill>
                </w14:textFill>
              </w:rPr>
              <w:t>50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；氮氧化物</w:t>
            </w:r>
            <w:r>
              <w:rPr>
                <w:rFonts w:hint="eastAsia" w:eastAsiaTheme="minorEastAsia"/>
                <w:color w:val="000000" w:themeColor="text1"/>
                <w:vertAlign w:val="baseline"/>
                <w:lang w:val="en-US" w:eastAsia="zh-CN"/>
                <w14:textFill>
                  <w14:solidFill>
                    <w14:schemeClr w14:val="tx1"/>
                  </w14:solidFill>
                </w14:textFill>
              </w:rPr>
              <w:t>100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；林格曼黑度：</w:t>
            </w:r>
            <w:r>
              <w:rPr>
                <w:rFonts w:hint="eastAsia" w:eastAsiaTheme="minorEastAsia"/>
                <w:color w:val="000000" w:themeColor="text1"/>
                <w:vertAlign w:val="baseline"/>
                <w:lang w:val="en-US" w:eastAsia="zh-CN"/>
                <w14:textFill>
                  <w14:solidFill>
                    <w14:schemeClr w14:val="tx1"/>
                  </w14:solidFill>
                </w14:textFill>
              </w:rPr>
              <w:t>1级</w:t>
            </w:r>
            <w:r>
              <w:rPr>
                <w:rFonts w:hint="eastAsia" w:eastAsiaTheme="minorEastAsia"/>
                <w:color w:val="000000" w:themeColor="text1"/>
                <w:lang w:eastAsia="zh-CN"/>
                <w14:textFill>
                  <w14:solidFill>
                    <w14:schemeClr w14:val="tx1"/>
                  </w14:solidFill>
                </w14:textFill>
              </w:rPr>
              <w:t>）。</w:t>
            </w:r>
          </w:p>
          <w:p>
            <w:pPr>
              <w:spacing w:line="360" w:lineRule="auto"/>
              <w:ind w:firstLine="420" w:firstLineChars="200"/>
            </w:pPr>
            <w:r>
              <w:t>（2）无组织废气</w:t>
            </w:r>
          </w:p>
          <w:p>
            <w:pPr>
              <w:spacing w:line="360" w:lineRule="auto"/>
              <w:ind w:firstLine="420" w:firstLineChars="200"/>
              <w:rPr>
                <w:color w:val="auto"/>
              </w:rPr>
            </w:pPr>
            <w:r>
              <w:t>项目</w:t>
            </w:r>
            <w:r>
              <w:rPr>
                <w:color w:val="auto"/>
              </w:rPr>
              <w:t>无组织废气主要为集气罩未收集的VOCs。</w:t>
            </w:r>
          </w:p>
          <w:p>
            <w:pPr>
              <w:spacing w:line="360" w:lineRule="auto"/>
              <w:ind w:firstLine="420" w:firstLineChars="200"/>
              <w:rPr>
                <w:color w:val="auto"/>
              </w:rPr>
            </w:pPr>
            <w:r>
              <w:rPr>
                <w:rFonts w:hint="eastAsia"/>
                <w:bCs/>
                <w:color w:val="auto"/>
                <w:lang w:eastAsia="zh-CN"/>
              </w:rPr>
              <w:t>覆膜</w:t>
            </w:r>
            <w:r>
              <w:rPr>
                <w:bCs/>
                <w:color w:val="auto"/>
              </w:rPr>
              <w:t>过程VOCs产生量为0.</w:t>
            </w:r>
            <w:r>
              <w:rPr>
                <w:rFonts w:hint="eastAsia"/>
                <w:bCs/>
                <w:color w:val="auto"/>
                <w:lang w:val="en-US" w:eastAsia="zh-CN"/>
              </w:rPr>
              <w:t>4</w:t>
            </w:r>
            <w:r>
              <w:rPr>
                <w:bCs/>
                <w:color w:val="auto"/>
              </w:rPr>
              <w:t>/a</w:t>
            </w:r>
            <w:r>
              <w:rPr>
                <w:rFonts w:hint="eastAsia"/>
                <w:color w:val="auto"/>
              </w:rPr>
              <w:t>，</w:t>
            </w:r>
            <w:r>
              <w:rPr>
                <w:bCs/>
                <w:color w:val="auto"/>
              </w:rPr>
              <w:t>集气罩收集效率为90%，10%未收集</w:t>
            </w:r>
            <w:r>
              <w:rPr>
                <w:rFonts w:hint="eastAsia"/>
                <w:bCs/>
                <w:color w:val="auto"/>
                <w:lang w:eastAsia="zh-CN"/>
              </w:rPr>
              <w:t>，全部无组织排放。无组织</w:t>
            </w:r>
            <w:r>
              <w:rPr>
                <w:bCs/>
                <w:color w:val="auto"/>
              </w:rPr>
              <w:t>VOCs</w:t>
            </w:r>
            <w:r>
              <w:rPr>
                <w:rFonts w:hint="eastAsia"/>
                <w:bCs/>
                <w:color w:val="auto"/>
                <w:lang w:eastAsia="zh-CN"/>
              </w:rPr>
              <w:t>排放量</w:t>
            </w:r>
            <w:r>
              <w:rPr>
                <w:bCs/>
                <w:color w:val="auto"/>
              </w:rPr>
              <w:t>为</w:t>
            </w:r>
            <w:r>
              <w:rPr>
                <w:rFonts w:hint="eastAsia"/>
                <w:bCs/>
                <w:color w:val="auto"/>
                <w:lang w:val="en-US" w:eastAsia="zh-CN"/>
              </w:rPr>
              <w:t>0.04</w:t>
            </w:r>
            <w:r>
              <w:rPr>
                <w:bCs/>
                <w:color w:val="auto"/>
              </w:rPr>
              <w:t>t/a</w:t>
            </w:r>
            <w:r>
              <w:rPr>
                <w:rFonts w:hint="eastAsia"/>
                <w:bCs/>
                <w:color w:val="auto"/>
                <w:lang w:eastAsia="zh-CN"/>
              </w:rPr>
              <w:t>，工作时间</w:t>
            </w:r>
            <w:r>
              <w:rPr>
                <w:rFonts w:hint="eastAsia"/>
                <w:bCs/>
                <w:color w:val="auto"/>
                <w:lang w:val="en-US" w:eastAsia="zh-CN"/>
              </w:rPr>
              <w:t>2400h/a，排放速率0.0167kg/h</w:t>
            </w:r>
            <w:r>
              <w:rPr>
                <w:bCs/>
                <w:color w:val="auto"/>
              </w:rPr>
              <w:t>。</w:t>
            </w:r>
          </w:p>
          <w:p>
            <w:pPr>
              <w:spacing w:line="360" w:lineRule="auto"/>
              <w:ind w:firstLine="420" w:firstLineChars="200"/>
            </w:pPr>
            <w:r>
              <w:rPr>
                <w:rFonts w:hint="eastAsia"/>
                <w:lang w:eastAsia="zh-CN"/>
              </w:rPr>
              <w:t>综上</w:t>
            </w:r>
            <w:r>
              <w:rPr>
                <w:rFonts w:hint="eastAsia"/>
              </w:rPr>
              <w:t>，</w:t>
            </w:r>
            <w:r>
              <w:t>VOCs无组织排放量为0.0</w:t>
            </w:r>
            <w:r>
              <w:rPr>
                <w:rFonts w:hint="eastAsia"/>
                <w:lang w:val="en-US" w:eastAsia="zh-CN"/>
              </w:rPr>
              <w:t>4</w:t>
            </w:r>
            <w:r>
              <w:t>t/a</w:t>
            </w:r>
            <w:r>
              <w:rPr>
                <w:kern w:val="24"/>
              </w:rPr>
              <w:t>。</w:t>
            </w:r>
          </w:p>
          <w:p>
            <w:pPr>
              <w:pStyle w:val="379"/>
              <w:ind w:firstLine="422"/>
              <w:rPr>
                <w:b/>
                <w:bCs/>
                <w:sz w:val="21"/>
              </w:rPr>
            </w:pPr>
            <w:r>
              <w:rPr>
                <w:b/>
                <w:bCs/>
                <w:sz w:val="21"/>
                <w:lang w:val="en-US"/>
              </w:rPr>
              <w:t>2、污染治理设施的可行性分析</w:t>
            </w:r>
          </w:p>
          <w:p>
            <w:pPr>
              <w:pStyle w:val="1387"/>
              <w:ind w:firstLine="420"/>
            </w:pPr>
            <w:r>
              <w:rPr>
                <w:rFonts w:hint="eastAsia"/>
              </w:rPr>
              <w:t>（1）</w:t>
            </w:r>
            <w:r>
              <w:t>活性炭吸附技术参数</w:t>
            </w:r>
          </w:p>
          <w:p>
            <w:pPr>
              <w:pStyle w:val="1387"/>
              <w:ind w:firstLine="420"/>
            </w:pPr>
            <w:r>
              <w:t>项目使用的活性炭吸附装置为活性炭吸附柜，由两组活性炭吸附柜连接使用，单个活性炭吸附柜工艺参数如下：</w:t>
            </w:r>
          </w:p>
          <w:p>
            <w:pPr>
              <w:pStyle w:val="1387"/>
              <w:ind w:firstLine="420"/>
            </w:pPr>
            <w:r>
              <w:t>活性炭填充参数：</w:t>
            </w:r>
            <w:r>
              <w:rPr>
                <w:rFonts w:hint="eastAsia"/>
              </w:rPr>
              <w:t>本项目使用的活性炭碘值为650mg/g，</w:t>
            </w:r>
            <w:r>
              <w:t>每个活性炭吸附柜尺寸</w:t>
            </w:r>
            <w:r>
              <w:rPr>
                <w:rFonts w:hint="eastAsia"/>
              </w:rPr>
              <w:t>0.8</w:t>
            </w:r>
            <w:r>
              <w:rPr>
                <w:rFonts w:hint="eastAsia"/>
                <w:lang w:val="en-US" w:eastAsia="zh-CN"/>
              </w:rPr>
              <w:t>5</w:t>
            </w:r>
            <w:r>
              <w:t>m×</w:t>
            </w:r>
            <w:r>
              <w:rPr>
                <w:rFonts w:hint="eastAsia"/>
              </w:rPr>
              <w:t>0.</w:t>
            </w:r>
            <w:r>
              <w:rPr>
                <w:rFonts w:hint="eastAsia"/>
                <w:lang w:val="en-US" w:eastAsia="zh-CN"/>
              </w:rPr>
              <w:t>85</w:t>
            </w:r>
            <w:r>
              <w:t>m×</w:t>
            </w:r>
            <w:r>
              <w:rPr>
                <w:rFonts w:hint="eastAsia"/>
              </w:rPr>
              <w:t>0.4</w:t>
            </w:r>
            <w:r>
              <w:t>m，蜂窝状活性炭密度约为400kg/m</w:t>
            </w:r>
            <w:r>
              <w:rPr>
                <w:vertAlign w:val="superscript"/>
              </w:rPr>
              <w:t>3</w:t>
            </w:r>
            <w:r>
              <w:t>，每个活性炭吸附柜活性炭装填量可达</w:t>
            </w:r>
            <w:r>
              <w:rPr>
                <w:rFonts w:hint="eastAsia"/>
              </w:rPr>
              <w:t>0.</w:t>
            </w:r>
            <w:r>
              <w:rPr>
                <w:rFonts w:hint="eastAsia"/>
                <w:lang w:val="en-US" w:eastAsia="zh-CN"/>
              </w:rPr>
              <w:t>1156</w:t>
            </w:r>
            <w:r>
              <w:t>t。因此，“</w:t>
            </w:r>
            <w:r>
              <w:rPr>
                <w:rFonts w:hint="eastAsia"/>
                <w:lang w:eastAsia="zh-CN"/>
              </w:rPr>
              <w:t>两</w:t>
            </w:r>
            <w:r>
              <w:t>级活性炭吸附”装置，新鲜活性炭单次更换量为</w:t>
            </w:r>
            <w:r>
              <w:rPr>
                <w:rFonts w:hint="eastAsia"/>
              </w:rPr>
              <w:t>0.</w:t>
            </w:r>
            <w:r>
              <w:rPr>
                <w:rFonts w:hint="eastAsia"/>
                <w:lang w:val="en-US" w:eastAsia="zh-CN"/>
              </w:rPr>
              <w:t>2312</w:t>
            </w:r>
            <w:r>
              <w:t>t/次。</w:t>
            </w:r>
          </w:p>
          <w:p>
            <w:pPr>
              <w:pStyle w:val="1387"/>
              <w:ind w:firstLine="420"/>
            </w:pPr>
            <w:r>
              <w:t>废气排放量核算：根据《环境工程设计手册》（主编：魏先勋）中有关集气罩排风量的计算公式，结合本项目拟建设有边集气罩，本项目集气罩所需的排风量L（m</w:t>
            </w:r>
            <w:r>
              <w:rPr>
                <w:vertAlign w:val="superscript"/>
              </w:rPr>
              <w:t>3</w:t>
            </w:r>
            <w:r>
              <w:t>/h）计算公式如下。</w:t>
            </w:r>
          </w:p>
          <w:p>
            <w:pPr>
              <w:pStyle w:val="1387"/>
              <w:ind w:firstLine="420"/>
              <w:jc w:val="center"/>
            </w:pPr>
            <w:r>
              <w:t>L=3600×0.75×（10X</w:t>
            </w:r>
            <w:r>
              <w:rPr>
                <w:vertAlign w:val="superscript"/>
              </w:rPr>
              <w:t>2</w:t>
            </w:r>
            <w:r>
              <w:t>+A）×Vx</w:t>
            </w:r>
          </w:p>
          <w:p>
            <w:pPr>
              <w:pStyle w:val="1387"/>
              <w:ind w:firstLine="420"/>
            </w:pPr>
            <w:r>
              <w:t>式中：L——集气罩的排风量，m</w:t>
            </w:r>
            <w:r>
              <w:rPr>
                <w:vertAlign w:val="superscript"/>
              </w:rPr>
              <w:t>3</w:t>
            </w:r>
            <w:r>
              <w:t>/h；</w:t>
            </w:r>
          </w:p>
          <w:p>
            <w:pPr>
              <w:pStyle w:val="1387"/>
              <w:ind w:firstLine="1050" w:firstLineChars="500"/>
            </w:pPr>
            <w:r>
              <w:t>X——污染物产生点至罩口的距离，m。本项目取0.</w:t>
            </w:r>
            <w:r>
              <w:rPr>
                <w:rFonts w:hint="eastAsia"/>
                <w:lang w:val="en-US" w:eastAsia="zh-CN"/>
              </w:rPr>
              <w:t>5</w:t>
            </w:r>
            <w:r>
              <w:t>m；</w:t>
            </w:r>
          </w:p>
          <w:p>
            <w:pPr>
              <w:pStyle w:val="1387"/>
              <w:ind w:firstLine="1050" w:firstLineChars="500"/>
            </w:pPr>
            <w:r>
              <w:t>A——罩口面积，m</w:t>
            </w:r>
            <w:r>
              <w:rPr>
                <w:vertAlign w:val="superscript"/>
              </w:rPr>
              <w:t>2</w:t>
            </w:r>
            <w:r>
              <w:t>；</w:t>
            </w:r>
          </w:p>
          <w:p>
            <w:pPr>
              <w:pStyle w:val="1387"/>
              <w:ind w:firstLine="1050" w:firstLineChars="500"/>
            </w:pPr>
            <w:r>
              <w:t>Vx——最小控制风速，m/s。集气罩废气风速按照最低风速0.3m/s计算。</w:t>
            </w:r>
          </w:p>
          <w:p>
            <w:pPr>
              <w:pStyle w:val="1387"/>
              <w:ind w:firstLine="422"/>
              <w:jc w:val="center"/>
              <w:rPr>
                <w:b/>
                <w:bCs/>
              </w:rPr>
            </w:pPr>
            <w:r>
              <w:rPr>
                <w:b/>
                <w:bCs/>
              </w:rPr>
              <w:t>表4-</w:t>
            </w:r>
            <w:r>
              <w:rPr>
                <w:rFonts w:hint="eastAsia"/>
                <w:b/>
                <w:bCs/>
              </w:rPr>
              <w:t>6</w:t>
            </w:r>
            <w:r>
              <w:rPr>
                <w:b/>
                <w:bCs/>
              </w:rPr>
              <w:t xml:space="preserve"> 两级活性炭吸附装置废气收集风量核算</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3"/>
              <w:gridCol w:w="709"/>
              <w:gridCol w:w="850"/>
              <w:gridCol w:w="993"/>
              <w:gridCol w:w="708"/>
              <w:gridCol w:w="709"/>
              <w:gridCol w:w="851"/>
              <w:gridCol w:w="55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3" w:type="dxa"/>
                  <w:vAlign w:val="center"/>
                </w:tcPr>
                <w:p>
                  <w:pPr>
                    <w:pStyle w:val="198"/>
                    <w:spacing w:before="24" w:after="24"/>
                    <w:rPr>
                      <w:rFonts w:ascii="Times New Roman"/>
                      <w:color w:val="auto"/>
                      <w:sz w:val="18"/>
                      <w:szCs w:val="18"/>
                    </w:rPr>
                  </w:pPr>
                  <w:r>
                    <w:rPr>
                      <w:rFonts w:ascii="Times New Roman"/>
                      <w:color w:val="auto"/>
                      <w:sz w:val="18"/>
                      <w:szCs w:val="18"/>
                    </w:rPr>
                    <w:t>设备</w:t>
                  </w:r>
                </w:p>
              </w:tc>
              <w:tc>
                <w:tcPr>
                  <w:tcW w:w="709" w:type="dxa"/>
                  <w:vAlign w:val="center"/>
                </w:tcPr>
                <w:p>
                  <w:pPr>
                    <w:pStyle w:val="198"/>
                    <w:spacing w:before="24" w:after="24"/>
                    <w:rPr>
                      <w:rFonts w:ascii="Times New Roman"/>
                      <w:color w:val="auto"/>
                      <w:sz w:val="18"/>
                      <w:szCs w:val="18"/>
                    </w:rPr>
                  </w:pPr>
                  <w:r>
                    <w:rPr>
                      <w:rFonts w:ascii="Times New Roman"/>
                      <w:color w:val="auto"/>
                      <w:sz w:val="18"/>
                      <w:szCs w:val="18"/>
                    </w:rPr>
                    <w:t>工作班制</w:t>
                  </w:r>
                </w:p>
              </w:tc>
              <w:tc>
                <w:tcPr>
                  <w:tcW w:w="850" w:type="dxa"/>
                  <w:vAlign w:val="center"/>
                </w:tcPr>
                <w:p>
                  <w:pPr>
                    <w:pStyle w:val="198"/>
                    <w:spacing w:before="24" w:after="24"/>
                    <w:rPr>
                      <w:rFonts w:ascii="Times New Roman"/>
                      <w:color w:val="auto"/>
                      <w:sz w:val="18"/>
                      <w:szCs w:val="18"/>
                    </w:rPr>
                  </w:pPr>
                  <w:r>
                    <w:rPr>
                      <w:rFonts w:ascii="Times New Roman"/>
                      <w:color w:val="auto"/>
                      <w:sz w:val="18"/>
                      <w:szCs w:val="18"/>
                    </w:rPr>
                    <w:t>距离m</w:t>
                  </w:r>
                </w:p>
              </w:tc>
              <w:tc>
                <w:tcPr>
                  <w:tcW w:w="993" w:type="dxa"/>
                  <w:vAlign w:val="center"/>
                </w:tcPr>
                <w:p>
                  <w:pPr>
                    <w:pStyle w:val="198"/>
                    <w:spacing w:before="24" w:after="24"/>
                    <w:rPr>
                      <w:rFonts w:ascii="Times New Roman"/>
                      <w:color w:val="auto"/>
                      <w:sz w:val="18"/>
                      <w:szCs w:val="18"/>
                    </w:rPr>
                  </w:pPr>
                  <w:r>
                    <w:rPr>
                      <w:rFonts w:ascii="Times New Roman"/>
                      <w:color w:val="auto"/>
                      <w:sz w:val="18"/>
                      <w:szCs w:val="18"/>
                    </w:rPr>
                    <w:t>集气罩长度m</w:t>
                  </w:r>
                </w:p>
              </w:tc>
              <w:tc>
                <w:tcPr>
                  <w:tcW w:w="708" w:type="dxa"/>
                  <w:vAlign w:val="center"/>
                </w:tcPr>
                <w:p>
                  <w:pPr>
                    <w:pStyle w:val="198"/>
                    <w:spacing w:before="24" w:after="24"/>
                    <w:rPr>
                      <w:rFonts w:ascii="Times New Roman"/>
                      <w:color w:val="auto"/>
                      <w:sz w:val="18"/>
                      <w:szCs w:val="18"/>
                    </w:rPr>
                  </w:pPr>
                  <w:r>
                    <w:rPr>
                      <w:rFonts w:ascii="Times New Roman"/>
                      <w:color w:val="auto"/>
                      <w:sz w:val="18"/>
                      <w:szCs w:val="18"/>
                    </w:rPr>
                    <w:t>集气罩面积m</w:t>
                  </w:r>
                  <w:r>
                    <w:rPr>
                      <w:rFonts w:ascii="Times New Roman"/>
                      <w:color w:val="auto"/>
                      <w:sz w:val="18"/>
                      <w:szCs w:val="18"/>
                      <w:vertAlign w:val="superscript"/>
                    </w:rPr>
                    <w:t>2</w:t>
                  </w:r>
                </w:p>
              </w:tc>
              <w:tc>
                <w:tcPr>
                  <w:tcW w:w="709" w:type="dxa"/>
                  <w:vAlign w:val="center"/>
                </w:tcPr>
                <w:p>
                  <w:pPr>
                    <w:pStyle w:val="198"/>
                    <w:spacing w:before="24" w:after="24"/>
                    <w:rPr>
                      <w:rFonts w:ascii="Times New Roman"/>
                      <w:color w:val="auto"/>
                      <w:sz w:val="18"/>
                      <w:szCs w:val="18"/>
                    </w:rPr>
                  </w:pPr>
                  <w:r>
                    <w:rPr>
                      <w:rFonts w:ascii="Times New Roman"/>
                      <w:color w:val="auto"/>
                      <w:sz w:val="18"/>
                      <w:szCs w:val="18"/>
                    </w:rPr>
                    <w:t>风速</w:t>
                  </w:r>
                </w:p>
                <w:p>
                  <w:pPr>
                    <w:jc w:val="center"/>
                    <w:rPr>
                      <w:sz w:val="18"/>
                      <w:szCs w:val="18"/>
                    </w:rPr>
                  </w:pPr>
                  <w:r>
                    <w:rPr>
                      <w:sz w:val="18"/>
                      <w:szCs w:val="18"/>
                    </w:rPr>
                    <w:t>m/s</w:t>
                  </w:r>
                </w:p>
              </w:tc>
              <w:tc>
                <w:tcPr>
                  <w:tcW w:w="851" w:type="dxa"/>
                  <w:vAlign w:val="center"/>
                </w:tcPr>
                <w:p>
                  <w:pPr>
                    <w:pStyle w:val="198"/>
                    <w:spacing w:before="24" w:after="24"/>
                    <w:rPr>
                      <w:rFonts w:ascii="Times New Roman"/>
                      <w:color w:val="auto"/>
                      <w:sz w:val="18"/>
                      <w:szCs w:val="18"/>
                    </w:rPr>
                  </w:pPr>
                  <w:r>
                    <w:rPr>
                      <w:rFonts w:ascii="Times New Roman"/>
                      <w:color w:val="auto"/>
                      <w:sz w:val="18"/>
                      <w:szCs w:val="18"/>
                    </w:rPr>
                    <w:t>单集气罩风量m</w:t>
                  </w:r>
                  <w:r>
                    <w:rPr>
                      <w:rFonts w:ascii="Times New Roman"/>
                      <w:color w:val="auto"/>
                      <w:sz w:val="18"/>
                      <w:szCs w:val="18"/>
                      <w:vertAlign w:val="superscript"/>
                    </w:rPr>
                    <w:t>3</w:t>
                  </w:r>
                  <w:r>
                    <w:rPr>
                      <w:rFonts w:ascii="Times New Roman"/>
                      <w:color w:val="auto"/>
                      <w:sz w:val="18"/>
                      <w:szCs w:val="18"/>
                    </w:rPr>
                    <w:t>/h</w:t>
                  </w:r>
                </w:p>
              </w:tc>
              <w:tc>
                <w:tcPr>
                  <w:tcW w:w="555" w:type="dxa"/>
                  <w:vAlign w:val="center"/>
                </w:tcPr>
                <w:p>
                  <w:pPr>
                    <w:pStyle w:val="198"/>
                    <w:spacing w:before="24" w:after="24"/>
                    <w:rPr>
                      <w:rFonts w:ascii="Times New Roman"/>
                      <w:color w:val="auto"/>
                      <w:sz w:val="18"/>
                      <w:szCs w:val="18"/>
                    </w:rPr>
                  </w:pPr>
                  <w:r>
                    <w:rPr>
                      <w:rFonts w:ascii="Times New Roman"/>
                      <w:color w:val="auto"/>
                      <w:sz w:val="18"/>
                      <w:szCs w:val="18"/>
                    </w:rPr>
                    <w:t>数量</w:t>
                  </w:r>
                </w:p>
                <w:p>
                  <w:pPr>
                    <w:jc w:val="center"/>
                    <w:rPr>
                      <w:sz w:val="18"/>
                      <w:szCs w:val="18"/>
                    </w:rPr>
                  </w:pPr>
                  <w:r>
                    <w:rPr>
                      <w:sz w:val="18"/>
                      <w:szCs w:val="18"/>
                    </w:rPr>
                    <w:t>台</w:t>
                  </w:r>
                </w:p>
              </w:tc>
              <w:tc>
                <w:tcPr>
                  <w:tcW w:w="1004" w:type="dxa"/>
                  <w:vAlign w:val="center"/>
                </w:tcPr>
                <w:p>
                  <w:pPr>
                    <w:pStyle w:val="198"/>
                    <w:spacing w:before="24" w:after="24"/>
                    <w:rPr>
                      <w:rFonts w:ascii="Times New Roman"/>
                      <w:color w:val="auto"/>
                      <w:sz w:val="18"/>
                      <w:szCs w:val="18"/>
                    </w:rPr>
                  </w:pPr>
                  <w:r>
                    <w:rPr>
                      <w:rFonts w:ascii="Times New Roman"/>
                      <w:color w:val="auto"/>
                      <w:sz w:val="18"/>
                      <w:szCs w:val="18"/>
                    </w:rPr>
                    <w:t>总风量</w:t>
                  </w:r>
                </w:p>
                <w:p>
                  <w:pPr>
                    <w:jc w:val="center"/>
                    <w:rPr>
                      <w:sz w:val="18"/>
                      <w:szCs w:val="18"/>
                    </w:rPr>
                  </w:pPr>
                  <w:r>
                    <w:rPr>
                      <w:sz w:val="18"/>
                      <w:szCs w:val="18"/>
                    </w:rPr>
                    <w:t>m</w:t>
                  </w:r>
                  <w:r>
                    <w:rPr>
                      <w:sz w:val="18"/>
                      <w:szCs w:val="18"/>
                      <w:vertAlign w:val="superscript"/>
                    </w:rPr>
                    <w:t>3</w:t>
                  </w:r>
                  <w:r>
                    <w:rPr>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3" w:type="dxa"/>
                  <w:vAlign w:val="center"/>
                </w:tcPr>
                <w:p>
                  <w:pPr>
                    <w:pStyle w:val="198"/>
                    <w:spacing w:before="24" w:after="24"/>
                    <w:rPr>
                      <w:rFonts w:hint="eastAsia" w:ascii="Times New Roman" w:eastAsia="宋体"/>
                      <w:color w:val="auto"/>
                      <w:sz w:val="18"/>
                      <w:szCs w:val="18"/>
                      <w:lang w:eastAsia="zh-CN"/>
                    </w:rPr>
                  </w:pPr>
                  <w:r>
                    <w:rPr>
                      <w:rFonts w:hint="eastAsia" w:ascii="Times New Roman"/>
                      <w:color w:val="auto"/>
                      <w:sz w:val="18"/>
                      <w:szCs w:val="18"/>
                      <w:lang w:eastAsia="zh-CN"/>
                    </w:rPr>
                    <w:t>全自动覆膜机</w:t>
                  </w:r>
                </w:p>
              </w:tc>
              <w:tc>
                <w:tcPr>
                  <w:tcW w:w="709" w:type="dxa"/>
                  <w:vAlign w:val="center"/>
                </w:tcPr>
                <w:p>
                  <w:pPr>
                    <w:pStyle w:val="198"/>
                    <w:spacing w:before="24" w:after="24"/>
                    <w:rPr>
                      <w:rFonts w:ascii="Times New Roman"/>
                      <w:color w:val="auto"/>
                      <w:sz w:val="18"/>
                      <w:szCs w:val="18"/>
                    </w:rPr>
                  </w:pPr>
                  <w:r>
                    <w:rPr>
                      <w:rFonts w:ascii="Times New Roman"/>
                      <w:color w:val="auto"/>
                      <w:sz w:val="18"/>
                      <w:szCs w:val="18"/>
                    </w:rPr>
                    <w:t>白班</w:t>
                  </w:r>
                </w:p>
              </w:tc>
              <w:tc>
                <w:tcPr>
                  <w:tcW w:w="850" w:type="dxa"/>
                  <w:vAlign w:val="center"/>
                </w:tcPr>
                <w:p>
                  <w:pPr>
                    <w:pStyle w:val="198"/>
                    <w:spacing w:before="24" w:after="24"/>
                    <w:rPr>
                      <w:rFonts w:hint="eastAsia" w:ascii="Times New Roman" w:eastAsia="宋体"/>
                      <w:color w:val="auto"/>
                      <w:sz w:val="18"/>
                      <w:szCs w:val="18"/>
                      <w:lang w:eastAsia="zh-CN"/>
                    </w:rPr>
                  </w:pPr>
                  <w:r>
                    <w:rPr>
                      <w:rFonts w:ascii="Times New Roman"/>
                      <w:color w:val="auto"/>
                      <w:sz w:val="18"/>
                      <w:szCs w:val="18"/>
                    </w:rPr>
                    <w:t>0.</w:t>
                  </w:r>
                  <w:r>
                    <w:rPr>
                      <w:rFonts w:hint="eastAsia" w:ascii="Times New Roman"/>
                      <w:color w:val="auto"/>
                      <w:sz w:val="18"/>
                      <w:szCs w:val="18"/>
                      <w:lang w:val="en-US" w:eastAsia="zh-CN"/>
                    </w:rPr>
                    <w:t>5</w:t>
                  </w:r>
                </w:p>
              </w:tc>
              <w:tc>
                <w:tcPr>
                  <w:tcW w:w="993" w:type="dxa"/>
                  <w:vAlign w:val="center"/>
                </w:tcPr>
                <w:p>
                  <w:pPr>
                    <w:pStyle w:val="198"/>
                    <w:spacing w:before="24" w:after="24"/>
                    <w:rPr>
                      <w:rFonts w:hint="eastAsia" w:ascii="Times New Roman" w:eastAsia="宋体"/>
                      <w:color w:val="auto"/>
                      <w:sz w:val="18"/>
                      <w:szCs w:val="18"/>
                      <w:lang w:eastAsia="zh-CN"/>
                    </w:rPr>
                  </w:pPr>
                  <w:r>
                    <w:rPr>
                      <w:rFonts w:hint="eastAsia" w:ascii="Times New Roman"/>
                      <w:color w:val="auto"/>
                      <w:sz w:val="18"/>
                      <w:szCs w:val="18"/>
                      <w:lang w:val="en-US" w:eastAsia="zh-CN"/>
                    </w:rPr>
                    <w:t>1</w:t>
                  </w:r>
                  <w:r>
                    <w:rPr>
                      <w:rFonts w:ascii="Times New Roman"/>
                      <w:color w:val="auto"/>
                      <w:sz w:val="18"/>
                      <w:szCs w:val="18"/>
                    </w:rPr>
                    <w:t>×</w:t>
                  </w:r>
                  <w:r>
                    <w:rPr>
                      <w:rFonts w:hint="eastAsia" w:ascii="Times New Roman"/>
                      <w:color w:val="auto"/>
                      <w:sz w:val="18"/>
                      <w:szCs w:val="18"/>
                    </w:rPr>
                    <w:t>0.</w:t>
                  </w:r>
                  <w:r>
                    <w:rPr>
                      <w:rFonts w:hint="eastAsia" w:ascii="Times New Roman"/>
                      <w:color w:val="auto"/>
                      <w:sz w:val="18"/>
                      <w:szCs w:val="18"/>
                      <w:lang w:val="en-US" w:eastAsia="zh-CN"/>
                    </w:rPr>
                    <w:t>8</w:t>
                  </w:r>
                </w:p>
              </w:tc>
              <w:tc>
                <w:tcPr>
                  <w:tcW w:w="708"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rPr>
                    <w:t>0.</w:t>
                  </w:r>
                  <w:r>
                    <w:rPr>
                      <w:rFonts w:hint="eastAsia" w:ascii="Times New Roman"/>
                      <w:color w:val="auto"/>
                      <w:sz w:val="18"/>
                      <w:szCs w:val="18"/>
                      <w:lang w:val="en-US" w:eastAsia="zh-CN"/>
                    </w:rPr>
                    <w:t>8</w:t>
                  </w:r>
                </w:p>
              </w:tc>
              <w:tc>
                <w:tcPr>
                  <w:tcW w:w="709" w:type="dxa"/>
                  <w:vAlign w:val="center"/>
                </w:tcPr>
                <w:p>
                  <w:pPr>
                    <w:pStyle w:val="198"/>
                    <w:spacing w:before="24" w:after="24"/>
                    <w:rPr>
                      <w:rFonts w:ascii="Times New Roman"/>
                      <w:color w:val="auto"/>
                      <w:sz w:val="18"/>
                      <w:szCs w:val="18"/>
                    </w:rPr>
                  </w:pPr>
                  <w:r>
                    <w:rPr>
                      <w:rFonts w:ascii="Times New Roman"/>
                      <w:color w:val="auto"/>
                      <w:sz w:val="18"/>
                      <w:szCs w:val="18"/>
                    </w:rPr>
                    <w:t>0.3</w:t>
                  </w:r>
                </w:p>
              </w:tc>
              <w:tc>
                <w:tcPr>
                  <w:tcW w:w="851"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2673</w:t>
                  </w:r>
                </w:p>
              </w:tc>
              <w:tc>
                <w:tcPr>
                  <w:tcW w:w="555" w:type="dxa"/>
                  <w:vAlign w:val="center"/>
                </w:tcPr>
                <w:p>
                  <w:pPr>
                    <w:pStyle w:val="198"/>
                    <w:spacing w:before="24" w:after="24"/>
                    <w:rPr>
                      <w:rFonts w:ascii="Times New Roman"/>
                      <w:color w:val="auto"/>
                      <w:sz w:val="18"/>
                      <w:szCs w:val="18"/>
                    </w:rPr>
                  </w:pPr>
                  <w:r>
                    <w:rPr>
                      <w:rFonts w:hint="eastAsia" w:ascii="Times New Roman" w:eastAsia="等线"/>
                      <w:color w:val="auto"/>
                      <w:sz w:val="18"/>
                      <w:szCs w:val="18"/>
                    </w:rPr>
                    <w:t>1</w:t>
                  </w:r>
                </w:p>
              </w:tc>
              <w:tc>
                <w:tcPr>
                  <w:tcW w:w="1004"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28" w:type="dxa"/>
                  <w:gridSpan w:val="8"/>
                  <w:vAlign w:val="center"/>
                </w:tcPr>
                <w:p>
                  <w:pPr>
                    <w:pStyle w:val="198"/>
                    <w:spacing w:before="24" w:after="24"/>
                    <w:rPr>
                      <w:rFonts w:ascii="Times New Roman"/>
                      <w:color w:val="auto"/>
                      <w:sz w:val="18"/>
                      <w:szCs w:val="18"/>
                    </w:rPr>
                  </w:pPr>
                  <w:r>
                    <w:rPr>
                      <w:rFonts w:ascii="Times New Roman"/>
                      <w:color w:val="auto"/>
                      <w:sz w:val="18"/>
                      <w:szCs w:val="18"/>
                    </w:rPr>
                    <w:t>风机最大量总计</w:t>
                  </w:r>
                </w:p>
              </w:tc>
              <w:tc>
                <w:tcPr>
                  <w:tcW w:w="1004"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3000</w:t>
                  </w:r>
                </w:p>
              </w:tc>
            </w:tr>
          </w:tbl>
          <w:p>
            <w:pPr>
              <w:pStyle w:val="1387"/>
              <w:ind w:firstLine="420"/>
            </w:pPr>
            <w:r>
              <w:t>经计算，本项目两级活性炭吸附设置配套风机风量</w:t>
            </w:r>
            <w:r>
              <w:rPr>
                <w:rFonts w:hint="eastAsia"/>
                <w:lang w:val="en-US" w:eastAsia="zh-CN"/>
              </w:rPr>
              <w:t>3</w:t>
            </w:r>
            <w:r>
              <w:rPr>
                <w:rFonts w:hint="eastAsia"/>
              </w:rPr>
              <w:t>000</w:t>
            </w:r>
            <w:r>
              <w:t>m</w:t>
            </w:r>
            <w:r>
              <w:rPr>
                <w:vertAlign w:val="superscript"/>
              </w:rPr>
              <w:t>3</w:t>
            </w:r>
            <w:r>
              <w:t>/h。</w:t>
            </w:r>
          </w:p>
          <w:p>
            <w:pPr>
              <w:pStyle w:val="1387"/>
              <w:keepNext w:val="0"/>
              <w:keepLines w:val="0"/>
              <w:pageBreakBefore w:val="0"/>
              <w:widowControl w:val="0"/>
              <w:kinsoku/>
              <w:overflowPunct/>
              <w:topLinePunct w:val="0"/>
              <w:bidi w:val="0"/>
              <w:ind w:firstLine="420"/>
              <w:jc w:val="both"/>
              <w:textAlignment w:val="auto"/>
              <w:rPr>
                <w:rFonts w:hint="default" w:ascii="Times New Roman" w:hAnsi="Times New Roman" w:cs="Times New Roman"/>
                <w:color w:val="auto"/>
              </w:rPr>
            </w:pPr>
            <w:r>
              <w:rPr>
                <w:rFonts w:hint="default" w:ascii="Times New Roman" w:hAnsi="Times New Roman" w:cs="Times New Roman"/>
                <w:color w:val="auto"/>
              </w:rPr>
              <w:t>参考《广东省家具行业挥发性有机化合物废气治理技术指南》（粤环[2013]79 号）中对有机废气治理设施的治理效率可得，处理效率为50~80%，本项目活性炭吸附装置处理效率取55%，则两级活性炭吸附装置的处理效率可达:1-(1-60%)×(1-60%)=84%，因本项目VOCs产生量较少，浓度较低，本评价</w:t>
            </w:r>
            <w:r>
              <w:rPr>
                <w:rFonts w:hint="eastAsia" w:cs="Times New Roman"/>
                <w:color w:val="auto"/>
                <w:lang w:eastAsia="zh-CN"/>
              </w:rPr>
              <w:t>中两</w:t>
            </w:r>
            <w:r>
              <w:rPr>
                <w:rFonts w:hint="default" w:ascii="Times New Roman" w:hAnsi="Times New Roman" w:cs="Times New Roman"/>
                <w:color w:val="auto"/>
              </w:rPr>
              <w:t>级活性炭吸附装置对有机废气的处理效率保守估计</w:t>
            </w:r>
            <w:r>
              <w:rPr>
                <w:rFonts w:hint="eastAsia" w:cs="Times New Roman"/>
                <w:color w:val="auto"/>
                <w:lang w:eastAsia="zh-CN"/>
              </w:rPr>
              <w:t>值</w:t>
            </w:r>
            <w:r>
              <w:rPr>
                <w:rFonts w:hint="default" w:ascii="Times New Roman" w:hAnsi="Times New Roman" w:cs="Times New Roman"/>
                <w:color w:val="auto"/>
              </w:rPr>
              <w:t>为</w:t>
            </w:r>
            <w:r>
              <w:rPr>
                <w:rFonts w:hint="eastAsia" w:ascii="Times New Roman" w:hAnsi="Times New Roman" w:cs="Times New Roman"/>
                <w:color w:val="auto"/>
                <w:lang w:val="en-US" w:eastAsia="zh-CN"/>
              </w:rPr>
              <w:t>7</w:t>
            </w:r>
            <w:r>
              <w:rPr>
                <w:rFonts w:hint="default" w:ascii="Times New Roman" w:hAnsi="Times New Roman" w:cs="Times New Roman"/>
                <w:color w:val="auto"/>
              </w:rPr>
              <w:t>0%。</w:t>
            </w:r>
          </w:p>
          <w:p>
            <w:pPr>
              <w:pStyle w:val="2"/>
              <w:keepNext w:val="0"/>
              <w:keepLines w:val="0"/>
              <w:pageBreakBefore w:val="0"/>
              <w:widowControl w:val="0"/>
              <w:numPr>
                <w:ilvl w:val="0"/>
                <w:numId w:val="0"/>
              </w:numPr>
              <w:kinsoku/>
              <w:overflowPunct/>
              <w:topLinePunct w:val="0"/>
              <w:bidi w:val="0"/>
              <w:spacing w:after="0" w:line="360" w:lineRule="auto"/>
              <w:ind w:firstLine="420" w:firstLineChars="200"/>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本项目引</w:t>
            </w:r>
            <w:r>
              <w:rPr>
                <w:rFonts w:hint="default" w:ascii="Times New Roman" w:hAnsi="Times New Roman" w:cs="Times New Roman"/>
                <w:color w:val="auto"/>
                <w:sz w:val="21"/>
                <w:szCs w:val="21"/>
              </w:rPr>
              <w:t>风机风量</w:t>
            </w:r>
            <w:r>
              <w:rPr>
                <w:rFonts w:hint="eastAsia" w:ascii="Times New Roman" w:hAnsi="Times New Roman" w:eastAsia="宋体" w:cs="Times New Roman"/>
                <w:color w:val="auto"/>
                <w:sz w:val="21"/>
                <w:szCs w:val="21"/>
                <w:lang w:eastAsia="zh-CN"/>
              </w:rPr>
              <w:t>最</w:t>
            </w:r>
            <w:r>
              <w:rPr>
                <w:rFonts w:hint="eastAsia" w:eastAsia="宋体" w:cs="Times New Roman"/>
                <w:color w:val="auto"/>
                <w:sz w:val="21"/>
                <w:szCs w:val="21"/>
                <w:lang w:eastAsia="zh-CN"/>
              </w:rPr>
              <w:t>大</w:t>
            </w:r>
            <w:r>
              <w:rPr>
                <w:rFonts w:hint="eastAsia" w:ascii="Times New Roman" w:hAnsi="Times New Roman" w:eastAsia="宋体" w:cs="Times New Roman"/>
                <w:color w:val="auto"/>
                <w:sz w:val="21"/>
                <w:szCs w:val="21"/>
                <w:lang w:eastAsia="zh-CN"/>
              </w:rPr>
              <w:t>为</w:t>
            </w:r>
            <w:r>
              <w:rPr>
                <w:rFonts w:hint="eastAsia" w:cs="Times New Roman"/>
                <w:color w:val="auto"/>
                <w:sz w:val="21"/>
                <w:szCs w:val="21"/>
                <w:lang w:val="en-US" w:eastAsia="zh-CN"/>
              </w:rPr>
              <w:t>3</w:t>
            </w:r>
            <w:r>
              <w:rPr>
                <w:rFonts w:hint="eastAsia" w:eastAsia="宋体" w:cs="Times New Roman"/>
                <w:color w:val="auto"/>
                <w:sz w:val="21"/>
                <w:szCs w:val="21"/>
                <w:lang w:val="en-US" w:eastAsia="zh-CN"/>
              </w:rPr>
              <w:t>0</w:t>
            </w:r>
            <w:r>
              <w:rPr>
                <w:rFonts w:hint="default" w:ascii="Times New Roman" w:hAnsi="Times New Roman" w:cs="Times New Roman"/>
                <w:color w:val="auto"/>
                <w:sz w:val="21"/>
                <w:szCs w:val="21"/>
              </w:rPr>
              <w:t>00m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/h，本项目活性炭吸附柜的尺寸为</w:t>
            </w:r>
            <w:r>
              <w:rPr>
                <w:rFonts w:hint="eastAsia" w:cs="Times New Roman"/>
                <w:color w:val="auto"/>
                <w:sz w:val="21"/>
                <w:szCs w:val="21"/>
                <w:lang w:val="en-US" w:eastAsia="zh-CN"/>
              </w:rPr>
              <w:t>0.85</w:t>
            </w:r>
            <w:r>
              <w:rPr>
                <w:rFonts w:hint="default" w:ascii="Times New Roman" w:hAnsi="Times New Roman" w:cs="Times New Roman"/>
                <w:color w:val="auto"/>
                <w:sz w:val="21"/>
                <w:szCs w:val="21"/>
              </w:rPr>
              <w:t>m×</w:t>
            </w:r>
            <w:r>
              <w:rPr>
                <w:rFonts w:hint="eastAsia" w:cs="Times New Roman"/>
                <w:color w:val="auto"/>
                <w:sz w:val="21"/>
                <w:szCs w:val="21"/>
                <w:lang w:val="en-US" w:eastAsia="zh-CN"/>
              </w:rPr>
              <w:t>0.85</w:t>
            </w:r>
            <w:r>
              <w:rPr>
                <w:rFonts w:hint="default" w:ascii="Times New Roman" w:hAnsi="Times New Roman" w:cs="Times New Roman"/>
                <w:color w:val="auto"/>
                <w:sz w:val="21"/>
                <w:szCs w:val="21"/>
              </w:rPr>
              <w:t>m×</w:t>
            </w:r>
            <w:r>
              <w:rPr>
                <w:rFonts w:hint="eastAsia" w:cs="Times New Roman"/>
                <w:color w:val="auto"/>
                <w:sz w:val="21"/>
                <w:szCs w:val="21"/>
                <w:lang w:val="en-US" w:eastAsia="zh-CN"/>
              </w:rPr>
              <w:t>0.4</w:t>
            </w:r>
            <w:r>
              <w:rPr>
                <w:rFonts w:hint="default" w:ascii="Times New Roman" w:hAnsi="Times New Roman" w:cs="Times New Roman"/>
                <w:color w:val="auto"/>
                <w:sz w:val="21"/>
                <w:szCs w:val="21"/>
              </w:rPr>
              <w:t>m，则通过引风机引入活性炭吸附柜的废气最大风速为：</w:t>
            </w:r>
            <w:r>
              <w:rPr>
                <w:rFonts w:hint="eastAsia" w:cs="Times New Roman"/>
                <w:color w:val="auto"/>
                <w:sz w:val="21"/>
                <w:szCs w:val="21"/>
                <w:lang w:val="en-US" w:eastAsia="zh-CN"/>
              </w:rPr>
              <w:t>30</w:t>
            </w:r>
            <w:r>
              <w:rPr>
                <w:rFonts w:hint="default" w:ascii="Times New Roman" w:hAnsi="Times New Roman" w:cs="Times New Roman"/>
                <w:color w:val="auto"/>
                <w:sz w:val="21"/>
                <w:szCs w:val="21"/>
              </w:rPr>
              <w:t>00（m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r>
              <w:rPr>
                <w:rFonts w:hint="eastAsia" w:cs="Times New Roman"/>
                <w:color w:val="auto"/>
                <w:sz w:val="21"/>
                <w:szCs w:val="21"/>
                <w:lang w:val="en-US" w:eastAsia="zh-CN"/>
              </w:rPr>
              <w:t>0.85</w:t>
            </w:r>
            <w:r>
              <w:rPr>
                <w:rFonts w:hint="default" w:ascii="Times New Roman" w:hAnsi="Times New Roman" w:cs="Times New Roman"/>
                <w:color w:val="auto"/>
                <w:sz w:val="21"/>
                <w:szCs w:val="21"/>
              </w:rPr>
              <w:t>m×</w:t>
            </w:r>
            <w:r>
              <w:rPr>
                <w:rFonts w:hint="eastAsia" w:cs="Times New Roman"/>
                <w:color w:val="auto"/>
                <w:sz w:val="21"/>
                <w:szCs w:val="21"/>
                <w:lang w:val="en-US" w:eastAsia="zh-CN"/>
              </w:rPr>
              <w:t>0.85</w:t>
            </w:r>
            <w:r>
              <w:rPr>
                <w:rFonts w:hint="default" w:ascii="Times New Roman" w:hAnsi="Times New Roman" w:cs="Times New Roman"/>
                <w:color w:val="auto"/>
                <w:sz w:val="21"/>
                <w:szCs w:val="21"/>
              </w:rPr>
              <w:t>m）/3600s=1.</w:t>
            </w:r>
            <w:r>
              <w:rPr>
                <w:rFonts w:hint="eastAsia" w:eastAsia="宋体" w:cs="Times New Roman"/>
                <w:color w:val="auto"/>
                <w:sz w:val="21"/>
                <w:szCs w:val="21"/>
                <w:lang w:val="en-US" w:eastAsia="zh-CN"/>
              </w:rPr>
              <w:t>1</w:t>
            </w:r>
            <w:r>
              <w:rPr>
                <w:rFonts w:hint="eastAsia" w:cs="Times New Roman"/>
                <w:color w:val="auto"/>
                <w:sz w:val="21"/>
                <w:szCs w:val="21"/>
                <w:lang w:val="en-US" w:eastAsia="zh-CN"/>
              </w:rPr>
              <w:t>5</w:t>
            </w:r>
            <w:r>
              <w:rPr>
                <w:rFonts w:hint="default" w:ascii="Times New Roman" w:hAnsi="Times New Roman" w:cs="Times New Roman"/>
                <w:color w:val="auto"/>
                <w:sz w:val="21"/>
                <w:szCs w:val="21"/>
              </w:rPr>
              <w:t>m/s，则风量能够满足《吸附法工业有机废气治理工程技术规范》（HJ 2026-2013）中</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6.3.3.3 采用蜂窝状吸附剂时，气流流速宜低于1.20m/s</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技术规范要求，较合理。</w:t>
            </w:r>
          </w:p>
          <w:p>
            <w:pPr>
              <w:pStyle w:val="1387"/>
              <w:ind w:firstLine="420"/>
              <w:rPr>
                <w:highlight w:val="none"/>
              </w:rPr>
            </w:pPr>
            <w:r>
              <w:rPr>
                <w:rFonts w:hint="eastAsia"/>
                <w:highlight w:val="none"/>
              </w:rPr>
              <w:t>活性炭</w:t>
            </w:r>
            <w:r>
              <w:rPr>
                <w:highlight w:val="none"/>
              </w:rPr>
              <w:t>治理措施可行性分析：</w:t>
            </w:r>
          </w:p>
          <w:p>
            <w:pPr>
              <w:pStyle w:val="2"/>
              <w:keepNext w:val="0"/>
              <w:keepLines w:val="0"/>
              <w:pageBreakBefore w:val="0"/>
              <w:widowControl w:val="0"/>
              <w:numPr>
                <w:ilvl w:val="0"/>
                <w:numId w:val="0"/>
              </w:numPr>
              <w:kinsoku/>
              <w:overflowPunct/>
              <w:topLinePunct w:val="0"/>
              <w:bidi w:val="0"/>
              <w:spacing w:after="0" w:line="360" w:lineRule="auto"/>
              <w:ind w:firstLine="420" w:firstLineChars="200"/>
              <w:textAlignment w:val="auto"/>
              <w:rPr>
                <w:sz w:val="21"/>
                <w:szCs w:val="21"/>
                <w:highlight w:val="none"/>
              </w:rPr>
            </w:pPr>
            <w:r>
              <w:rPr>
                <w:rFonts w:hint="eastAsia"/>
                <w:bCs/>
                <w:sz w:val="21"/>
                <w:szCs w:val="21"/>
                <w:highlight w:val="none"/>
                <w:lang w:eastAsia="zh-CN"/>
              </w:rPr>
              <w:t>《排污许可证申请与核发技术规范 印刷工业》（HJ 1066－2019）表 A.1 废气治理可行技术参考表，活性炭吸附（现场再生）、浓缩+热力（催化）氧化、直接热力（催化）氧化、其他</w:t>
            </w:r>
            <w:r>
              <w:rPr>
                <w:rFonts w:hint="eastAsia"/>
                <w:bCs/>
                <w:sz w:val="21"/>
                <w:szCs w:val="21"/>
                <w:lang w:eastAsia="zh-CN"/>
              </w:rPr>
              <w:t>为</w:t>
            </w:r>
            <w:r>
              <w:rPr>
                <w:rFonts w:hint="eastAsia"/>
                <w:bCs/>
                <w:sz w:val="21"/>
                <w:szCs w:val="21"/>
                <w:lang w:val="en-US" w:eastAsia="zh-CN"/>
              </w:rPr>
              <w:t>VOCs废气可行技术。本项目两级活性炭吸附装置VOCs处理效率保守估计为70%，根据</w:t>
            </w:r>
            <w:r>
              <w:rPr>
                <w:rFonts w:hint="eastAsia"/>
                <w:sz w:val="21"/>
                <w:szCs w:val="21"/>
                <w:lang w:eastAsia="zh-CN"/>
              </w:rPr>
              <w:t>主要环境影响和保护措施章节</w:t>
            </w:r>
            <w:r>
              <w:rPr>
                <w:rFonts w:hint="eastAsia"/>
                <w:bCs/>
                <w:sz w:val="21"/>
                <w:szCs w:val="21"/>
                <w:lang w:val="en-US" w:eastAsia="zh-CN"/>
              </w:rPr>
              <w:t>计算数据，DA001排气筒出口VOCs均能达标排放，可以认为本项目使用的两级活性炭吸附有机废气处理技术属于可行技术。</w:t>
            </w:r>
          </w:p>
          <w:p>
            <w:pPr>
              <w:spacing w:line="360" w:lineRule="auto"/>
              <w:ind w:firstLine="422" w:firstLineChars="200"/>
              <w:rPr>
                <w:b/>
                <w:bCs/>
                <w:color w:val="auto"/>
              </w:rPr>
            </w:pPr>
          </w:p>
          <w:p>
            <w:pPr>
              <w:spacing w:line="360" w:lineRule="auto"/>
              <w:ind w:firstLine="422" w:firstLineChars="200"/>
              <w:rPr>
                <w:b/>
                <w:bCs/>
              </w:rPr>
            </w:pPr>
            <w:r>
              <w:rPr>
                <w:b/>
                <w:bCs/>
              </w:rPr>
              <w:t>3、污染物排放估算</w:t>
            </w:r>
          </w:p>
          <w:p>
            <w:pPr>
              <w:spacing w:line="360" w:lineRule="auto"/>
              <w:ind w:firstLine="420" w:firstLineChars="200"/>
            </w:pPr>
            <w:r>
              <w:t>本项目废气排放参数见下表。经采用AERSCREEN模式估算，所有污染源的正常排放的污染物的P</w:t>
            </w:r>
            <w:r>
              <w:rPr>
                <w:vertAlign w:val="subscript"/>
              </w:rPr>
              <w:t>max</w:t>
            </w:r>
            <w:r>
              <w:t>和D</w:t>
            </w:r>
            <w:r>
              <w:rPr>
                <w:vertAlign w:val="subscript"/>
              </w:rPr>
              <w:t>10%</w:t>
            </w:r>
            <w:r>
              <w:t>估算结果详见下表。</w:t>
            </w:r>
          </w:p>
          <w:p>
            <w:pPr>
              <w:jc w:val="center"/>
              <w:rPr>
                <w:b/>
              </w:rPr>
            </w:pPr>
            <w:r>
              <w:rPr>
                <w:b/>
              </w:rPr>
              <w:t>表4-</w:t>
            </w:r>
            <w:r>
              <w:rPr>
                <w:rFonts w:hint="eastAsia"/>
                <w:b/>
              </w:rPr>
              <w:t>10</w:t>
            </w:r>
            <w:r>
              <w:rPr>
                <w:b/>
              </w:rPr>
              <w:t xml:space="preserve"> 大气污染源（矩形面源）排放参数一览表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71"/>
              <w:gridCol w:w="1066"/>
              <w:gridCol w:w="683"/>
              <w:gridCol w:w="753"/>
              <w:gridCol w:w="678"/>
              <w:gridCol w:w="629"/>
              <w:gridCol w:w="1400"/>
              <w:gridCol w:w="801"/>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vMerge w:val="restart"/>
                  <w:vAlign w:val="center"/>
                </w:tcPr>
                <w:p>
                  <w:pPr>
                    <w:jc w:val="center"/>
                    <w:rPr>
                      <w:b/>
                      <w:kern w:val="0"/>
                      <w:sz w:val="18"/>
                      <w:szCs w:val="18"/>
                    </w:rPr>
                  </w:pPr>
                  <w:r>
                    <w:rPr>
                      <w:b/>
                      <w:kern w:val="0"/>
                      <w:sz w:val="18"/>
                      <w:szCs w:val="18"/>
                    </w:rPr>
                    <w:t>污染源名称</w:t>
                  </w:r>
                </w:p>
              </w:tc>
              <w:tc>
                <w:tcPr>
                  <w:tcW w:w="2137" w:type="dxa"/>
                  <w:gridSpan w:val="2"/>
                  <w:vAlign w:val="center"/>
                </w:tcPr>
                <w:p>
                  <w:pPr>
                    <w:snapToGrid w:val="0"/>
                    <w:jc w:val="center"/>
                    <w:rPr>
                      <w:b/>
                      <w:kern w:val="0"/>
                      <w:sz w:val="18"/>
                      <w:szCs w:val="18"/>
                    </w:rPr>
                  </w:pPr>
                  <w:r>
                    <w:rPr>
                      <w:b/>
                      <w:kern w:val="0"/>
                      <w:sz w:val="18"/>
                      <w:szCs w:val="18"/>
                    </w:rPr>
                    <w:t>坐标</w:t>
                  </w:r>
                </w:p>
              </w:tc>
              <w:tc>
                <w:tcPr>
                  <w:tcW w:w="683" w:type="dxa"/>
                  <w:vMerge w:val="restart"/>
                  <w:vAlign w:val="center"/>
                </w:tcPr>
                <w:p>
                  <w:pPr>
                    <w:snapToGrid w:val="0"/>
                    <w:jc w:val="center"/>
                    <w:rPr>
                      <w:b/>
                      <w:kern w:val="0"/>
                      <w:sz w:val="18"/>
                      <w:szCs w:val="18"/>
                    </w:rPr>
                  </w:pPr>
                  <w:r>
                    <w:rPr>
                      <w:b/>
                      <w:kern w:val="0"/>
                      <w:sz w:val="18"/>
                      <w:szCs w:val="18"/>
                    </w:rPr>
                    <w:t>海拔高度/m</w:t>
                  </w:r>
                </w:p>
              </w:tc>
              <w:tc>
                <w:tcPr>
                  <w:tcW w:w="2060" w:type="dxa"/>
                  <w:gridSpan w:val="3"/>
                  <w:vAlign w:val="center"/>
                </w:tcPr>
                <w:p>
                  <w:pPr>
                    <w:snapToGrid w:val="0"/>
                    <w:jc w:val="center"/>
                    <w:rPr>
                      <w:b/>
                      <w:kern w:val="0"/>
                      <w:sz w:val="18"/>
                      <w:szCs w:val="18"/>
                    </w:rPr>
                  </w:pPr>
                  <w:r>
                    <w:rPr>
                      <w:b/>
                      <w:kern w:val="0"/>
                      <w:sz w:val="18"/>
                      <w:szCs w:val="18"/>
                    </w:rPr>
                    <w:t>矩形面源</w:t>
                  </w:r>
                </w:p>
              </w:tc>
              <w:tc>
                <w:tcPr>
                  <w:tcW w:w="1400" w:type="dxa"/>
                  <w:vMerge w:val="restart"/>
                  <w:vAlign w:val="center"/>
                </w:tcPr>
                <w:p>
                  <w:pPr>
                    <w:snapToGrid w:val="0"/>
                    <w:jc w:val="center"/>
                    <w:rPr>
                      <w:b/>
                      <w:kern w:val="0"/>
                      <w:sz w:val="18"/>
                      <w:szCs w:val="18"/>
                    </w:rPr>
                  </w:pPr>
                  <w:r>
                    <w:rPr>
                      <w:b/>
                      <w:kern w:val="0"/>
                      <w:sz w:val="18"/>
                      <w:szCs w:val="18"/>
                    </w:rPr>
                    <w:t>污染物</w:t>
                  </w:r>
                </w:p>
              </w:tc>
              <w:tc>
                <w:tcPr>
                  <w:tcW w:w="801" w:type="dxa"/>
                  <w:vMerge w:val="restart"/>
                  <w:vAlign w:val="center"/>
                </w:tcPr>
                <w:p>
                  <w:pPr>
                    <w:snapToGrid w:val="0"/>
                    <w:jc w:val="center"/>
                    <w:rPr>
                      <w:b/>
                      <w:kern w:val="0"/>
                      <w:sz w:val="18"/>
                      <w:szCs w:val="18"/>
                    </w:rPr>
                  </w:pPr>
                  <w:r>
                    <w:rPr>
                      <w:b/>
                      <w:kern w:val="0"/>
                      <w:sz w:val="18"/>
                      <w:szCs w:val="18"/>
                    </w:rPr>
                    <w:t>排放速率</w:t>
                  </w:r>
                </w:p>
              </w:tc>
              <w:tc>
                <w:tcPr>
                  <w:tcW w:w="610" w:type="dxa"/>
                  <w:vMerge w:val="restart"/>
                  <w:vAlign w:val="center"/>
                </w:tcPr>
                <w:p>
                  <w:pPr>
                    <w:snapToGrid w:val="0"/>
                    <w:jc w:val="center"/>
                    <w:rPr>
                      <w:b/>
                      <w:kern w:val="0"/>
                      <w:sz w:val="18"/>
                      <w:szCs w:val="18"/>
                    </w:rPr>
                  </w:pPr>
                  <w:r>
                    <w:rPr>
                      <w:b/>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7" w:type="dxa"/>
                  <w:vMerge w:val="continue"/>
                  <w:vAlign w:val="center"/>
                </w:tcPr>
                <w:p>
                  <w:pPr>
                    <w:snapToGrid w:val="0"/>
                    <w:jc w:val="center"/>
                    <w:rPr>
                      <w:kern w:val="0"/>
                      <w:sz w:val="18"/>
                      <w:szCs w:val="18"/>
                    </w:rPr>
                  </w:pPr>
                </w:p>
              </w:tc>
              <w:tc>
                <w:tcPr>
                  <w:tcW w:w="1071" w:type="dxa"/>
                  <w:vAlign w:val="center"/>
                </w:tcPr>
                <w:p>
                  <w:pPr>
                    <w:snapToGrid w:val="0"/>
                    <w:jc w:val="center"/>
                    <w:rPr>
                      <w:b/>
                      <w:kern w:val="0"/>
                      <w:sz w:val="18"/>
                      <w:szCs w:val="18"/>
                    </w:rPr>
                  </w:pPr>
                  <w:r>
                    <w:rPr>
                      <w:b/>
                      <w:kern w:val="0"/>
                      <w:sz w:val="18"/>
                      <w:szCs w:val="18"/>
                    </w:rPr>
                    <w:t>X</w:t>
                  </w:r>
                </w:p>
              </w:tc>
              <w:tc>
                <w:tcPr>
                  <w:tcW w:w="1066" w:type="dxa"/>
                  <w:vAlign w:val="center"/>
                </w:tcPr>
                <w:p>
                  <w:pPr>
                    <w:snapToGrid w:val="0"/>
                    <w:jc w:val="center"/>
                    <w:rPr>
                      <w:b/>
                      <w:kern w:val="0"/>
                      <w:sz w:val="18"/>
                      <w:szCs w:val="18"/>
                    </w:rPr>
                  </w:pPr>
                  <w:r>
                    <w:rPr>
                      <w:b/>
                      <w:kern w:val="0"/>
                      <w:sz w:val="18"/>
                      <w:szCs w:val="18"/>
                    </w:rPr>
                    <w:t>Y</w:t>
                  </w:r>
                </w:p>
              </w:tc>
              <w:tc>
                <w:tcPr>
                  <w:tcW w:w="683" w:type="dxa"/>
                  <w:vMerge w:val="continue"/>
                  <w:vAlign w:val="center"/>
                </w:tcPr>
                <w:p>
                  <w:pPr>
                    <w:snapToGrid w:val="0"/>
                    <w:jc w:val="center"/>
                    <w:rPr>
                      <w:kern w:val="0"/>
                      <w:sz w:val="18"/>
                      <w:szCs w:val="18"/>
                    </w:rPr>
                  </w:pPr>
                </w:p>
              </w:tc>
              <w:tc>
                <w:tcPr>
                  <w:tcW w:w="753" w:type="dxa"/>
                  <w:vAlign w:val="center"/>
                </w:tcPr>
                <w:p>
                  <w:pPr>
                    <w:snapToGrid w:val="0"/>
                    <w:jc w:val="center"/>
                    <w:rPr>
                      <w:b/>
                      <w:kern w:val="0"/>
                      <w:sz w:val="18"/>
                      <w:szCs w:val="18"/>
                    </w:rPr>
                  </w:pPr>
                  <w:r>
                    <w:rPr>
                      <w:b/>
                      <w:kern w:val="0"/>
                      <w:sz w:val="18"/>
                      <w:szCs w:val="18"/>
                    </w:rPr>
                    <w:t>长度</w:t>
                  </w:r>
                </w:p>
              </w:tc>
              <w:tc>
                <w:tcPr>
                  <w:tcW w:w="678" w:type="dxa"/>
                  <w:vAlign w:val="center"/>
                </w:tcPr>
                <w:p>
                  <w:pPr>
                    <w:snapToGrid w:val="0"/>
                    <w:jc w:val="center"/>
                    <w:rPr>
                      <w:b/>
                      <w:kern w:val="0"/>
                      <w:sz w:val="18"/>
                      <w:szCs w:val="18"/>
                    </w:rPr>
                  </w:pPr>
                  <w:r>
                    <w:rPr>
                      <w:b/>
                      <w:kern w:val="0"/>
                      <w:sz w:val="18"/>
                      <w:szCs w:val="18"/>
                    </w:rPr>
                    <w:t>宽度</w:t>
                  </w:r>
                </w:p>
              </w:tc>
              <w:tc>
                <w:tcPr>
                  <w:tcW w:w="629" w:type="dxa"/>
                  <w:vAlign w:val="center"/>
                </w:tcPr>
                <w:p>
                  <w:pPr>
                    <w:snapToGrid w:val="0"/>
                    <w:jc w:val="center"/>
                    <w:rPr>
                      <w:b/>
                      <w:kern w:val="0"/>
                      <w:sz w:val="18"/>
                      <w:szCs w:val="18"/>
                    </w:rPr>
                  </w:pPr>
                  <w:r>
                    <w:rPr>
                      <w:b/>
                      <w:kern w:val="0"/>
                      <w:sz w:val="18"/>
                      <w:szCs w:val="18"/>
                    </w:rPr>
                    <w:t>有效高度</w:t>
                  </w:r>
                </w:p>
              </w:tc>
              <w:tc>
                <w:tcPr>
                  <w:tcW w:w="1400" w:type="dxa"/>
                  <w:vMerge w:val="continue"/>
                  <w:vAlign w:val="center"/>
                </w:tcPr>
                <w:p>
                  <w:pPr>
                    <w:snapToGrid w:val="0"/>
                    <w:jc w:val="center"/>
                    <w:rPr>
                      <w:kern w:val="0"/>
                      <w:sz w:val="18"/>
                      <w:szCs w:val="18"/>
                    </w:rPr>
                  </w:pPr>
                </w:p>
              </w:tc>
              <w:tc>
                <w:tcPr>
                  <w:tcW w:w="801" w:type="dxa"/>
                  <w:vMerge w:val="continue"/>
                  <w:vAlign w:val="center"/>
                </w:tcPr>
                <w:p>
                  <w:pPr>
                    <w:snapToGrid w:val="0"/>
                    <w:jc w:val="center"/>
                    <w:rPr>
                      <w:kern w:val="0"/>
                      <w:sz w:val="18"/>
                      <w:szCs w:val="18"/>
                    </w:rPr>
                  </w:pPr>
                </w:p>
              </w:tc>
              <w:tc>
                <w:tcPr>
                  <w:tcW w:w="610" w:type="dxa"/>
                  <w:vMerge w:val="continue"/>
                  <w:vAlign w:val="center"/>
                </w:tcPr>
                <w:p>
                  <w:pPr>
                    <w:snapToGrid w:val="0"/>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677" w:type="dxa"/>
                  <w:vAlign w:val="center"/>
                </w:tcPr>
                <w:p>
                  <w:pPr>
                    <w:snapToGrid w:val="0"/>
                    <w:jc w:val="center"/>
                    <w:rPr>
                      <w:rFonts w:hint="eastAsia" w:eastAsia="宋体"/>
                      <w:kern w:val="0"/>
                      <w:sz w:val="18"/>
                      <w:szCs w:val="18"/>
                      <w:lang w:eastAsia="zh-CN"/>
                    </w:rPr>
                  </w:pPr>
                  <w:r>
                    <w:rPr>
                      <w:rFonts w:hint="eastAsia"/>
                      <w:kern w:val="0"/>
                      <w:sz w:val="18"/>
                      <w:szCs w:val="18"/>
                      <w:lang w:eastAsia="zh-CN"/>
                    </w:rPr>
                    <w:t>南车间</w:t>
                  </w:r>
                </w:p>
              </w:tc>
              <w:tc>
                <w:tcPr>
                  <w:tcW w:w="1071" w:type="dxa"/>
                  <w:vAlign w:val="center"/>
                </w:tcPr>
                <w:p>
                  <w:pPr>
                    <w:snapToGrid w:val="0"/>
                    <w:jc w:val="center"/>
                    <w:rPr>
                      <w:rFonts w:hint="default" w:eastAsia="宋体"/>
                      <w:bCs/>
                      <w:kern w:val="0"/>
                      <w:sz w:val="18"/>
                      <w:szCs w:val="18"/>
                      <w:highlight w:val="none"/>
                      <w:lang w:val="en-US" w:eastAsia="zh-CN"/>
                    </w:rPr>
                  </w:pPr>
                  <w:r>
                    <w:rPr>
                      <w:rFonts w:hint="eastAsia"/>
                      <w:bCs/>
                      <w:kern w:val="0"/>
                      <w:sz w:val="18"/>
                      <w:szCs w:val="18"/>
                      <w:highlight w:val="none"/>
                      <w:lang w:val="en-US" w:eastAsia="zh-CN"/>
                    </w:rPr>
                    <w:t>22</w:t>
                  </w:r>
                </w:p>
              </w:tc>
              <w:tc>
                <w:tcPr>
                  <w:tcW w:w="1066" w:type="dxa"/>
                  <w:vAlign w:val="center"/>
                </w:tcPr>
                <w:p>
                  <w:pPr>
                    <w:snapToGrid w:val="0"/>
                    <w:jc w:val="center"/>
                    <w:rPr>
                      <w:rFonts w:hint="default" w:eastAsia="宋体"/>
                      <w:bCs/>
                      <w:kern w:val="0"/>
                      <w:sz w:val="18"/>
                      <w:szCs w:val="18"/>
                      <w:highlight w:val="none"/>
                      <w:lang w:val="en-US" w:eastAsia="zh-CN"/>
                    </w:rPr>
                  </w:pPr>
                  <w:r>
                    <w:rPr>
                      <w:rFonts w:hint="eastAsia"/>
                      <w:bCs/>
                      <w:kern w:val="0"/>
                      <w:sz w:val="18"/>
                      <w:szCs w:val="18"/>
                      <w:highlight w:val="none"/>
                      <w:lang w:val="en-US" w:eastAsia="zh-CN"/>
                    </w:rPr>
                    <w:t>44</w:t>
                  </w:r>
                </w:p>
              </w:tc>
              <w:tc>
                <w:tcPr>
                  <w:tcW w:w="683" w:type="dxa"/>
                  <w:vAlign w:val="center"/>
                </w:tcPr>
                <w:p>
                  <w:pPr>
                    <w:snapToGrid w:val="0"/>
                    <w:jc w:val="center"/>
                    <w:rPr>
                      <w:rFonts w:hint="default" w:eastAsia="宋体"/>
                      <w:bCs/>
                      <w:kern w:val="0"/>
                      <w:sz w:val="18"/>
                      <w:szCs w:val="18"/>
                      <w:highlight w:val="yellow"/>
                      <w:lang w:val="en-US" w:eastAsia="zh-CN"/>
                    </w:rPr>
                  </w:pPr>
                  <w:r>
                    <w:rPr>
                      <w:rFonts w:hint="eastAsia"/>
                      <w:bCs/>
                      <w:kern w:val="0"/>
                      <w:sz w:val="18"/>
                      <w:szCs w:val="18"/>
                      <w:highlight w:val="none"/>
                      <w:lang w:val="en-US" w:eastAsia="zh-CN"/>
                    </w:rPr>
                    <w:t>88</w:t>
                  </w:r>
                </w:p>
              </w:tc>
              <w:tc>
                <w:tcPr>
                  <w:tcW w:w="753" w:type="dxa"/>
                  <w:vAlign w:val="center"/>
                </w:tcPr>
                <w:p>
                  <w:pPr>
                    <w:snapToGrid w:val="0"/>
                    <w:jc w:val="center"/>
                    <w:rPr>
                      <w:rFonts w:hint="default" w:eastAsia="宋体"/>
                      <w:bCs/>
                      <w:kern w:val="0"/>
                      <w:sz w:val="18"/>
                      <w:szCs w:val="18"/>
                      <w:highlight w:val="none"/>
                      <w:lang w:val="en-US" w:eastAsia="zh-CN"/>
                    </w:rPr>
                  </w:pPr>
                  <w:r>
                    <w:rPr>
                      <w:rFonts w:hint="eastAsia"/>
                      <w:bCs/>
                      <w:kern w:val="0"/>
                      <w:sz w:val="18"/>
                      <w:szCs w:val="18"/>
                      <w:highlight w:val="none"/>
                      <w:lang w:val="en-US" w:eastAsia="zh-CN"/>
                    </w:rPr>
                    <w:t>25</w:t>
                  </w:r>
                </w:p>
              </w:tc>
              <w:tc>
                <w:tcPr>
                  <w:tcW w:w="678" w:type="dxa"/>
                  <w:vAlign w:val="center"/>
                </w:tcPr>
                <w:p>
                  <w:pPr>
                    <w:snapToGrid w:val="0"/>
                    <w:jc w:val="center"/>
                    <w:rPr>
                      <w:bCs/>
                      <w:kern w:val="0"/>
                      <w:sz w:val="18"/>
                      <w:szCs w:val="18"/>
                      <w:highlight w:val="none"/>
                    </w:rPr>
                  </w:pPr>
                  <w:r>
                    <w:rPr>
                      <w:rFonts w:hint="eastAsia"/>
                      <w:bCs/>
                      <w:kern w:val="0"/>
                      <w:sz w:val="18"/>
                      <w:szCs w:val="18"/>
                      <w:highlight w:val="none"/>
                      <w:lang w:val="en-US" w:eastAsia="zh-CN"/>
                    </w:rPr>
                    <w:t>1</w:t>
                  </w:r>
                  <w:r>
                    <w:rPr>
                      <w:rFonts w:hint="eastAsia"/>
                      <w:bCs/>
                      <w:kern w:val="0"/>
                      <w:sz w:val="18"/>
                      <w:szCs w:val="18"/>
                      <w:highlight w:val="none"/>
                    </w:rPr>
                    <w:t>0</w:t>
                  </w:r>
                </w:p>
              </w:tc>
              <w:tc>
                <w:tcPr>
                  <w:tcW w:w="629" w:type="dxa"/>
                  <w:vAlign w:val="center"/>
                </w:tcPr>
                <w:p>
                  <w:pPr>
                    <w:snapToGrid w:val="0"/>
                    <w:jc w:val="center"/>
                    <w:rPr>
                      <w:rFonts w:hint="eastAsia" w:eastAsia="宋体"/>
                      <w:bCs/>
                      <w:kern w:val="0"/>
                      <w:sz w:val="18"/>
                      <w:szCs w:val="18"/>
                      <w:lang w:eastAsia="zh-CN"/>
                    </w:rPr>
                  </w:pPr>
                  <w:r>
                    <w:rPr>
                      <w:rFonts w:hint="eastAsia"/>
                      <w:bCs/>
                      <w:kern w:val="0"/>
                      <w:sz w:val="18"/>
                      <w:szCs w:val="18"/>
                      <w:lang w:val="en-US" w:eastAsia="zh-CN"/>
                    </w:rPr>
                    <w:t>8</w:t>
                  </w:r>
                </w:p>
              </w:tc>
              <w:tc>
                <w:tcPr>
                  <w:tcW w:w="1400" w:type="dxa"/>
                  <w:vAlign w:val="center"/>
                </w:tcPr>
                <w:p>
                  <w:pPr>
                    <w:jc w:val="center"/>
                    <w:rPr>
                      <w:color w:val="auto"/>
                      <w:kern w:val="0"/>
                      <w:sz w:val="18"/>
                      <w:szCs w:val="18"/>
                    </w:rPr>
                  </w:pPr>
                  <w:r>
                    <w:rPr>
                      <w:color w:val="auto"/>
                      <w:kern w:val="0"/>
                      <w:sz w:val="18"/>
                      <w:szCs w:val="18"/>
                    </w:rPr>
                    <w:t>VOCs</w:t>
                  </w:r>
                </w:p>
              </w:tc>
              <w:tc>
                <w:tcPr>
                  <w:tcW w:w="801" w:type="dxa"/>
                  <w:vAlign w:val="center"/>
                </w:tcPr>
                <w:p>
                  <w:pPr>
                    <w:snapToGrid w:val="0"/>
                    <w:jc w:val="center"/>
                    <w:rPr>
                      <w:rFonts w:hint="default" w:eastAsia="宋体"/>
                      <w:color w:val="auto"/>
                      <w:kern w:val="0"/>
                      <w:sz w:val="18"/>
                      <w:szCs w:val="18"/>
                      <w:lang w:val="en-US" w:eastAsia="zh-CN"/>
                    </w:rPr>
                  </w:pPr>
                  <w:r>
                    <w:rPr>
                      <w:color w:val="auto"/>
                      <w:kern w:val="0"/>
                      <w:sz w:val="18"/>
                      <w:szCs w:val="18"/>
                    </w:rPr>
                    <w:t>0.</w:t>
                  </w:r>
                  <w:r>
                    <w:rPr>
                      <w:rFonts w:hint="eastAsia"/>
                      <w:color w:val="auto"/>
                      <w:kern w:val="0"/>
                      <w:sz w:val="18"/>
                      <w:szCs w:val="18"/>
                      <w:lang w:val="en-US" w:eastAsia="zh-CN"/>
                    </w:rPr>
                    <w:t>0167</w:t>
                  </w:r>
                </w:p>
              </w:tc>
              <w:tc>
                <w:tcPr>
                  <w:tcW w:w="610" w:type="dxa"/>
                  <w:vAlign w:val="center"/>
                </w:tcPr>
                <w:p>
                  <w:pPr>
                    <w:jc w:val="center"/>
                    <w:rPr>
                      <w:kern w:val="0"/>
                      <w:sz w:val="18"/>
                      <w:szCs w:val="18"/>
                    </w:rPr>
                  </w:pPr>
                  <w:r>
                    <w:rPr>
                      <w:kern w:val="0"/>
                      <w:sz w:val="18"/>
                      <w:szCs w:val="18"/>
                    </w:rPr>
                    <w:t>kg/h</w:t>
                  </w:r>
                </w:p>
              </w:tc>
            </w:tr>
          </w:tbl>
          <w:p>
            <w:pPr>
              <w:jc w:val="center"/>
              <w:rPr>
                <w:b/>
              </w:rPr>
            </w:pPr>
            <w:r>
              <w:rPr>
                <w:b/>
              </w:rPr>
              <w:t>表4-</w:t>
            </w:r>
            <w:r>
              <w:rPr>
                <w:rFonts w:hint="eastAsia"/>
                <w:b/>
              </w:rPr>
              <w:t>11</w:t>
            </w:r>
            <w:r>
              <w:rPr>
                <w:b/>
              </w:rPr>
              <w:t>大气污染源（点源）排放参数一览表</w:t>
            </w:r>
          </w:p>
          <w:tbl>
            <w:tblPr>
              <w:tblStyle w:val="85"/>
              <w:tblW w:w="499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Layout w:type="fixed"/>
              <w:tblCellMar>
                <w:top w:w="0" w:type="dxa"/>
                <w:left w:w="108" w:type="dxa"/>
                <w:bottom w:w="0" w:type="dxa"/>
                <w:right w:w="108" w:type="dxa"/>
              </w:tblCellMar>
            </w:tblPr>
            <w:tblGrid>
              <w:gridCol w:w="1347"/>
              <w:gridCol w:w="787"/>
              <w:gridCol w:w="616"/>
              <w:gridCol w:w="790"/>
              <w:gridCol w:w="945"/>
              <w:gridCol w:w="826"/>
              <w:gridCol w:w="945"/>
              <w:gridCol w:w="1096"/>
              <w:gridCol w:w="10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PrEx>
              <w:trPr>
                <w:trHeight w:val="340" w:hRule="atLeast"/>
                <w:jc w:val="center"/>
              </w:trPr>
              <w:tc>
                <w:tcPr>
                  <w:tcW w:w="1347"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点源</w:t>
                  </w:r>
                </w:p>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名称</w:t>
                  </w:r>
                </w:p>
              </w:tc>
              <w:tc>
                <w:tcPr>
                  <w:tcW w:w="787"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排气筒高度/m</w:t>
                  </w:r>
                </w:p>
              </w:tc>
              <w:tc>
                <w:tcPr>
                  <w:tcW w:w="61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排气筒内径/m</w:t>
                  </w:r>
                </w:p>
              </w:tc>
              <w:tc>
                <w:tcPr>
                  <w:tcW w:w="790"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烟气流量/m</w:t>
                  </w:r>
                  <w:r>
                    <w:rPr>
                      <w:b/>
                      <w:bCs/>
                      <w:sz w:val="18"/>
                      <w:szCs w:val="18"/>
                      <w:vertAlign w:val="superscript"/>
                    </w:rPr>
                    <w:t>3</w:t>
                  </w:r>
                  <w:r>
                    <w:rPr>
                      <w:b/>
                      <w:bCs/>
                      <w:sz w:val="18"/>
                      <w:szCs w:val="18"/>
                    </w:rPr>
                    <w:t>/h</w:t>
                  </w:r>
                </w:p>
              </w:tc>
              <w:tc>
                <w:tcPr>
                  <w:tcW w:w="94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烟气出口温度/℃</w:t>
                  </w:r>
                </w:p>
              </w:tc>
              <w:tc>
                <w:tcPr>
                  <w:tcW w:w="82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年排放小时数/h</w:t>
                  </w:r>
                </w:p>
              </w:tc>
              <w:tc>
                <w:tcPr>
                  <w:tcW w:w="945"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排放</w:t>
                  </w:r>
                </w:p>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工况</w:t>
                  </w:r>
                </w:p>
              </w:tc>
              <w:tc>
                <w:tcPr>
                  <w:tcW w:w="109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污染物</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b/>
                      <w:bCs/>
                      <w:sz w:val="18"/>
                      <w:szCs w:val="18"/>
                    </w:rPr>
                  </w:pPr>
                  <w:r>
                    <w:rPr>
                      <w:b/>
                      <w:bCs/>
                      <w:sz w:val="18"/>
                      <w:szCs w:val="18"/>
                    </w:rPr>
                    <w:t>排放速率/kg/h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PrEx>
              <w:trPr>
                <w:trHeight w:val="170" w:hRule="atLeast"/>
                <w:jc w:val="center"/>
              </w:trPr>
              <w:tc>
                <w:tcPr>
                  <w:tcW w:w="1347"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sz w:val="18"/>
                      <w:szCs w:val="18"/>
                    </w:rPr>
                  </w:pPr>
                  <w:r>
                    <w:rPr>
                      <w:sz w:val="18"/>
                      <w:szCs w:val="18"/>
                    </w:rPr>
                    <w:t>DA00</w:t>
                  </w:r>
                  <w:r>
                    <w:rPr>
                      <w:rFonts w:hint="eastAsia"/>
                      <w:sz w:val="18"/>
                      <w:szCs w:val="18"/>
                      <w:lang w:val="en-US" w:eastAsia="zh-CN"/>
                    </w:rPr>
                    <w:t>2</w:t>
                  </w:r>
                  <w:r>
                    <w:rPr>
                      <w:sz w:val="18"/>
                      <w:szCs w:val="18"/>
                    </w:rPr>
                    <w:t>排气筒</w:t>
                  </w:r>
                </w:p>
              </w:tc>
              <w:tc>
                <w:tcPr>
                  <w:tcW w:w="787"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sz w:val="18"/>
                      <w:szCs w:val="18"/>
                    </w:rPr>
                  </w:pPr>
                  <w:r>
                    <w:rPr>
                      <w:sz w:val="18"/>
                      <w:szCs w:val="18"/>
                    </w:rPr>
                    <w:t>15</w:t>
                  </w:r>
                </w:p>
              </w:tc>
              <w:tc>
                <w:tcPr>
                  <w:tcW w:w="616"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FF0000"/>
                      <w:sz w:val="18"/>
                      <w:szCs w:val="18"/>
                    </w:rPr>
                  </w:pPr>
                  <w:r>
                    <w:rPr>
                      <w:sz w:val="18"/>
                      <w:szCs w:val="18"/>
                    </w:rPr>
                    <w:t>0.</w:t>
                  </w:r>
                  <w:r>
                    <w:rPr>
                      <w:rFonts w:hint="eastAsia"/>
                      <w:sz w:val="18"/>
                      <w:szCs w:val="18"/>
                      <w:lang w:val="en-US" w:eastAsia="zh-CN"/>
                    </w:rPr>
                    <w:t>1</w:t>
                  </w:r>
                  <w:r>
                    <w:rPr>
                      <w:rStyle w:val="99"/>
                      <w:rFonts w:hint="eastAsia"/>
                      <w:kern w:val="0"/>
                      <w:sz w:val="18"/>
                      <w:szCs w:val="18"/>
                    </w:rPr>
                    <w:t>5</w:t>
                  </w:r>
                </w:p>
              </w:tc>
              <w:tc>
                <w:tcPr>
                  <w:tcW w:w="790"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rFonts w:hint="eastAsia"/>
                      <w:sz w:val="18"/>
                      <w:szCs w:val="18"/>
                      <w:lang w:val="en-US" w:eastAsia="zh-CN"/>
                    </w:rPr>
                    <w:t>3</w:t>
                  </w:r>
                  <w:r>
                    <w:rPr>
                      <w:sz w:val="18"/>
                      <w:szCs w:val="18"/>
                    </w:rPr>
                    <w:t>000</w:t>
                  </w:r>
                </w:p>
              </w:tc>
              <w:tc>
                <w:tcPr>
                  <w:tcW w:w="945"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sz w:val="18"/>
                      <w:szCs w:val="18"/>
                    </w:rPr>
                  </w:pPr>
                  <w:r>
                    <w:rPr>
                      <w:sz w:val="18"/>
                      <w:szCs w:val="18"/>
                    </w:rPr>
                    <w:t>25</w:t>
                  </w:r>
                </w:p>
              </w:tc>
              <w:tc>
                <w:tcPr>
                  <w:tcW w:w="826"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sz w:val="18"/>
                      <w:szCs w:val="18"/>
                    </w:rPr>
                  </w:pPr>
                  <w:r>
                    <w:rPr>
                      <w:rFonts w:hint="eastAsia"/>
                      <w:sz w:val="18"/>
                      <w:szCs w:val="18"/>
                      <w:lang w:val="en-US" w:eastAsia="zh-CN"/>
                    </w:rPr>
                    <w:t>24</w:t>
                  </w:r>
                  <w:r>
                    <w:rPr>
                      <w:sz w:val="18"/>
                      <w:szCs w:val="18"/>
                    </w:rPr>
                    <w:t>00</w:t>
                  </w:r>
                </w:p>
              </w:tc>
              <w:tc>
                <w:tcPr>
                  <w:tcW w:w="945"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contextualSpacing/>
                    <w:jc w:val="center"/>
                    <w:textAlignment w:val="auto"/>
                    <w:rPr>
                      <w:sz w:val="18"/>
                      <w:szCs w:val="18"/>
                    </w:rPr>
                  </w:pPr>
                  <w:r>
                    <w:rPr>
                      <w:sz w:val="18"/>
                      <w:szCs w:val="18"/>
                    </w:rPr>
                    <w:t>间断</w:t>
                  </w:r>
                </w:p>
              </w:tc>
              <w:tc>
                <w:tcPr>
                  <w:tcW w:w="109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eastAsia="宋体"/>
                      <w:kern w:val="0"/>
                      <w:sz w:val="18"/>
                      <w:szCs w:val="18"/>
                      <w:lang w:eastAsia="zh-CN"/>
                    </w:rPr>
                  </w:pPr>
                  <w:r>
                    <w:rPr>
                      <w:rFonts w:hint="eastAsia"/>
                      <w:kern w:val="0"/>
                      <w:sz w:val="18"/>
                      <w:szCs w:val="18"/>
                      <w:lang w:eastAsia="zh-CN"/>
                    </w:rPr>
                    <w:t>颗粒物</w:t>
                  </w:r>
                </w:p>
              </w:tc>
              <w:tc>
                <w:tcPr>
                  <w:tcW w:w="1013" w:type="dxa"/>
                  <w:tcMar>
                    <w:left w:w="0" w:type="dxa"/>
                    <w:right w:w="0" w:type="dxa"/>
                  </w:tcMar>
                  <w:vAlign w:val="center"/>
                </w:tcPr>
                <w:p>
                  <w:pPr>
                    <w:keepNext w:val="0"/>
                    <w:keepLines w:val="0"/>
                    <w:widowControl/>
                    <w:suppressLineNumbers w:val="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0.0033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PrEx>
              <w:trPr>
                <w:trHeight w:val="170" w:hRule="atLeast"/>
                <w:jc w:val="center"/>
              </w:trPr>
              <w:tc>
                <w:tcPr>
                  <w:tcW w:w="1347"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787"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616"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90"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945"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826"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945"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109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kern w:val="0"/>
                      <w:sz w:val="18"/>
                      <w:szCs w:val="18"/>
                      <w:vertAlign w:val="subscript"/>
                      <w:lang w:val="en-US" w:eastAsia="zh-CN"/>
                    </w:rPr>
                  </w:pPr>
                  <w:r>
                    <w:rPr>
                      <w:rFonts w:hint="eastAsia"/>
                      <w:color w:val="auto"/>
                      <w:kern w:val="0"/>
                      <w:sz w:val="18"/>
                      <w:szCs w:val="18"/>
                      <w:lang w:val="en-US" w:eastAsia="zh-CN"/>
                    </w:rPr>
                    <w:t>SO</w:t>
                  </w:r>
                  <w:r>
                    <w:rPr>
                      <w:rFonts w:hint="eastAsia"/>
                      <w:color w:val="auto"/>
                      <w:kern w:val="0"/>
                      <w:sz w:val="18"/>
                      <w:szCs w:val="18"/>
                      <w:vertAlign w:val="subscript"/>
                      <w:lang w:val="en-US" w:eastAsia="zh-CN"/>
                    </w:rPr>
                    <w:t>2</w:t>
                  </w:r>
                </w:p>
              </w:tc>
              <w:tc>
                <w:tcPr>
                  <w:tcW w:w="1013" w:type="dxa"/>
                  <w:tcMar>
                    <w:left w:w="0" w:type="dxa"/>
                    <w:right w:w="0" w:type="dxa"/>
                  </w:tcMar>
                  <w:vAlign w:val="center"/>
                </w:tcPr>
                <w:p>
                  <w:pPr>
                    <w:keepNext w:val="0"/>
                    <w:keepLines w:val="0"/>
                    <w:widowControl/>
                    <w:suppressLineNumbers w:val="0"/>
                    <w:jc w:val="center"/>
                    <w:textAlignment w:val="center"/>
                    <w:rPr>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0.0025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PrEx>
              <w:trPr>
                <w:trHeight w:val="170" w:hRule="atLeast"/>
                <w:jc w:val="center"/>
              </w:trPr>
              <w:tc>
                <w:tcPr>
                  <w:tcW w:w="1347"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787"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616"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FF0000"/>
                      <w:sz w:val="18"/>
                      <w:szCs w:val="18"/>
                    </w:rPr>
                  </w:pPr>
                </w:p>
              </w:tc>
              <w:tc>
                <w:tcPr>
                  <w:tcW w:w="790"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945"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826"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945" w:type="dxa"/>
                  <w:vMerge w:val="continue"/>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p>
              </w:tc>
              <w:tc>
                <w:tcPr>
                  <w:tcW w:w="109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color w:val="auto"/>
                      <w:kern w:val="0"/>
                      <w:sz w:val="18"/>
                      <w:szCs w:val="18"/>
                      <w:vertAlign w:val="subscript"/>
                      <w:lang w:val="en-US" w:eastAsia="zh-CN"/>
                    </w:rPr>
                  </w:pPr>
                  <w:r>
                    <w:rPr>
                      <w:rFonts w:hint="eastAsia"/>
                      <w:color w:val="auto"/>
                      <w:kern w:val="0"/>
                      <w:sz w:val="18"/>
                      <w:szCs w:val="18"/>
                      <w:lang w:val="en-US" w:eastAsia="zh-CN"/>
                    </w:rPr>
                    <w:t>NO</w:t>
                  </w:r>
                  <w:r>
                    <w:rPr>
                      <w:rFonts w:hint="eastAsia"/>
                      <w:color w:val="auto"/>
                      <w:kern w:val="0"/>
                      <w:sz w:val="18"/>
                      <w:szCs w:val="18"/>
                      <w:vertAlign w:val="subscript"/>
                      <w:lang w:val="en-US" w:eastAsia="zh-CN"/>
                    </w:rPr>
                    <w:t>X</w:t>
                  </w:r>
                </w:p>
              </w:tc>
              <w:tc>
                <w:tcPr>
                  <w:tcW w:w="1013" w:type="dxa"/>
                  <w:tcMar>
                    <w:left w:w="0" w:type="dxa"/>
                    <w:right w:w="0" w:type="dxa"/>
                  </w:tcMar>
                  <w:vAlign w:val="center"/>
                </w:tcPr>
                <w:p>
                  <w:pPr>
                    <w:keepNext w:val="0"/>
                    <w:keepLines w:val="0"/>
                    <w:widowControl/>
                    <w:suppressLineNumbers w:val="0"/>
                    <w:jc w:val="center"/>
                    <w:textAlignment w:val="center"/>
                    <w:rPr>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0.022</w:t>
                  </w:r>
                  <w:r>
                    <w:rPr>
                      <w:rFonts w:hint="eastAsia" w:ascii="Times New Roman" w:hAnsi="Times New Roman" w:eastAsia="宋体" w:cs="Times New Roman"/>
                      <w:i w:val="0"/>
                      <w:iCs w:val="0"/>
                      <w:color w:val="000000"/>
                      <w:kern w:val="0"/>
                      <w:sz w:val="18"/>
                      <w:szCs w:val="18"/>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4" w:space="0"/>
                </w:tblBorders>
              </w:tblPrEx>
              <w:trPr>
                <w:trHeight w:val="170" w:hRule="atLeast"/>
                <w:jc w:val="center"/>
              </w:trPr>
              <w:tc>
                <w:tcPr>
                  <w:tcW w:w="1347"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sz w:val="18"/>
                      <w:szCs w:val="18"/>
                    </w:rPr>
                    <w:t>DA00</w:t>
                  </w:r>
                  <w:r>
                    <w:rPr>
                      <w:rFonts w:hint="eastAsia"/>
                      <w:sz w:val="18"/>
                      <w:szCs w:val="18"/>
                      <w:lang w:val="en-US" w:eastAsia="zh-CN"/>
                    </w:rPr>
                    <w:t>1</w:t>
                  </w:r>
                  <w:r>
                    <w:rPr>
                      <w:sz w:val="18"/>
                      <w:szCs w:val="18"/>
                    </w:rPr>
                    <w:t>排气筒</w:t>
                  </w:r>
                </w:p>
              </w:tc>
              <w:tc>
                <w:tcPr>
                  <w:tcW w:w="787"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z w:val="18"/>
                      <w:szCs w:val="18"/>
                    </w:rPr>
                  </w:pPr>
                  <w:r>
                    <w:rPr>
                      <w:sz w:val="18"/>
                      <w:szCs w:val="18"/>
                    </w:rPr>
                    <w:t>15</w:t>
                  </w:r>
                </w:p>
              </w:tc>
              <w:tc>
                <w:tcPr>
                  <w:tcW w:w="61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sz w:val="18"/>
                      <w:szCs w:val="18"/>
                      <w:lang w:val="en-US" w:eastAsia="zh-CN"/>
                    </w:rPr>
                  </w:pPr>
                  <w:r>
                    <w:rPr>
                      <w:sz w:val="18"/>
                      <w:szCs w:val="18"/>
                    </w:rPr>
                    <w:t>0.</w:t>
                  </w:r>
                  <w:r>
                    <w:rPr>
                      <w:rStyle w:val="99"/>
                      <w:rFonts w:hint="eastAsia"/>
                      <w:kern w:val="0"/>
                      <w:sz w:val="18"/>
                      <w:szCs w:val="18"/>
                      <w:lang w:val="en-US" w:eastAsia="zh-CN"/>
                    </w:rPr>
                    <w:t>27</w:t>
                  </w:r>
                </w:p>
              </w:tc>
              <w:tc>
                <w:tcPr>
                  <w:tcW w:w="790"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463</w:t>
                  </w:r>
                </w:p>
              </w:tc>
              <w:tc>
                <w:tcPr>
                  <w:tcW w:w="945"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25</w:t>
                  </w:r>
                </w:p>
              </w:tc>
              <w:tc>
                <w:tcPr>
                  <w:tcW w:w="826"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rFonts w:hint="eastAsia"/>
                      <w:sz w:val="18"/>
                      <w:szCs w:val="18"/>
                      <w:lang w:val="en-US" w:eastAsia="zh-CN"/>
                    </w:rPr>
                    <w:t>24</w:t>
                  </w:r>
                  <w:r>
                    <w:rPr>
                      <w:rFonts w:hint="eastAsia"/>
                      <w:sz w:val="18"/>
                      <w:szCs w:val="18"/>
                    </w:rPr>
                    <w:t>00</w:t>
                  </w:r>
                </w:p>
              </w:tc>
              <w:tc>
                <w:tcPr>
                  <w:tcW w:w="945"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sz w:val="18"/>
                      <w:szCs w:val="18"/>
                    </w:rPr>
                  </w:pPr>
                  <w:r>
                    <w:rPr>
                      <w:sz w:val="18"/>
                      <w:szCs w:val="18"/>
                    </w:rPr>
                    <w:t>间断</w:t>
                  </w:r>
                </w:p>
              </w:tc>
              <w:tc>
                <w:tcPr>
                  <w:tcW w:w="1096"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eastAsia="宋体"/>
                      <w:kern w:val="0"/>
                      <w:sz w:val="18"/>
                      <w:szCs w:val="18"/>
                      <w:lang w:val="en-US" w:eastAsia="zh-CN"/>
                    </w:rPr>
                  </w:pPr>
                  <w:r>
                    <w:rPr>
                      <w:rFonts w:hint="eastAsia"/>
                      <w:kern w:val="0"/>
                      <w:sz w:val="18"/>
                      <w:szCs w:val="18"/>
                      <w:lang w:val="en-US" w:eastAsia="zh-CN"/>
                    </w:rPr>
                    <w:t>VOCs</w:t>
                  </w:r>
                </w:p>
              </w:tc>
              <w:tc>
                <w:tcPr>
                  <w:tcW w:w="1013" w:type="dxa"/>
                  <w:tcMar>
                    <w:left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0.045</w:t>
                  </w:r>
                </w:p>
              </w:tc>
            </w:tr>
          </w:tbl>
          <w:p>
            <w:pPr>
              <w:jc w:val="center"/>
              <w:rPr>
                <w:b/>
              </w:rPr>
            </w:pPr>
            <w:r>
              <w:rPr>
                <w:b/>
              </w:rPr>
              <w:t>表4-8估算模型参数一览表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2791"/>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76" w:type="dxa"/>
                  <w:gridSpan w:val="2"/>
                  <w:vAlign w:val="center"/>
                </w:tcPr>
                <w:p>
                  <w:pPr>
                    <w:contextualSpacing/>
                    <w:jc w:val="center"/>
                    <w:rPr>
                      <w:b/>
                      <w:bCs/>
                      <w:sz w:val="18"/>
                      <w:szCs w:val="18"/>
                    </w:rPr>
                  </w:pPr>
                  <w:r>
                    <w:rPr>
                      <w:b/>
                      <w:bCs/>
                      <w:sz w:val="18"/>
                      <w:szCs w:val="18"/>
                    </w:rPr>
                    <w:t>参数</w:t>
                  </w:r>
                </w:p>
              </w:tc>
              <w:tc>
                <w:tcPr>
                  <w:tcW w:w="2792" w:type="dxa"/>
                  <w:vAlign w:val="center"/>
                </w:tcPr>
                <w:p>
                  <w:pPr>
                    <w:contextualSpacing/>
                    <w:jc w:val="center"/>
                    <w:rPr>
                      <w:b/>
                      <w:bCs/>
                      <w:sz w:val="18"/>
                      <w:szCs w:val="18"/>
                    </w:rPr>
                  </w:pPr>
                  <w:r>
                    <w:rPr>
                      <w:b/>
                      <w:bCs/>
                      <w:sz w:val="18"/>
                      <w:szCs w:val="18"/>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Merge w:val="restart"/>
                  <w:vAlign w:val="center"/>
                </w:tcPr>
                <w:p>
                  <w:pPr>
                    <w:contextualSpacing/>
                    <w:jc w:val="center"/>
                    <w:rPr>
                      <w:sz w:val="18"/>
                      <w:szCs w:val="18"/>
                    </w:rPr>
                  </w:pPr>
                  <w:r>
                    <w:rPr>
                      <w:sz w:val="18"/>
                      <w:szCs w:val="18"/>
                    </w:rPr>
                    <w:t>农村/城市选项</w:t>
                  </w:r>
                </w:p>
              </w:tc>
              <w:tc>
                <w:tcPr>
                  <w:tcW w:w="2791" w:type="dxa"/>
                  <w:vAlign w:val="center"/>
                </w:tcPr>
                <w:p>
                  <w:pPr>
                    <w:contextualSpacing/>
                    <w:jc w:val="center"/>
                    <w:rPr>
                      <w:sz w:val="18"/>
                      <w:szCs w:val="18"/>
                    </w:rPr>
                  </w:pPr>
                  <w:r>
                    <w:rPr>
                      <w:sz w:val="18"/>
                      <w:szCs w:val="18"/>
                    </w:rPr>
                    <w:t>城市/农村</w:t>
                  </w:r>
                </w:p>
              </w:tc>
              <w:tc>
                <w:tcPr>
                  <w:tcW w:w="2792" w:type="dxa"/>
                  <w:vAlign w:val="center"/>
                </w:tcPr>
                <w:p>
                  <w:pPr>
                    <w:contextualSpacing/>
                    <w:jc w:val="center"/>
                    <w:rPr>
                      <w:sz w:val="18"/>
                      <w:szCs w:val="18"/>
                    </w:rPr>
                  </w:pPr>
                  <w:r>
                    <w:rPr>
                      <w:sz w:val="18"/>
                      <w:szCs w:val="18"/>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85" w:type="dxa"/>
                  <w:vMerge w:val="continue"/>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人口数（城市选项时）</w:t>
                  </w:r>
                </w:p>
              </w:tc>
              <w:tc>
                <w:tcPr>
                  <w:tcW w:w="2792" w:type="dxa"/>
                  <w:vAlign w:val="center"/>
                </w:tcPr>
                <w:p>
                  <w:pPr>
                    <w:contextualSpacing/>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76" w:type="dxa"/>
                  <w:gridSpan w:val="2"/>
                  <w:vAlign w:val="center"/>
                </w:tcPr>
                <w:p>
                  <w:pPr>
                    <w:contextualSpacing/>
                    <w:jc w:val="center"/>
                    <w:rPr>
                      <w:sz w:val="18"/>
                      <w:szCs w:val="18"/>
                      <w:lang w:eastAsia="ja-JP"/>
                    </w:rPr>
                  </w:pPr>
                  <w:r>
                    <w:rPr>
                      <w:sz w:val="18"/>
                      <w:szCs w:val="18"/>
                    </w:rPr>
                    <w:t>最高环境温度/</w:t>
                  </w:r>
                  <w:r>
                    <w:rPr>
                      <w:sz w:val="18"/>
                      <w:szCs w:val="18"/>
                      <w:lang w:eastAsia="ja-JP"/>
                    </w:rPr>
                    <w:t>℃</w:t>
                  </w:r>
                </w:p>
              </w:tc>
              <w:tc>
                <w:tcPr>
                  <w:tcW w:w="2792" w:type="dxa"/>
                  <w:vAlign w:val="center"/>
                </w:tcPr>
                <w:p>
                  <w:pPr>
                    <w:contextualSpacing/>
                    <w:jc w:val="center"/>
                    <w:rPr>
                      <w:sz w:val="18"/>
                      <w:szCs w:val="18"/>
                    </w:rPr>
                  </w:pPr>
                  <w:r>
                    <w:rPr>
                      <w:sz w:val="18"/>
                      <w:szCs w:val="18"/>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76" w:type="dxa"/>
                  <w:gridSpan w:val="2"/>
                  <w:vAlign w:val="center"/>
                </w:tcPr>
                <w:p>
                  <w:pPr>
                    <w:contextualSpacing/>
                    <w:jc w:val="center"/>
                    <w:rPr>
                      <w:sz w:val="18"/>
                      <w:szCs w:val="18"/>
                    </w:rPr>
                  </w:pPr>
                  <w:r>
                    <w:rPr>
                      <w:sz w:val="18"/>
                      <w:szCs w:val="18"/>
                    </w:rPr>
                    <w:t>最低环境温度/</w:t>
                  </w:r>
                  <w:r>
                    <w:rPr>
                      <w:sz w:val="18"/>
                      <w:szCs w:val="18"/>
                      <w:lang w:eastAsia="ja-JP"/>
                    </w:rPr>
                    <w:t>℃</w:t>
                  </w:r>
                </w:p>
              </w:tc>
              <w:tc>
                <w:tcPr>
                  <w:tcW w:w="2792" w:type="dxa"/>
                  <w:vAlign w:val="center"/>
                </w:tcPr>
                <w:p>
                  <w:pPr>
                    <w:contextualSpacing/>
                    <w:jc w:val="center"/>
                    <w:rPr>
                      <w:sz w:val="18"/>
                      <w:szCs w:val="18"/>
                    </w:rPr>
                  </w:pPr>
                  <w:r>
                    <w:rPr>
                      <w:sz w:val="18"/>
                      <w:szCs w:val="18"/>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576" w:type="dxa"/>
                  <w:gridSpan w:val="2"/>
                  <w:vAlign w:val="center"/>
                </w:tcPr>
                <w:p>
                  <w:pPr>
                    <w:contextualSpacing/>
                    <w:jc w:val="center"/>
                    <w:rPr>
                      <w:sz w:val="18"/>
                      <w:szCs w:val="18"/>
                    </w:rPr>
                  </w:pPr>
                  <w:r>
                    <w:rPr>
                      <w:sz w:val="18"/>
                      <w:szCs w:val="18"/>
                    </w:rPr>
                    <w:t>土地利用类型</w:t>
                  </w:r>
                </w:p>
              </w:tc>
              <w:tc>
                <w:tcPr>
                  <w:tcW w:w="2792" w:type="dxa"/>
                  <w:vAlign w:val="center"/>
                </w:tcPr>
                <w:p>
                  <w:pPr>
                    <w:contextualSpacing/>
                    <w:jc w:val="center"/>
                    <w:rPr>
                      <w:sz w:val="18"/>
                      <w:szCs w:val="18"/>
                    </w:rPr>
                  </w:pPr>
                  <w:r>
                    <w:rPr>
                      <w:sz w:val="18"/>
                      <w:szCs w:val="18"/>
                    </w:rPr>
                    <w:t>农作地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76" w:type="dxa"/>
                  <w:gridSpan w:val="2"/>
                  <w:vAlign w:val="center"/>
                </w:tcPr>
                <w:p>
                  <w:pPr>
                    <w:contextualSpacing/>
                    <w:jc w:val="center"/>
                    <w:rPr>
                      <w:sz w:val="18"/>
                      <w:szCs w:val="18"/>
                    </w:rPr>
                  </w:pPr>
                  <w:r>
                    <w:rPr>
                      <w:sz w:val="18"/>
                      <w:szCs w:val="18"/>
                    </w:rPr>
                    <w:t>区域湿度条件</w:t>
                  </w:r>
                </w:p>
              </w:tc>
              <w:tc>
                <w:tcPr>
                  <w:tcW w:w="2792" w:type="dxa"/>
                  <w:vAlign w:val="center"/>
                </w:tcPr>
                <w:p>
                  <w:pPr>
                    <w:contextualSpacing/>
                    <w:jc w:val="center"/>
                    <w:rPr>
                      <w:sz w:val="18"/>
                      <w:szCs w:val="18"/>
                    </w:rPr>
                  </w:pPr>
                  <w:r>
                    <w:rPr>
                      <w:sz w:val="18"/>
                      <w:szCs w:val="18"/>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Merge w:val="restart"/>
                  <w:vAlign w:val="center"/>
                </w:tcPr>
                <w:p>
                  <w:pPr>
                    <w:contextualSpacing/>
                    <w:jc w:val="center"/>
                    <w:rPr>
                      <w:sz w:val="18"/>
                      <w:szCs w:val="18"/>
                    </w:rPr>
                  </w:pPr>
                  <w:r>
                    <w:rPr>
                      <w:sz w:val="18"/>
                      <w:szCs w:val="18"/>
                    </w:rPr>
                    <w:t>是否考虑地形</w:t>
                  </w:r>
                </w:p>
              </w:tc>
              <w:tc>
                <w:tcPr>
                  <w:tcW w:w="2791" w:type="dxa"/>
                  <w:vAlign w:val="center"/>
                </w:tcPr>
                <w:p>
                  <w:pPr>
                    <w:contextualSpacing/>
                    <w:jc w:val="center"/>
                    <w:rPr>
                      <w:sz w:val="18"/>
                      <w:szCs w:val="18"/>
                    </w:rPr>
                  </w:pPr>
                  <w:r>
                    <w:rPr>
                      <w:sz w:val="18"/>
                      <w:szCs w:val="18"/>
                    </w:rPr>
                    <w:t>考虑地形</w:t>
                  </w:r>
                </w:p>
              </w:tc>
              <w:tc>
                <w:tcPr>
                  <w:tcW w:w="2792" w:type="dxa"/>
                  <w:vAlign w:val="center"/>
                </w:tcPr>
                <w:p>
                  <w:pPr>
                    <w:contextualSpacing/>
                    <w:jc w:val="center"/>
                    <w:rPr>
                      <w:sz w:val="18"/>
                      <w:szCs w:val="18"/>
                    </w:rPr>
                  </w:pPr>
                  <w:r>
                    <w:rPr>
                      <w:sz w:val="18"/>
                      <w:szCs w:val="18"/>
                    </w:rPr>
                    <w:t>（</w:t>
                  </w:r>
                  <w:r>
                    <w:rPr>
                      <w:rFonts w:hint="eastAsia"/>
                      <w:sz w:val="18"/>
                      <w:szCs w:val="18"/>
                      <w:lang w:eastAsia="zh-CN"/>
                    </w:rPr>
                    <w:t>）</w:t>
                  </w:r>
                  <w:r>
                    <w:rPr>
                      <w:sz w:val="18"/>
                      <w:szCs w:val="18"/>
                    </w:rPr>
                    <w:t xml:space="preserve">是  </w:t>
                  </w:r>
                  <w:r>
                    <w:rPr>
                      <w:kern w:val="0"/>
                      <w:sz w:val="18"/>
                      <w:szCs w:val="18"/>
                    </w:rPr>
                    <w:t>√</w:t>
                  </w:r>
                  <w:r>
                    <w:rPr>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5" w:type="dxa"/>
                  <w:vMerge w:val="continue"/>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地形数据分辨率/m</w:t>
                  </w:r>
                </w:p>
              </w:tc>
              <w:tc>
                <w:tcPr>
                  <w:tcW w:w="2792" w:type="dxa"/>
                  <w:vAlign w:val="center"/>
                </w:tcPr>
                <w:p>
                  <w:pPr>
                    <w:contextualSpacing/>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85" w:type="dxa"/>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考虑岸线熏烟</w:t>
                  </w:r>
                </w:p>
              </w:tc>
              <w:tc>
                <w:tcPr>
                  <w:tcW w:w="2792" w:type="dxa"/>
                  <w:vAlign w:val="center"/>
                </w:tcPr>
                <w:p>
                  <w:pPr>
                    <w:contextualSpacing/>
                    <w:jc w:val="center"/>
                    <w:rPr>
                      <w:sz w:val="18"/>
                      <w:szCs w:val="18"/>
                    </w:rPr>
                  </w:pPr>
                  <w:r>
                    <w:rPr>
                      <w:sz w:val="18"/>
                      <w:szCs w:val="18"/>
                    </w:rPr>
                    <w:t>（</w:t>
                  </w:r>
                  <w:r>
                    <w:rPr>
                      <w:rFonts w:hint="eastAsia"/>
                      <w:sz w:val="18"/>
                      <w:szCs w:val="18"/>
                      <w:lang w:eastAsia="zh-CN"/>
                    </w:rPr>
                    <w:t>）</w:t>
                  </w:r>
                  <w:r>
                    <w:rPr>
                      <w:sz w:val="18"/>
                      <w:szCs w:val="18"/>
                    </w:rPr>
                    <w:t xml:space="preserve">是  </w:t>
                  </w:r>
                  <w:r>
                    <w:rPr>
                      <w:kern w:val="0"/>
                      <w:sz w:val="18"/>
                      <w:szCs w:val="18"/>
                    </w:rPr>
                    <w:t>√</w:t>
                  </w:r>
                  <w:r>
                    <w:rPr>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85" w:type="dxa"/>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岸线距离/m</w:t>
                  </w:r>
                </w:p>
              </w:tc>
              <w:tc>
                <w:tcPr>
                  <w:tcW w:w="2792" w:type="dxa"/>
                  <w:vAlign w:val="center"/>
                </w:tcPr>
                <w:p>
                  <w:pPr>
                    <w:contextualSpacing/>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85" w:type="dxa"/>
                  <w:vAlign w:val="center"/>
                </w:tcPr>
                <w:p>
                  <w:pPr>
                    <w:contextualSpacing/>
                    <w:jc w:val="center"/>
                    <w:rPr>
                      <w:sz w:val="18"/>
                      <w:szCs w:val="18"/>
                    </w:rPr>
                  </w:pPr>
                </w:p>
              </w:tc>
              <w:tc>
                <w:tcPr>
                  <w:tcW w:w="2791" w:type="dxa"/>
                  <w:vAlign w:val="center"/>
                </w:tcPr>
                <w:p>
                  <w:pPr>
                    <w:contextualSpacing/>
                    <w:jc w:val="center"/>
                    <w:rPr>
                      <w:sz w:val="18"/>
                      <w:szCs w:val="18"/>
                    </w:rPr>
                  </w:pPr>
                  <w:r>
                    <w:rPr>
                      <w:sz w:val="18"/>
                      <w:szCs w:val="18"/>
                    </w:rPr>
                    <w:t>岸线方向/°</w:t>
                  </w:r>
                </w:p>
              </w:tc>
              <w:tc>
                <w:tcPr>
                  <w:tcW w:w="2792" w:type="dxa"/>
                  <w:vAlign w:val="center"/>
                </w:tcPr>
                <w:p>
                  <w:pPr>
                    <w:contextualSpacing/>
                    <w:jc w:val="center"/>
                    <w:rPr>
                      <w:sz w:val="18"/>
                      <w:szCs w:val="18"/>
                    </w:rPr>
                  </w:pPr>
                  <w:r>
                    <w:rPr>
                      <w:sz w:val="18"/>
                      <w:szCs w:val="18"/>
                    </w:rPr>
                    <w:t>--</w:t>
                  </w:r>
                </w:p>
              </w:tc>
            </w:tr>
          </w:tbl>
          <w:p>
            <w:pPr>
              <w:jc w:val="center"/>
              <w:rPr>
                <w:b/>
              </w:rPr>
            </w:pPr>
            <w:r>
              <w:rPr>
                <w:b/>
              </w:rPr>
              <w:t>表4-</w:t>
            </w:r>
            <w:r>
              <w:rPr>
                <w:rFonts w:hint="eastAsia"/>
                <w:b/>
              </w:rPr>
              <w:t>12</w:t>
            </w:r>
            <w:r>
              <w:rPr>
                <w:b/>
              </w:rPr>
              <w:t>所有污染源（面源）的正常排放的污染物的P</w:t>
            </w:r>
            <w:r>
              <w:rPr>
                <w:b/>
                <w:vertAlign w:val="subscript"/>
              </w:rPr>
              <w:t>max</w:t>
            </w:r>
            <w:r>
              <w:rPr>
                <w:b/>
              </w:rPr>
              <w:t>和D</w:t>
            </w:r>
            <w:r>
              <w:rPr>
                <w:b/>
                <w:vertAlign w:val="subscript"/>
              </w:rPr>
              <w:t>10%</w:t>
            </w:r>
            <w:r>
              <w:rPr>
                <w:b/>
              </w:rPr>
              <w:t>预测结果一览表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486"/>
              <w:gridCol w:w="1769"/>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980" w:type="pct"/>
                  <w:vAlign w:val="center"/>
                </w:tcPr>
                <w:p>
                  <w:pPr>
                    <w:contextualSpacing/>
                    <w:jc w:val="center"/>
                    <w:rPr>
                      <w:b/>
                      <w:bCs/>
                      <w:sz w:val="18"/>
                      <w:szCs w:val="18"/>
                    </w:rPr>
                  </w:pPr>
                  <w:r>
                    <w:rPr>
                      <w:b/>
                      <w:bCs/>
                      <w:sz w:val="18"/>
                      <w:szCs w:val="18"/>
                    </w:rPr>
                    <w:t>污染源名称</w:t>
                  </w:r>
                </w:p>
              </w:tc>
              <w:tc>
                <w:tcPr>
                  <w:tcW w:w="888" w:type="pct"/>
                  <w:vAlign w:val="center"/>
                </w:tcPr>
                <w:p>
                  <w:pPr>
                    <w:contextualSpacing/>
                    <w:jc w:val="center"/>
                    <w:rPr>
                      <w:b/>
                      <w:bCs/>
                      <w:sz w:val="18"/>
                      <w:szCs w:val="18"/>
                    </w:rPr>
                  </w:pPr>
                  <w:r>
                    <w:rPr>
                      <w:b/>
                      <w:bCs/>
                      <w:sz w:val="18"/>
                      <w:szCs w:val="18"/>
                    </w:rPr>
                    <w:t>评价因子</w:t>
                  </w:r>
                </w:p>
              </w:tc>
              <w:tc>
                <w:tcPr>
                  <w:tcW w:w="1057" w:type="pct"/>
                  <w:vAlign w:val="center"/>
                </w:tcPr>
                <w:p>
                  <w:pPr>
                    <w:contextualSpacing/>
                    <w:jc w:val="center"/>
                    <w:rPr>
                      <w:b/>
                      <w:bCs/>
                      <w:sz w:val="18"/>
                      <w:szCs w:val="18"/>
                    </w:rPr>
                  </w:pPr>
                  <w:r>
                    <w:rPr>
                      <w:b/>
                      <w:bCs/>
                      <w:sz w:val="18"/>
                      <w:szCs w:val="18"/>
                    </w:rPr>
                    <w:t>评价标准（mg/m</w:t>
                  </w:r>
                  <w:r>
                    <w:rPr>
                      <w:b/>
                      <w:bCs/>
                      <w:sz w:val="18"/>
                      <w:szCs w:val="18"/>
                      <w:vertAlign w:val="superscript"/>
                    </w:rPr>
                    <w:t>3</w:t>
                  </w:r>
                  <w:r>
                    <w:rPr>
                      <w:b/>
                      <w:bCs/>
                      <w:sz w:val="18"/>
                      <w:szCs w:val="18"/>
                    </w:rPr>
                    <w:t>）</w:t>
                  </w:r>
                </w:p>
              </w:tc>
              <w:tc>
                <w:tcPr>
                  <w:tcW w:w="1073" w:type="pct"/>
                  <w:vAlign w:val="center"/>
                </w:tcPr>
                <w:p>
                  <w:pPr>
                    <w:contextualSpacing/>
                    <w:jc w:val="center"/>
                    <w:rPr>
                      <w:b/>
                      <w:bCs/>
                      <w:sz w:val="18"/>
                      <w:szCs w:val="18"/>
                    </w:rPr>
                  </w:pPr>
                  <w:r>
                    <w:rPr>
                      <w:b/>
                      <w:bCs/>
                      <w:sz w:val="18"/>
                      <w:szCs w:val="18"/>
                    </w:rPr>
                    <w:t>C</w:t>
                  </w:r>
                  <w:r>
                    <w:rPr>
                      <w:b/>
                      <w:bCs/>
                      <w:sz w:val="18"/>
                      <w:szCs w:val="18"/>
                      <w:vertAlign w:val="subscript"/>
                    </w:rPr>
                    <w:t>max</w:t>
                  </w:r>
                </w:p>
                <w:p>
                  <w:pPr>
                    <w:contextualSpacing/>
                    <w:jc w:val="center"/>
                    <w:rPr>
                      <w:b/>
                      <w:bCs/>
                      <w:sz w:val="18"/>
                      <w:szCs w:val="18"/>
                    </w:rPr>
                  </w:pPr>
                  <w:r>
                    <w:rPr>
                      <w:b/>
                      <w:bCs/>
                      <w:sz w:val="18"/>
                      <w:szCs w:val="18"/>
                    </w:rPr>
                    <w:t>（mg/m</w:t>
                  </w:r>
                  <w:r>
                    <w:rPr>
                      <w:b/>
                      <w:bCs/>
                      <w:sz w:val="18"/>
                      <w:szCs w:val="18"/>
                      <w:vertAlign w:val="superscript"/>
                    </w:rPr>
                    <w:t>3</w:t>
                  </w:r>
                  <w:r>
                    <w:rPr>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pct"/>
                  <w:vAlign w:val="center"/>
                </w:tcPr>
                <w:p>
                  <w:pPr>
                    <w:snapToGrid w:val="0"/>
                    <w:jc w:val="center"/>
                    <w:rPr>
                      <w:kern w:val="0"/>
                      <w:sz w:val="18"/>
                      <w:szCs w:val="18"/>
                    </w:rPr>
                  </w:pPr>
                  <w:r>
                    <w:rPr>
                      <w:rFonts w:hint="eastAsia"/>
                      <w:kern w:val="0"/>
                      <w:sz w:val="18"/>
                      <w:szCs w:val="18"/>
                      <w:lang w:eastAsia="zh-CN"/>
                    </w:rPr>
                    <w:t>南</w:t>
                  </w:r>
                  <w:r>
                    <w:rPr>
                      <w:kern w:val="0"/>
                      <w:sz w:val="18"/>
                      <w:szCs w:val="18"/>
                    </w:rPr>
                    <w:t>生产车间</w:t>
                  </w:r>
                </w:p>
              </w:tc>
              <w:tc>
                <w:tcPr>
                  <w:tcW w:w="888" w:type="pct"/>
                  <w:vAlign w:val="center"/>
                </w:tcPr>
                <w:p>
                  <w:pPr>
                    <w:jc w:val="center"/>
                    <w:rPr>
                      <w:kern w:val="0"/>
                      <w:sz w:val="18"/>
                      <w:szCs w:val="18"/>
                    </w:rPr>
                  </w:pPr>
                  <w:r>
                    <w:rPr>
                      <w:kern w:val="0"/>
                      <w:sz w:val="18"/>
                      <w:szCs w:val="18"/>
                    </w:rPr>
                    <w:t>VOCs</w:t>
                  </w:r>
                </w:p>
              </w:tc>
              <w:tc>
                <w:tcPr>
                  <w:tcW w:w="1057" w:type="pct"/>
                  <w:vAlign w:val="center"/>
                </w:tcPr>
                <w:p>
                  <w:pPr>
                    <w:contextualSpacing/>
                    <w:jc w:val="center"/>
                    <w:rPr>
                      <w:b/>
                      <w:bCs/>
                      <w:sz w:val="18"/>
                      <w:szCs w:val="18"/>
                    </w:rPr>
                  </w:pPr>
                  <w:r>
                    <w:rPr>
                      <w:rFonts w:hint="eastAsia"/>
                      <w:sz w:val="18"/>
                      <w:szCs w:val="18"/>
                    </w:rPr>
                    <w:t>2.0</w:t>
                  </w:r>
                </w:p>
              </w:tc>
              <w:tc>
                <w:tcPr>
                  <w:tcW w:w="1073" w:type="pct"/>
                  <w:vAlign w:val="center"/>
                </w:tcPr>
                <w:p>
                  <w:pPr>
                    <w:contextualSpacing/>
                    <w:jc w:val="center"/>
                    <w:rPr>
                      <w:rFonts w:hint="default" w:eastAsia="宋体"/>
                      <w:color w:val="auto"/>
                      <w:sz w:val="18"/>
                      <w:szCs w:val="18"/>
                      <w:lang w:val="en-US" w:eastAsia="zh-CN"/>
                    </w:rPr>
                  </w:pPr>
                  <w:r>
                    <w:rPr>
                      <w:rFonts w:hint="eastAsia"/>
                      <w:color w:val="auto"/>
                      <w:sz w:val="18"/>
                      <w:szCs w:val="18"/>
                      <w:lang w:val="en-US" w:eastAsia="zh-CN"/>
                    </w:rPr>
                    <w:t>0.051</w:t>
                  </w:r>
                </w:p>
              </w:tc>
            </w:tr>
          </w:tbl>
          <w:p>
            <w:pPr>
              <w:jc w:val="center"/>
              <w:rPr>
                <w:b/>
              </w:rPr>
            </w:pPr>
          </w:p>
          <w:p>
            <w:pPr>
              <w:jc w:val="center"/>
              <w:rPr>
                <w:b/>
              </w:rPr>
            </w:pPr>
            <w:r>
              <w:rPr>
                <w:b/>
              </w:rPr>
              <w:t>表4-1</w:t>
            </w:r>
            <w:r>
              <w:rPr>
                <w:rFonts w:hint="eastAsia"/>
                <w:b/>
              </w:rPr>
              <w:t>3</w:t>
            </w:r>
            <w:r>
              <w:rPr>
                <w:b/>
              </w:rPr>
              <w:t>所有污染源（点源）的正常排放的污染物的P</w:t>
            </w:r>
            <w:r>
              <w:rPr>
                <w:b/>
                <w:vertAlign w:val="subscript"/>
              </w:rPr>
              <w:t>max</w:t>
            </w:r>
            <w:r>
              <w:rPr>
                <w:b/>
              </w:rPr>
              <w:t>和D</w:t>
            </w:r>
            <w:r>
              <w:rPr>
                <w:b/>
                <w:vertAlign w:val="subscript"/>
              </w:rPr>
              <w:t>10%</w:t>
            </w:r>
            <w:r>
              <w:rPr>
                <w:b/>
              </w:rPr>
              <w:t>预测结果一览表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1993"/>
              <w:gridCol w:w="1849"/>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0" w:type="pct"/>
                  <w:vAlign w:val="center"/>
                </w:tcPr>
                <w:p>
                  <w:pPr>
                    <w:contextualSpacing/>
                    <w:jc w:val="center"/>
                    <w:rPr>
                      <w:b/>
                      <w:bCs/>
                      <w:sz w:val="18"/>
                      <w:szCs w:val="18"/>
                    </w:rPr>
                  </w:pPr>
                  <w:r>
                    <w:rPr>
                      <w:b/>
                      <w:bCs/>
                      <w:sz w:val="18"/>
                      <w:szCs w:val="18"/>
                    </w:rPr>
                    <w:t>污染源名称</w:t>
                  </w:r>
                </w:p>
              </w:tc>
              <w:tc>
                <w:tcPr>
                  <w:tcW w:w="1191" w:type="pct"/>
                  <w:vAlign w:val="center"/>
                </w:tcPr>
                <w:p>
                  <w:pPr>
                    <w:contextualSpacing/>
                    <w:jc w:val="center"/>
                    <w:rPr>
                      <w:b/>
                      <w:bCs/>
                      <w:kern w:val="0"/>
                      <w:sz w:val="18"/>
                      <w:szCs w:val="18"/>
                    </w:rPr>
                  </w:pPr>
                  <w:r>
                    <w:rPr>
                      <w:b/>
                      <w:bCs/>
                      <w:sz w:val="18"/>
                      <w:szCs w:val="18"/>
                    </w:rPr>
                    <w:t>评价因子</w:t>
                  </w:r>
                </w:p>
              </w:tc>
              <w:tc>
                <w:tcPr>
                  <w:tcW w:w="1105" w:type="pct"/>
                  <w:vAlign w:val="center"/>
                </w:tcPr>
                <w:p>
                  <w:pPr>
                    <w:contextualSpacing/>
                    <w:jc w:val="center"/>
                    <w:rPr>
                      <w:b/>
                      <w:bCs/>
                      <w:sz w:val="18"/>
                      <w:szCs w:val="18"/>
                    </w:rPr>
                  </w:pPr>
                  <w:r>
                    <w:rPr>
                      <w:b/>
                      <w:bCs/>
                      <w:sz w:val="18"/>
                      <w:szCs w:val="18"/>
                    </w:rPr>
                    <w:t>评价标准（mg/m</w:t>
                  </w:r>
                  <w:r>
                    <w:rPr>
                      <w:b/>
                      <w:bCs/>
                      <w:sz w:val="18"/>
                      <w:szCs w:val="18"/>
                      <w:vertAlign w:val="superscript"/>
                    </w:rPr>
                    <w:t>3</w:t>
                  </w:r>
                  <w:r>
                    <w:rPr>
                      <w:b/>
                      <w:bCs/>
                      <w:sz w:val="18"/>
                      <w:szCs w:val="18"/>
                    </w:rPr>
                    <w:t>）</w:t>
                  </w:r>
                </w:p>
              </w:tc>
              <w:tc>
                <w:tcPr>
                  <w:tcW w:w="1103" w:type="pct"/>
                  <w:vAlign w:val="center"/>
                </w:tcPr>
                <w:p>
                  <w:pPr>
                    <w:contextualSpacing/>
                    <w:jc w:val="center"/>
                    <w:rPr>
                      <w:b/>
                      <w:bCs/>
                      <w:sz w:val="18"/>
                      <w:szCs w:val="18"/>
                    </w:rPr>
                  </w:pPr>
                  <w:r>
                    <w:rPr>
                      <w:b/>
                      <w:bCs/>
                      <w:sz w:val="18"/>
                      <w:szCs w:val="18"/>
                    </w:rPr>
                    <w:t>C</w:t>
                  </w:r>
                  <w:r>
                    <w:rPr>
                      <w:b/>
                      <w:bCs/>
                      <w:sz w:val="18"/>
                      <w:szCs w:val="18"/>
                      <w:vertAlign w:val="subscript"/>
                    </w:rPr>
                    <w:t>max</w:t>
                  </w:r>
                </w:p>
                <w:p>
                  <w:pPr>
                    <w:contextualSpacing/>
                    <w:jc w:val="center"/>
                    <w:rPr>
                      <w:b/>
                      <w:bCs/>
                      <w:sz w:val="18"/>
                      <w:szCs w:val="18"/>
                    </w:rPr>
                  </w:pPr>
                  <w:r>
                    <w:rPr>
                      <w:b/>
                      <w:bCs/>
                      <w:sz w:val="18"/>
                      <w:szCs w:val="18"/>
                    </w:rPr>
                    <w:t>（mg/m</w:t>
                  </w:r>
                  <w:r>
                    <w:rPr>
                      <w:b/>
                      <w:bCs/>
                      <w:sz w:val="18"/>
                      <w:szCs w:val="18"/>
                      <w:vertAlign w:val="superscript"/>
                    </w:rPr>
                    <w:t>3</w:t>
                  </w:r>
                  <w:r>
                    <w:rPr>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0" w:type="pct"/>
                  <w:vMerge w:val="restart"/>
                  <w:vAlign w:val="center"/>
                </w:tcPr>
                <w:p>
                  <w:pPr>
                    <w:contextualSpacing/>
                    <w:jc w:val="center"/>
                    <w:rPr>
                      <w:sz w:val="18"/>
                      <w:szCs w:val="18"/>
                    </w:rPr>
                  </w:pPr>
                  <w:r>
                    <w:rPr>
                      <w:sz w:val="18"/>
                      <w:szCs w:val="18"/>
                    </w:rPr>
                    <w:t>DA00</w:t>
                  </w:r>
                  <w:r>
                    <w:rPr>
                      <w:rFonts w:hint="eastAsia"/>
                      <w:sz w:val="18"/>
                      <w:szCs w:val="18"/>
                      <w:lang w:val="en-US" w:eastAsia="zh-CN"/>
                    </w:rPr>
                    <w:t>2</w:t>
                  </w:r>
                  <w:r>
                    <w:rPr>
                      <w:sz w:val="18"/>
                      <w:szCs w:val="18"/>
                    </w:rPr>
                    <w:t>排气筒</w:t>
                  </w:r>
                </w:p>
              </w:tc>
              <w:tc>
                <w:tcPr>
                  <w:tcW w:w="1993" w:type="dxa"/>
                  <w:vAlign w:val="center"/>
                </w:tcPr>
                <w:p>
                  <w:pPr>
                    <w:jc w:val="center"/>
                    <w:rPr>
                      <w:kern w:val="0"/>
                      <w:sz w:val="18"/>
                      <w:szCs w:val="18"/>
                    </w:rPr>
                  </w:pPr>
                  <w:r>
                    <w:rPr>
                      <w:rFonts w:hint="eastAsia"/>
                      <w:color w:val="auto"/>
                      <w:kern w:val="0"/>
                      <w:sz w:val="18"/>
                      <w:szCs w:val="18"/>
                    </w:rPr>
                    <w:t>PM</w:t>
                  </w:r>
                  <w:r>
                    <w:rPr>
                      <w:rFonts w:hint="eastAsia"/>
                      <w:color w:val="auto"/>
                      <w:kern w:val="0"/>
                      <w:sz w:val="18"/>
                      <w:szCs w:val="18"/>
                      <w:vertAlign w:val="subscript"/>
                    </w:rPr>
                    <w:t>10</w:t>
                  </w:r>
                </w:p>
              </w:tc>
              <w:tc>
                <w:tcPr>
                  <w:tcW w:w="1849" w:type="dxa"/>
                  <w:vAlign w:val="center"/>
                </w:tcPr>
                <w:p>
                  <w:pPr>
                    <w:contextualSpacing/>
                    <w:jc w:val="center"/>
                    <w:rPr>
                      <w:b/>
                      <w:bCs/>
                      <w:sz w:val="18"/>
                      <w:szCs w:val="18"/>
                    </w:rPr>
                  </w:pPr>
                  <w:r>
                    <w:rPr>
                      <w:rFonts w:hint="eastAsia"/>
                      <w:color w:val="auto"/>
                      <w:sz w:val="18"/>
                      <w:szCs w:val="18"/>
                    </w:rPr>
                    <w:t>0.45</w:t>
                  </w:r>
                </w:p>
              </w:tc>
              <w:tc>
                <w:tcPr>
                  <w:tcW w:w="1103" w:type="pct"/>
                  <w:vAlign w:val="center"/>
                </w:tcPr>
                <w:p>
                  <w:pPr>
                    <w:contextualSpacing/>
                    <w:jc w:val="center"/>
                    <w:rPr>
                      <w:rFonts w:hint="default" w:eastAsia="宋体"/>
                      <w:sz w:val="18"/>
                      <w:szCs w:val="18"/>
                      <w:lang w:val="en-US" w:eastAsia="zh-CN"/>
                    </w:rPr>
                  </w:pPr>
                  <w:r>
                    <w:rPr>
                      <w:rFonts w:hint="eastAsia"/>
                      <w:sz w:val="18"/>
                      <w:szCs w:val="18"/>
                      <w:lang w:val="en-US" w:eastAsia="zh-CN"/>
                    </w:rPr>
                    <w:t>0.000245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0" w:type="pct"/>
                  <w:vMerge w:val="continue"/>
                  <w:vAlign w:val="center"/>
                </w:tcPr>
                <w:p>
                  <w:pPr>
                    <w:contextualSpacing/>
                    <w:jc w:val="center"/>
                    <w:rPr>
                      <w:sz w:val="18"/>
                      <w:szCs w:val="18"/>
                    </w:rPr>
                  </w:pPr>
                </w:p>
              </w:tc>
              <w:tc>
                <w:tcPr>
                  <w:tcW w:w="19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color w:val="auto"/>
                      <w:kern w:val="0"/>
                      <w:sz w:val="18"/>
                      <w:szCs w:val="18"/>
                    </w:rPr>
                  </w:pPr>
                  <w:r>
                    <w:rPr>
                      <w:rFonts w:hint="eastAsia"/>
                      <w:color w:val="auto"/>
                      <w:kern w:val="0"/>
                      <w:sz w:val="18"/>
                      <w:szCs w:val="18"/>
                      <w:lang w:val="en-US" w:eastAsia="zh-CN"/>
                    </w:rPr>
                    <w:t>SO</w:t>
                  </w:r>
                  <w:r>
                    <w:rPr>
                      <w:rFonts w:hint="eastAsia"/>
                      <w:color w:val="auto"/>
                      <w:kern w:val="0"/>
                      <w:sz w:val="18"/>
                      <w:szCs w:val="18"/>
                      <w:vertAlign w:val="subscript"/>
                      <w:lang w:val="en-US" w:eastAsia="zh-CN"/>
                    </w:rPr>
                    <w:t>2</w:t>
                  </w:r>
                </w:p>
              </w:tc>
              <w:tc>
                <w:tcPr>
                  <w:tcW w:w="1105" w:type="pct"/>
                  <w:vAlign w:val="center"/>
                </w:tcPr>
                <w:p>
                  <w:pPr>
                    <w:contextualSpacing/>
                    <w:jc w:val="center"/>
                    <w:rPr>
                      <w:rFonts w:hint="default" w:eastAsia="宋体"/>
                      <w:color w:val="auto"/>
                      <w:sz w:val="18"/>
                      <w:szCs w:val="18"/>
                      <w:lang w:val="en-US" w:eastAsia="zh-CN"/>
                    </w:rPr>
                  </w:pPr>
                  <w:r>
                    <w:rPr>
                      <w:rFonts w:hint="eastAsia"/>
                      <w:color w:val="auto"/>
                      <w:sz w:val="18"/>
                      <w:szCs w:val="18"/>
                      <w:lang w:val="en-US" w:eastAsia="zh-CN"/>
                    </w:rPr>
                    <w:t>0.5</w:t>
                  </w:r>
                </w:p>
              </w:tc>
              <w:tc>
                <w:tcPr>
                  <w:tcW w:w="1103" w:type="pct"/>
                  <w:vAlign w:val="center"/>
                </w:tcPr>
                <w:p>
                  <w:pPr>
                    <w:contextualSpacing/>
                    <w:jc w:val="center"/>
                    <w:rPr>
                      <w:rFonts w:hint="default" w:eastAsia="宋体"/>
                      <w:color w:val="auto"/>
                      <w:sz w:val="18"/>
                      <w:szCs w:val="18"/>
                      <w:lang w:val="en-US" w:eastAsia="zh-CN"/>
                    </w:rPr>
                  </w:pPr>
                  <w:r>
                    <w:rPr>
                      <w:rFonts w:hint="eastAsia"/>
                      <w:color w:val="auto"/>
                      <w:sz w:val="18"/>
                      <w:szCs w:val="18"/>
                      <w:lang w:val="en-US" w:eastAsia="zh-CN"/>
                    </w:rPr>
                    <w:t>0.000185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0" w:type="pct"/>
                  <w:vMerge w:val="continue"/>
                  <w:vAlign w:val="center"/>
                </w:tcPr>
                <w:p>
                  <w:pPr>
                    <w:contextualSpacing/>
                    <w:jc w:val="center"/>
                    <w:rPr>
                      <w:sz w:val="18"/>
                      <w:szCs w:val="18"/>
                    </w:rPr>
                  </w:pPr>
                </w:p>
              </w:tc>
              <w:tc>
                <w:tcPr>
                  <w:tcW w:w="199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kern w:val="0"/>
                      <w:sz w:val="18"/>
                      <w:szCs w:val="18"/>
                    </w:rPr>
                  </w:pPr>
                  <w:r>
                    <w:rPr>
                      <w:rFonts w:hint="eastAsia"/>
                      <w:color w:val="auto"/>
                      <w:kern w:val="0"/>
                      <w:sz w:val="18"/>
                      <w:szCs w:val="18"/>
                      <w:lang w:val="en-US" w:eastAsia="zh-CN"/>
                    </w:rPr>
                    <w:t>NO</w:t>
                  </w:r>
                  <w:r>
                    <w:rPr>
                      <w:rFonts w:hint="eastAsia"/>
                      <w:color w:val="auto"/>
                      <w:kern w:val="0"/>
                      <w:sz w:val="18"/>
                      <w:szCs w:val="18"/>
                      <w:vertAlign w:val="subscript"/>
                      <w:lang w:val="en-US" w:eastAsia="zh-CN"/>
                    </w:rPr>
                    <w:t>X</w:t>
                  </w:r>
                </w:p>
              </w:tc>
              <w:tc>
                <w:tcPr>
                  <w:tcW w:w="1105" w:type="pct"/>
                  <w:vAlign w:val="center"/>
                </w:tcPr>
                <w:p>
                  <w:pPr>
                    <w:contextualSpacing/>
                    <w:jc w:val="center"/>
                    <w:rPr>
                      <w:rFonts w:hint="default" w:eastAsia="宋体"/>
                      <w:sz w:val="18"/>
                      <w:szCs w:val="18"/>
                      <w:lang w:val="en-US" w:eastAsia="zh-CN"/>
                    </w:rPr>
                  </w:pPr>
                  <w:r>
                    <w:rPr>
                      <w:rFonts w:hint="eastAsia"/>
                      <w:sz w:val="18"/>
                      <w:szCs w:val="18"/>
                      <w:lang w:val="en-US" w:eastAsia="zh-CN"/>
                    </w:rPr>
                    <w:t>0.2</w:t>
                  </w:r>
                </w:p>
              </w:tc>
              <w:tc>
                <w:tcPr>
                  <w:tcW w:w="1103" w:type="pct"/>
                  <w:vAlign w:val="center"/>
                </w:tcPr>
                <w:p>
                  <w:pPr>
                    <w:contextualSpacing/>
                    <w:jc w:val="center"/>
                    <w:rPr>
                      <w:rFonts w:hint="default" w:eastAsia="宋体"/>
                      <w:sz w:val="18"/>
                      <w:szCs w:val="18"/>
                      <w:lang w:val="en-US" w:eastAsia="zh-CN"/>
                    </w:rPr>
                  </w:pPr>
                  <w:r>
                    <w:rPr>
                      <w:rFonts w:hint="eastAsia"/>
                      <w:sz w:val="18"/>
                      <w:szCs w:val="18"/>
                      <w:lang w:val="en-US" w:eastAsia="zh-CN"/>
                    </w:rPr>
                    <w:t>0.00164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00" w:type="pct"/>
                  <w:vAlign w:val="center"/>
                </w:tcPr>
                <w:p>
                  <w:pPr>
                    <w:contextualSpacing/>
                    <w:jc w:val="center"/>
                    <w:rPr>
                      <w:sz w:val="18"/>
                      <w:szCs w:val="18"/>
                    </w:rPr>
                  </w:pPr>
                  <w:r>
                    <w:rPr>
                      <w:sz w:val="18"/>
                      <w:szCs w:val="18"/>
                    </w:rPr>
                    <w:t>DA00</w:t>
                  </w:r>
                  <w:r>
                    <w:rPr>
                      <w:rFonts w:hint="eastAsia"/>
                      <w:sz w:val="18"/>
                      <w:szCs w:val="18"/>
                      <w:lang w:val="en-US" w:eastAsia="zh-CN"/>
                    </w:rPr>
                    <w:t>1</w:t>
                  </w:r>
                  <w:r>
                    <w:rPr>
                      <w:sz w:val="18"/>
                      <w:szCs w:val="18"/>
                    </w:rPr>
                    <w:t>排气筒</w:t>
                  </w:r>
                </w:p>
              </w:tc>
              <w:tc>
                <w:tcPr>
                  <w:tcW w:w="1993" w:type="dxa"/>
                  <w:vAlign w:val="center"/>
                </w:tcPr>
                <w:p>
                  <w:pPr>
                    <w:jc w:val="center"/>
                    <w:rPr>
                      <w:kern w:val="0"/>
                      <w:sz w:val="18"/>
                      <w:szCs w:val="18"/>
                    </w:rPr>
                  </w:pPr>
                  <w:r>
                    <w:rPr>
                      <w:kern w:val="0"/>
                      <w:sz w:val="18"/>
                      <w:szCs w:val="18"/>
                    </w:rPr>
                    <w:t>VOCs</w:t>
                  </w:r>
                </w:p>
              </w:tc>
              <w:tc>
                <w:tcPr>
                  <w:tcW w:w="1849" w:type="dxa"/>
                  <w:vAlign w:val="center"/>
                </w:tcPr>
                <w:p>
                  <w:pPr>
                    <w:contextualSpacing/>
                    <w:jc w:val="center"/>
                    <w:rPr>
                      <w:sz w:val="18"/>
                      <w:szCs w:val="18"/>
                    </w:rPr>
                  </w:pPr>
                  <w:r>
                    <w:rPr>
                      <w:rFonts w:hint="eastAsia"/>
                      <w:sz w:val="18"/>
                      <w:szCs w:val="18"/>
                    </w:rPr>
                    <w:t>2.0</w:t>
                  </w:r>
                </w:p>
              </w:tc>
              <w:tc>
                <w:tcPr>
                  <w:tcW w:w="1103" w:type="pct"/>
                  <w:vAlign w:val="center"/>
                </w:tcPr>
                <w:p>
                  <w:pPr>
                    <w:contextualSpacing/>
                    <w:jc w:val="center"/>
                    <w:rPr>
                      <w:rFonts w:hint="default" w:eastAsia="宋体"/>
                      <w:sz w:val="18"/>
                      <w:szCs w:val="18"/>
                      <w:lang w:val="en-US" w:eastAsia="zh-CN"/>
                    </w:rPr>
                  </w:pPr>
                  <w:r>
                    <w:rPr>
                      <w:rFonts w:hint="eastAsia"/>
                      <w:sz w:val="18"/>
                      <w:szCs w:val="18"/>
                      <w:lang w:val="en-US" w:eastAsia="zh-CN"/>
                    </w:rPr>
                    <w:t>0.00475</w:t>
                  </w:r>
                </w:p>
              </w:tc>
            </w:tr>
          </w:tbl>
          <w:p>
            <w:pPr>
              <w:adjustRightInd w:val="0"/>
              <w:snapToGrid w:val="0"/>
              <w:spacing w:line="360" w:lineRule="auto"/>
              <w:ind w:firstLine="422" w:firstLineChars="200"/>
              <w:rPr>
                <w:b/>
                <w:bCs/>
              </w:rPr>
            </w:pPr>
            <w:r>
              <w:rPr>
                <w:b/>
                <w:bCs/>
              </w:rPr>
              <w:t>4、结论</w:t>
            </w:r>
          </w:p>
          <w:p>
            <w:pPr>
              <w:pStyle w:val="379"/>
              <w:ind w:firstLine="420"/>
              <w:rPr>
                <w:color w:val="auto"/>
                <w:sz w:val="21"/>
              </w:rPr>
            </w:pPr>
            <w:r>
              <w:rPr>
                <w:kern w:val="24"/>
                <w:sz w:val="21"/>
                <w:lang w:bidi="ar"/>
              </w:rPr>
              <w:t>该项目所在淄川区属于不达标区域。</w:t>
            </w:r>
            <w:r>
              <w:rPr>
                <w:sz w:val="21"/>
              </w:rPr>
              <w:t>经AERSCREEN模式</w:t>
            </w:r>
            <w:r>
              <w:rPr>
                <w:sz w:val="21"/>
                <w:lang w:val="en-US"/>
              </w:rPr>
              <w:t>估算</w:t>
            </w:r>
            <w:r>
              <w:rPr>
                <w:sz w:val="21"/>
              </w:rPr>
              <w:t>可知，</w:t>
            </w:r>
            <w:r>
              <w:rPr>
                <w:rFonts w:hint="eastAsia" w:eastAsiaTheme="minorEastAsia"/>
                <w:sz w:val="21"/>
                <w:lang w:val="en-US"/>
              </w:rPr>
              <w:t>VOCs</w:t>
            </w:r>
            <w:r>
              <w:rPr>
                <w:rFonts w:hint="eastAsia" w:eastAsiaTheme="minorEastAsia"/>
                <w:sz w:val="21"/>
                <w:lang w:val="en-US" w:eastAsia="zh-CN"/>
              </w:rPr>
              <w:t>最大落地浓度为0.051mg/m</w:t>
            </w:r>
            <w:r>
              <w:rPr>
                <w:rFonts w:hint="eastAsia" w:eastAsiaTheme="minorEastAsia"/>
                <w:sz w:val="21"/>
                <w:vertAlign w:val="superscript"/>
                <w:lang w:val="en-US" w:eastAsia="zh-CN"/>
              </w:rPr>
              <w:t>3</w:t>
            </w:r>
            <w:r>
              <w:rPr>
                <w:rFonts w:hint="eastAsia" w:eastAsiaTheme="minorEastAsia"/>
                <w:sz w:val="21"/>
                <w:vertAlign w:val="baseline"/>
                <w:lang w:val="en-US" w:eastAsia="zh-CN"/>
              </w:rPr>
              <w:t>，</w:t>
            </w:r>
            <w:r>
              <w:rPr>
                <w:rFonts w:hint="eastAsia" w:eastAsiaTheme="minorEastAsia"/>
                <w:sz w:val="21"/>
                <w:lang w:val="en-US"/>
              </w:rPr>
              <w:t>VOCs</w:t>
            </w:r>
            <w:r>
              <w:rPr>
                <w:sz w:val="21"/>
              </w:rPr>
              <w:t>厂界无组织排放</w:t>
            </w:r>
            <w:r>
              <w:rPr>
                <w:rFonts w:hint="eastAsia"/>
                <w:sz w:val="21"/>
                <w:lang w:val="en-US"/>
              </w:rPr>
              <w:t>满足</w:t>
            </w:r>
            <w:r>
              <w:rPr>
                <w:sz w:val="21"/>
              </w:rPr>
              <w:t>《挥发性有机物排放标准第</w:t>
            </w:r>
            <w:r>
              <w:rPr>
                <w:rFonts w:hint="eastAsia"/>
                <w:sz w:val="21"/>
                <w:lang w:val="en-US" w:eastAsia="zh-CN"/>
              </w:rPr>
              <w:t>4</w:t>
            </w:r>
            <w:r>
              <w:rPr>
                <w:sz w:val="21"/>
              </w:rPr>
              <w:t>部分：</w:t>
            </w:r>
            <w:r>
              <w:rPr>
                <w:rFonts w:hint="eastAsia"/>
                <w:sz w:val="21"/>
                <w:lang w:eastAsia="zh-CN"/>
              </w:rPr>
              <w:t>印刷</w:t>
            </w:r>
            <w:r>
              <w:rPr>
                <w:sz w:val="21"/>
              </w:rPr>
              <w:t>业》（DB37/2801.</w:t>
            </w:r>
            <w:r>
              <w:rPr>
                <w:rFonts w:hint="eastAsia"/>
                <w:sz w:val="21"/>
                <w:lang w:val="en-US" w:eastAsia="zh-CN"/>
              </w:rPr>
              <w:t>4</w:t>
            </w:r>
            <w:r>
              <w:rPr>
                <w:sz w:val="21"/>
              </w:rPr>
              <w:t>-201</w:t>
            </w:r>
            <w:r>
              <w:rPr>
                <w:rFonts w:hint="eastAsia"/>
                <w:sz w:val="21"/>
                <w:lang w:val="en-US" w:eastAsia="zh-CN"/>
              </w:rPr>
              <w:t>7</w:t>
            </w:r>
            <w:r>
              <w:rPr>
                <w:sz w:val="21"/>
              </w:rPr>
              <w:t>）表</w:t>
            </w:r>
            <w:r>
              <w:rPr>
                <w:rFonts w:hint="eastAsia"/>
                <w:sz w:val="21"/>
                <w:lang w:val="en-US" w:eastAsia="zh-CN"/>
              </w:rPr>
              <w:t>3</w:t>
            </w:r>
            <w:r>
              <w:rPr>
                <w:sz w:val="21"/>
              </w:rPr>
              <w:t>标准限值要求（VOCs2.0mg/m</w:t>
            </w:r>
            <w:r>
              <w:rPr>
                <w:sz w:val="21"/>
                <w:vertAlign w:val="superscript"/>
              </w:rPr>
              <w:t>3</w:t>
            </w:r>
            <w:r>
              <w:rPr>
                <w:color w:val="auto"/>
                <w:sz w:val="21"/>
              </w:rPr>
              <w:t>）；厂区内无组织排放</w:t>
            </w:r>
            <w:r>
              <w:rPr>
                <w:rFonts w:hint="eastAsia"/>
                <w:color w:val="auto"/>
                <w:sz w:val="21"/>
                <w:lang w:val="en-US"/>
              </w:rPr>
              <w:t>满足</w:t>
            </w:r>
            <w:r>
              <w:rPr>
                <w:color w:val="auto"/>
                <w:sz w:val="21"/>
              </w:rPr>
              <w:t>《挥发性有机物无组织排放控制标准》（GB37822-2019）中的控制标准及附录A中厂区内VOC</w:t>
            </w:r>
            <w:r>
              <w:rPr>
                <w:color w:val="auto"/>
                <w:sz w:val="21"/>
                <w:vertAlign w:val="subscript"/>
              </w:rPr>
              <w:t>S</w:t>
            </w:r>
            <w:r>
              <w:rPr>
                <w:color w:val="auto"/>
                <w:sz w:val="21"/>
              </w:rPr>
              <w:t>排放浓度（1h平均值6.0mg/m</w:t>
            </w:r>
            <w:r>
              <w:rPr>
                <w:color w:val="auto"/>
                <w:sz w:val="21"/>
                <w:vertAlign w:val="superscript"/>
              </w:rPr>
              <w:t>3</w:t>
            </w:r>
            <w:r>
              <w:rPr>
                <w:color w:val="auto"/>
                <w:sz w:val="21"/>
              </w:rPr>
              <w:t>、任一次20mg/m</w:t>
            </w:r>
            <w:r>
              <w:rPr>
                <w:color w:val="auto"/>
                <w:sz w:val="21"/>
                <w:vertAlign w:val="superscript"/>
              </w:rPr>
              <w:t>3</w:t>
            </w:r>
            <w:r>
              <w:rPr>
                <w:color w:val="auto"/>
                <w:sz w:val="21"/>
              </w:rPr>
              <w:t>）。</w:t>
            </w:r>
          </w:p>
          <w:p>
            <w:pPr>
              <w:adjustRightInd w:val="0"/>
              <w:snapToGrid w:val="0"/>
              <w:spacing w:line="360" w:lineRule="auto"/>
              <w:ind w:firstLine="420" w:firstLineChars="200"/>
              <w:rPr>
                <w:color w:val="auto"/>
              </w:rPr>
            </w:pPr>
            <w:r>
              <w:rPr>
                <w:rFonts w:hint="eastAsia" w:eastAsiaTheme="minorEastAsia"/>
              </w:rPr>
              <w:t>DA001排气筒</w:t>
            </w:r>
            <w:r>
              <w:t>VOCs有组织排放浓度为</w:t>
            </w:r>
            <w:r>
              <w:rPr>
                <w:rFonts w:hint="eastAsia"/>
              </w:rPr>
              <w:t>1</w:t>
            </w:r>
            <w:r>
              <w:rPr>
                <w:rFonts w:hint="eastAsia"/>
                <w:lang w:val="en-US" w:eastAsia="zh-CN"/>
              </w:rPr>
              <w:t>5</w:t>
            </w:r>
            <w:r>
              <w:t>mg/m</w:t>
            </w:r>
            <w:r>
              <w:rPr>
                <w:vertAlign w:val="superscript"/>
              </w:rPr>
              <w:t>3</w:t>
            </w:r>
            <w:r>
              <w:t>，排放速率为0.0</w:t>
            </w:r>
            <w:r>
              <w:rPr>
                <w:rFonts w:hint="eastAsia"/>
                <w:lang w:val="en-US" w:eastAsia="zh-CN"/>
              </w:rPr>
              <w:t>45</w:t>
            </w:r>
            <w:r>
              <w:t>kg/h，</w:t>
            </w:r>
            <w:r>
              <w:rPr>
                <w:rFonts w:eastAsiaTheme="minorEastAsia"/>
              </w:rPr>
              <w:t>VOCs有组织排放</w:t>
            </w:r>
            <w:r>
              <w:rPr>
                <w:rFonts w:hint="eastAsia" w:eastAsiaTheme="minorEastAsia"/>
              </w:rPr>
              <w:t>满足</w:t>
            </w:r>
            <w:r>
              <w:t>《挥发性有机物排放标准第</w:t>
            </w:r>
            <w:r>
              <w:rPr>
                <w:rFonts w:hint="eastAsia"/>
                <w:lang w:val="en-US" w:eastAsia="zh-CN"/>
              </w:rPr>
              <w:t>4</w:t>
            </w:r>
            <w:r>
              <w:t>部分：</w:t>
            </w:r>
            <w:r>
              <w:rPr>
                <w:rFonts w:hint="eastAsia"/>
                <w:lang w:eastAsia="zh-CN"/>
              </w:rPr>
              <w:t>印刷</w:t>
            </w:r>
            <w:r>
              <w:t>业》（DB37/2801.</w:t>
            </w:r>
            <w:r>
              <w:rPr>
                <w:rFonts w:hint="eastAsia"/>
                <w:lang w:val="en-US" w:eastAsia="zh-CN"/>
              </w:rPr>
              <w:t>4</w:t>
            </w:r>
            <w:r>
              <w:t>-201</w:t>
            </w:r>
            <w:r>
              <w:rPr>
                <w:rFonts w:hint="eastAsia"/>
                <w:lang w:val="en-US" w:eastAsia="zh-CN"/>
              </w:rPr>
              <w:t>7</w:t>
            </w:r>
            <w:r>
              <w:t>）表</w:t>
            </w:r>
            <w:r>
              <w:rPr>
                <w:rFonts w:hint="eastAsia"/>
                <w:lang w:val="en-US" w:eastAsia="zh-CN"/>
              </w:rPr>
              <w:t>2</w:t>
            </w:r>
            <w:r>
              <w:t>中标准限值要求（VOCs</w:t>
            </w:r>
            <w:r>
              <w:rPr>
                <w:rFonts w:hint="eastAsia"/>
                <w:lang w:val="en-US" w:eastAsia="zh-CN"/>
              </w:rPr>
              <w:t>5</w:t>
            </w:r>
            <w:r>
              <w:t>0mg/m</w:t>
            </w:r>
            <w:r>
              <w:rPr>
                <w:vertAlign w:val="superscript"/>
              </w:rPr>
              <w:t>3</w:t>
            </w:r>
            <w:r>
              <w:t>、</w:t>
            </w:r>
            <w:r>
              <w:rPr>
                <w:rFonts w:hint="eastAsia"/>
                <w:lang w:val="en-US" w:eastAsia="zh-CN"/>
              </w:rPr>
              <w:t>1.5</w:t>
            </w:r>
            <w:r>
              <w:rPr>
                <w:color w:val="auto"/>
              </w:rPr>
              <w:t>kg/h）</w:t>
            </w:r>
            <w:r>
              <w:rPr>
                <w:rFonts w:hint="eastAsia"/>
                <w:color w:val="auto"/>
              </w:rPr>
              <w:t>。</w:t>
            </w:r>
          </w:p>
          <w:p>
            <w:pPr>
              <w:adjustRightInd w:val="0"/>
              <w:snapToGrid w:val="0"/>
              <w:spacing w:line="360" w:lineRule="auto"/>
              <w:ind w:firstLine="420" w:firstLineChars="200"/>
              <w:rPr>
                <w:rFonts w:hint="eastAsia" w:eastAsiaTheme="minorEastAsia"/>
                <w:color w:val="000000" w:themeColor="text1"/>
                <w:lang w:eastAsia="zh-CN"/>
                <w14:textFill>
                  <w14:solidFill>
                    <w14:schemeClr w14:val="tx1"/>
                  </w14:solidFill>
                </w14:textFill>
              </w:rPr>
            </w:pPr>
            <w:r>
              <w:rPr>
                <w:rFonts w:hint="eastAsia"/>
                <w:lang w:val="en-US" w:eastAsia="zh-CN"/>
              </w:rPr>
              <w:t>DA002排气筒</w:t>
            </w:r>
            <w:r>
              <w:rPr>
                <w:rFonts w:hint="eastAsia"/>
                <w:lang w:eastAsia="zh-CN"/>
              </w:rPr>
              <w:t>颗粒物</w:t>
            </w:r>
            <w:r>
              <w:rPr>
                <w:rFonts w:hint="eastAsia" w:cs="Times New Roman"/>
                <w:sz w:val="21"/>
                <w:szCs w:val="21"/>
                <w:lang w:eastAsia="zh-CN"/>
              </w:rPr>
              <w:t>、</w:t>
            </w:r>
            <w:r>
              <w:rPr>
                <w:rFonts w:hint="eastAsia"/>
                <w:bCs/>
                <w:color w:val="auto"/>
                <w:sz w:val="21"/>
                <w:szCs w:val="21"/>
                <w:lang w:val="en-US" w:eastAsia="zh-CN"/>
              </w:rPr>
              <w:t>SO</w:t>
            </w:r>
            <w:r>
              <w:rPr>
                <w:rFonts w:hint="eastAsia"/>
                <w:bCs/>
                <w:color w:val="auto"/>
                <w:sz w:val="21"/>
                <w:szCs w:val="21"/>
                <w:vertAlign w:val="subscript"/>
                <w:lang w:val="en-US" w:eastAsia="zh-CN"/>
              </w:rPr>
              <w:t>2</w:t>
            </w:r>
            <w:r>
              <w:rPr>
                <w:rFonts w:hint="eastAsia"/>
                <w:bCs/>
                <w:color w:val="auto"/>
                <w:sz w:val="21"/>
                <w:szCs w:val="21"/>
                <w:vertAlign w:val="baseline"/>
                <w:lang w:val="en-US" w:eastAsia="zh-CN"/>
              </w:rPr>
              <w:t>、NO</w:t>
            </w:r>
            <w:r>
              <w:rPr>
                <w:rFonts w:hint="eastAsia"/>
                <w:bCs/>
                <w:color w:val="auto"/>
                <w:sz w:val="21"/>
                <w:szCs w:val="21"/>
                <w:vertAlign w:val="subscript"/>
                <w:lang w:val="en-US" w:eastAsia="zh-CN"/>
              </w:rPr>
              <w:t>x</w:t>
            </w:r>
            <w:r>
              <w:rPr>
                <w:rFonts w:hint="eastAsia"/>
                <w:sz w:val="21"/>
                <w:szCs w:val="21"/>
                <w:lang w:eastAsia="zh-CN"/>
              </w:rPr>
              <w:t>、林格曼黑度有组织排放满足</w:t>
            </w:r>
            <w:r>
              <w:rPr>
                <w:rFonts w:hint="eastAsia" w:eastAsiaTheme="minorEastAsia"/>
                <w:color w:val="000000" w:themeColor="text1"/>
                <w:lang w:eastAsia="zh-CN"/>
                <w14:textFill>
                  <w14:solidFill>
                    <w14:schemeClr w14:val="tx1"/>
                  </w14:solidFill>
                </w14:textFill>
              </w:rPr>
              <w:t>《锅炉大气污染物排放标准》（</w:t>
            </w:r>
            <w:r>
              <w:rPr>
                <w:rFonts w:hint="eastAsia" w:eastAsiaTheme="minorEastAsia"/>
                <w:color w:val="000000" w:themeColor="text1"/>
                <w14:textFill>
                  <w14:solidFill>
                    <w14:schemeClr w14:val="tx1"/>
                  </w14:solidFill>
                </w14:textFill>
              </w:rPr>
              <w:t>DB37/</w:t>
            </w:r>
            <w:r>
              <w:rPr>
                <w:rFonts w:hint="eastAsia" w:eastAsiaTheme="minorEastAsia"/>
                <w:color w:val="000000" w:themeColor="text1"/>
                <w:lang w:val="en-US" w:eastAsia="zh-CN"/>
                <w14:textFill>
                  <w14:solidFill>
                    <w14:schemeClr w14:val="tx1"/>
                  </w14:solidFill>
                </w14:textFill>
              </w:rPr>
              <w:t>2374</w:t>
            </w:r>
            <w:r>
              <w:rPr>
                <w:rFonts w:hint="eastAsia" w:eastAsiaTheme="minorEastAsia"/>
                <w:color w:val="000000" w:themeColor="text1"/>
                <w14:textFill>
                  <w14:solidFill>
                    <w14:schemeClr w14:val="tx1"/>
                  </w14:solidFill>
                </w14:textFill>
              </w:rPr>
              <w:t>-201</w:t>
            </w:r>
            <w:r>
              <w:rPr>
                <w:rFonts w:hint="eastAsia" w:eastAsiaTheme="minorEastAsia"/>
                <w:color w:val="000000" w:themeColor="text1"/>
                <w:lang w:val="en-US" w:eastAsia="zh-CN"/>
                <w14:textFill>
                  <w14:solidFill>
                    <w14:schemeClr w14:val="tx1"/>
                  </w14:solidFill>
                </w14:textFill>
              </w:rPr>
              <w:t>8</w:t>
            </w:r>
            <w:r>
              <w:rPr>
                <w:rFonts w:hint="eastAsia" w:eastAsiaTheme="minorEastAsia"/>
                <w:color w:val="000000" w:themeColor="text1"/>
                <w:lang w:eastAsia="zh-CN"/>
                <w14:textFill>
                  <w14:solidFill>
                    <w14:schemeClr w14:val="tx1"/>
                  </w14:solidFill>
                </w14:textFill>
              </w:rPr>
              <w:t>）表</w:t>
            </w:r>
            <w:r>
              <w:rPr>
                <w:rFonts w:hint="eastAsia" w:eastAsiaTheme="minorEastAsia"/>
                <w:color w:val="000000" w:themeColor="text1"/>
                <w:lang w:val="en-US" w:eastAsia="zh-CN"/>
                <w14:textFill>
                  <w14:solidFill>
                    <w14:schemeClr w14:val="tx1"/>
                  </w14:solidFill>
                </w14:textFill>
              </w:rPr>
              <w:t>2重点控制区</w:t>
            </w:r>
            <w:r>
              <w:rPr>
                <w:rFonts w:hint="eastAsia" w:eastAsiaTheme="minorEastAsia"/>
                <w:color w:val="000000" w:themeColor="text1"/>
                <w14:textFill>
                  <w14:solidFill>
                    <w14:schemeClr w14:val="tx1"/>
                  </w14:solidFill>
                </w14:textFill>
              </w:rPr>
              <w:t>污染物排放浓度限值</w:t>
            </w:r>
            <w:r>
              <w:rPr>
                <w:rFonts w:hint="eastAsia" w:eastAsiaTheme="minorEastAsia"/>
                <w:color w:val="000000" w:themeColor="text1"/>
                <w:lang w:eastAsia="zh-CN"/>
                <w14:textFill>
                  <w14:solidFill>
                    <w14:schemeClr w14:val="tx1"/>
                  </w14:solidFill>
                </w14:textFill>
              </w:rPr>
              <w:t>要求（颗粒物：</w:t>
            </w:r>
            <w:r>
              <w:rPr>
                <w:rFonts w:hint="eastAsia" w:eastAsiaTheme="minorEastAsia"/>
                <w:color w:val="000000" w:themeColor="text1"/>
                <w:lang w:val="en-US" w:eastAsia="zh-CN"/>
                <w14:textFill>
                  <w14:solidFill>
                    <w14:schemeClr w14:val="tx1"/>
                  </w14:solidFill>
                </w14:textFill>
              </w:rPr>
              <w:t>10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；二氧化硫：</w:t>
            </w:r>
            <w:r>
              <w:rPr>
                <w:rFonts w:hint="eastAsia" w:eastAsiaTheme="minorEastAsia"/>
                <w:color w:val="000000" w:themeColor="text1"/>
                <w:vertAlign w:val="baseline"/>
                <w:lang w:val="en-US" w:eastAsia="zh-CN"/>
                <w14:textFill>
                  <w14:solidFill>
                    <w14:schemeClr w14:val="tx1"/>
                  </w14:solidFill>
                </w14:textFill>
              </w:rPr>
              <w:t>50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；氮氧化物</w:t>
            </w:r>
            <w:r>
              <w:rPr>
                <w:rFonts w:hint="eastAsia" w:eastAsiaTheme="minorEastAsia"/>
                <w:color w:val="000000" w:themeColor="text1"/>
                <w:vertAlign w:val="baseline"/>
                <w:lang w:val="en-US" w:eastAsia="zh-CN"/>
                <w14:textFill>
                  <w14:solidFill>
                    <w14:schemeClr w14:val="tx1"/>
                  </w14:solidFill>
                </w14:textFill>
              </w:rPr>
              <w:t>100</w:t>
            </w:r>
            <w:r>
              <w:rPr>
                <w:rFonts w:hint="eastAsia" w:eastAsiaTheme="minorEastAsia"/>
                <w:color w:val="000000" w:themeColor="text1"/>
                <w14:textFill>
                  <w14:solidFill>
                    <w14:schemeClr w14:val="tx1"/>
                  </w14:solidFill>
                </w14:textFill>
              </w:rPr>
              <w:t>mg/m</w:t>
            </w:r>
            <w:r>
              <w:rPr>
                <w:rFonts w:hint="eastAsia" w:eastAsiaTheme="minorEastAsia"/>
                <w:color w:val="000000" w:themeColor="text1"/>
                <w:vertAlign w:val="superscript"/>
                <w14:textFill>
                  <w14:solidFill>
                    <w14:schemeClr w14:val="tx1"/>
                  </w14:solidFill>
                </w14:textFill>
              </w:rPr>
              <w:t>3</w:t>
            </w:r>
            <w:r>
              <w:rPr>
                <w:rFonts w:hint="eastAsia" w:eastAsiaTheme="minorEastAsia"/>
                <w:color w:val="000000" w:themeColor="text1"/>
                <w:vertAlign w:val="baseline"/>
                <w:lang w:eastAsia="zh-CN"/>
                <w14:textFill>
                  <w14:solidFill>
                    <w14:schemeClr w14:val="tx1"/>
                  </w14:solidFill>
                </w14:textFill>
              </w:rPr>
              <w:t>；林格曼黑度：</w:t>
            </w:r>
            <w:r>
              <w:rPr>
                <w:rFonts w:hint="eastAsia" w:eastAsiaTheme="minorEastAsia"/>
                <w:color w:val="000000" w:themeColor="text1"/>
                <w:vertAlign w:val="baseline"/>
                <w:lang w:val="en-US" w:eastAsia="zh-CN"/>
                <w14:textFill>
                  <w14:solidFill>
                    <w14:schemeClr w14:val="tx1"/>
                  </w14:solidFill>
                </w14:textFill>
              </w:rPr>
              <w:t>1级</w:t>
            </w:r>
            <w:r>
              <w:rPr>
                <w:rFonts w:hint="eastAsia" w:eastAsiaTheme="minorEastAsia"/>
                <w:color w:val="000000" w:themeColor="text1"/>
                <w:lang w:eastAsia="zh-CN"/>
                <w14:textFill>
                  <w14:solidFill>
                    <w14:schemeClr w14:val="tx1"/>
                  </w14:solidFill>
                </w14:textFill>
              </w:rPr>
              <w:t>）。</w:t>
            </w:r>
          </w:p>
          <w:p>
            <w:pPr>
              <w:adjustRightInd w:val="0"/>
              <w:snapToGrid w:val="0"/>
              <w:spacing w:line="360" w:lineRule="auto"/>
              <w:ind w:firstLine="420" w:firstLineChars="200"/>
              <w:rPr>
                <w:rFonts w:hint="eastAsia" w:eastAsia="宋体"/>
                <w:b/>
                <w:bCs/>
                <w:lang w:eastAsia="zh-CN"/>
              </w:rPr>
            </w:pPr>
            <w:r>
              <w:t>经上文分析，本项目废气有组织废气和无组织废气均能达标排放，污染物最大落地浓度较小，均满足相应的环境质量标准，在落实污染物治理方案后，对大气环境和周围敏感点的影响较小</w:t>
            </w:r>
            <w:r>
              <w:rPr>
                <w:rFonts w:hint="eastAsia"/>
                <w:lang w:eastAsia="zh-CN"/>
              </w:rPr>
              <w:t>。</w:t>
            </w:r>
          </w:p>
          <w:p>
            <w:pPr>
              <w:adjustRightInd w:val="0"/>
              <w:snapToGrid w:val="0"/>
              <w:spacing w:line="360" w:lineRule="auto"/>
              <w:ind w:firstLine="422" w:firstLineChars="200"/>
              <w:rPr>
                <w:b/>
                <w:bCs/>
              </w:rPr>
            </w:pPr>
            <w:r>
              <w:rPr>
                <w:b/>
                <w:bCs/>
              </w:rPr>
              <w:t>5、非正常工况分析</w:t>
            </w:r>
          </w:p>
          <w:p>
            <w:pPr>
              <w:adjustRightInd w:val="0"/>
              <w:snapToGrid w:val="0"/>
              <w:spacing w:line="360" w:lineRule="auto"/>
              <w:ind w:firstLine="420" w:firstLineChars="200"/>
            </w:pPr>
            <w:r>
              <w:t>非正常工况是指工艺运行中所有生产运行技术参数未达到设计范围的情况。包括生产运行阶段的开停车、检修，工艺设备的运转异常、污染物排放控制措施达不到应有的效率、一般性事故和泄漏，以及发生严重的环境事故等。</w:t>
            </w:r>
          </w:p>
          <w:p>
            <w:pPr>
              <w:adjustRightInd w:val="0"/>
              <w:snapToGrid w:val="0"/>
              <w:spacing w:line="360" w:lineRule="auto"/>
              <w:ind w:firstLine="420" w:firstLineChars="200"/>
            </w:pPr>
            <w:r>
              <w:t>本项目非正常工况主要为废气处理设备运转失灵导致大气污染物直接排放。非正常工况废气排放源强见下表：</w:t>
            </w:r>
          </w:p>
          <w:p>
            <w:pPr>
              <w:adjustRightInd w:val="0"/>
              <w:snapToGrid w:val="0"/>
              <w:spacing w:line="360" w:lineRule="auto"/>
              <w:jc w:val="center"/>
            </w:pPr>
            <w:r>
              <w:rPr>
                <w:b/>
              </w:rPr>
              <w:t>表4-1</w:t>
            </w:r>
            <w:r>
              <w:rPr>
                <w:rFonts w:hint="eastAsia"/>
                <w:b/>
              </w:rPr>
              <w:t>4</w:t>
            </w:r>
            <w:r>
              <w:rPr>
                <w:b/>
              </w:rPr>
              <w:t>非正常工况下污染物排放源强</w:t>
            </w:r>
          </w:p>
          <w:tbl>
            <w:tblPr>
              <w:tblStyle w:val="85"/>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003"/>
              <w:gridCol w:w="1009"/>
              <w:gridCol w:w="1003"/>
              <w:gridCol w:w="1076"/>
              <w:gridCol w:w="815"/>
              <w:gridCol w:w="815"/>
              <w:gridCol w:w="81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0" w:type="dxa"/>
                  <w:vAlign w:val="center"/>
                </w:tcPr>
                <w:p>
                  <w:pPr>
                    <w:pStyle w:val="198"/>
                    <w:spacing w:before="24" w:after="24"/>
                    <w:rPr>
                      <w:rFonts w:ascii="Times New Roman"/>
                      <w:b/>
                      <w:bCs/>
                      <w:color w:val="auto"/>
                      <w:sz w:val="18"/>
                      <w:szCs w:val="18"/>
                    </w:rPr>
                  </w:pPr>
                  <w:r>
                    <w:rPr>
                      <w:rFonts w:ascii="Times New Roman"/>
                      <w:b/>
                      <w:bCs/>
                      <w:color w:val="auto"/>
                      <w:sz w:val="18"/>
                      <w:szCs w:val="18"/>
                    </w:rPr>
                    <w:t>污染源</w:t>
                  </w:r>
                </w:p>
              </w:tc>
              <w:tc>
                <w:tcPr>
                  <w:tcW w:w="1003" w:type="dxa"/>
                  <w:vAlign w:val="center"/>
                </w:tcPr>
                <w:p>
                  <w:pPr>
                    <w:pStyle w:val="198"/>
                    <w:spacing w:before="24" w:after="24"/>
                    <w:rPr>
                      <w:rFonts w:ascii="Times New Roman"/>
                      <w:b/>
                      <w:bCs/>
                      <w:color w:val="auto"/>
                      <w:sz w:val="18"/>
                      <w:szCs w:val="18"/>
                    </w:rPr>
                  </w:pPr>
                  <w:r>
                    <w:rPr>
                      <w:rFonts w:ascii="Times New Roman"/>
                      <w:b/>
                      <w:bCs/>
                      <w:color w:val="auto"/>
                      <w:sz w:val="18"/>
                      <w:szCs w:val="18"/>
                    </w:rPr>
                    <w:t>非正常排放原因</w:t>
                  </w:r>
                </w:p>
              </w:tc>
              <w:tc>
                <w:tcPr>
                  <w:tcW w:w="1009" w:type="dxa"/>
                  <w:vAlign w:val="center"/>
                </w:tcPr>
                <w:p>
                  <w:pPr>
                    <w:pStyle w:val="198"/>
                    <w:spacing w:before="24" w:after="24"/>
                    <w:rPr>
                      <w:rFonts w:ascii="Times New Roman"/>
                      <w:b/>
                      <w:bCs/>
                      <w:color w:val="auto"/>
                      <w:sz w:val="18"/>
                      <w:szCs w:val="18"/>
                    </w:rPr>
                  </w:pPr>
                  <w:r>
                    <w:rPr>
                      <w:rFonts w:ascii="Times New Roman"/>
                      <w:b/>
                      <w:bCs/>
                      <w:color w:val="auto"/>
                      <w:sz w:val="18"/>
                      <w:szCs w:val="18"/>
                    </w:rPr>
                    <w:t>污染物</w:t>
                  </w:r>
                </w:p>
              </w:tc>
              <w:tc>
                <w:tcPr>
                  <w:tcW w:w="1003" w:type="dxa"/>
                  <w:vAlign w:val="center"/>
                </w:tcPr>
                <w:p>
                  <w:pPr>
                    <w:pStyle w:val="198"/>
                    <w:spacing w:before="24" w:after="24"/>
                    <w:rPr>
                      <w:rFonts w:ascii="Times New Roman"/>
                      <w:b/>
                      <w:bCs/>
                      <w:color w:val="auto"/>
                      <w:sz w:val="18"/>
                      <w:szCs w:val="18"/>
                    </w:rPr>
                  </w:pPr>
                  <w:r>
                    <w:rPr>
                      <w:rFonts w:ascii="Times New Roman"/>
                      <w:b/>
                      <w:bCs/>
                      <w:color w:val="auto"/>
                      <w:sz w:val="18"/>
                      <w:szCs w:val="18"/>
                    </w:rPr>
                    <w:t>排放速率（kg/h）</w:t>
                  </w:r>
                </w:p>
              </w:tc>
              <w:tc>
                <w:tcPr>
                  <w:tcW w:w="1076" w:type="dxa"/>
                  <w:vAlign w:val="center"/>
                </w:tcPr>
                <w:p>
                  <w:pPr>
                    <w:pStyle w:val="198"/>
                    <w:spacing w:before="24" w:after="24"/>
                    <w:rPr>
                      <w:rFonts w:ascii="Times New Roman"/>
                      <w:b/>
                      <w:bCs/>
                      <w:color w:val="auto"/>
                      <w:sz w:val="18"/>
                      <w:szCs w:val="18"/>
                    </w:rPr>
                  </w:pPr>
                  <w:r>
                    <w:rPr>
                      <w:rFonts w:ascii="Times New Roman"/>
                      <w:b/>
                      <w:bCs/>
                      <w:color w:val="auto"/>
                      <w:sz w:val="18"/>
                      <w:szCs w:val="18"/>
                    </w:rPr>
                    <w:t>排放浓度（mg/m</w:t>
                  </w:r>
                  <w:r>
                    <w:rPr>
                      <w:rFonts w:ascii="Times New Roman"/>
                      <w:b/>
                      <w:bCs/>
                      <w:color w:val="auto"/>
                      <w:sz w:val="18"/>
                      <w:szCs w:val="18"/>
                      <w:vertAlign w:val="superscript"/>
                    </w:rPr>
                    <w:t>3</w:t>
                  </w:r>
                  <w:r>
                    <w:rPr>
                      <w:rFonts w:ascii="Times New Roman"/>
                      <w:b/>
                      <w:bCs/>
                      <w:color w:val="auto"/>
                      <w:sz w:val="18"/>
                      <w:szCs w:val="18"/>
                    </w:rPr>
                    <w:t>）</w:t>
                  </w:r>
                </w:p>
              </w:tc>
              <w:tc>
                <w:tcPr>
                  <w:tcW w:w="815" w:type="dxa"/>
                  <w:vAlign w:val="center"/>
                </w:tcPr>
                <w:p>
                  <w:pPr>
                    <w:pStyle w:val="198"/>
                    <w:spacing w:before="24" w:after="24"/>
                    <w:rPr>
                      <w:rFonts w:ascii="Times New Roman"/>
                      <w:b/>
                      <w:bCs/>
                      <w:color w:val="auto"/>
                      <w:sz w:val="18"/>
                      <w:szCs w:val="18"/>
                    </w:rPr>
                  </w:pPr>
                  <w:r>
                    <w:rPr>
                      <w:rFonts w:ascii="Times New Roman"/>
                      <w:b/>
                      <w:bCs/>
                      <w:color w:val="auto"/>
                      <w:sz w:val="18"/>
                      <w:szCs w:val="18"/>
                    </w:rPr>
                    <w:t>单次持续时间/h</w:t>
                  </w:r>
                </w:p>
              </w:tc>
              <w:tc>
                <w:tcPr>
                  <w:tcW w:w="815" w:type="dxa"/>
                  <w:vAlign w:val="center"/>
                </w:tcPr>
                <w:p>
                  <w:pPr>
                    <w:pStyle w:val="198"/>
                    <w:spacing w:before="24" w:after="24"/>
                    <w:rPr>
                      <w:rFonts w:ascii="Times New Roman"/>
                      <w:b/>
                      <w:bCs/>
                      <w:color w:val="auto"/>
                      <w:sz w:val="18"/>
                      <w:szCs w:val="18"/>
                    </w:rPr>
                  </w:pPr>
                  <w:r>
                    <w:rPr>
                      <w:rFonts w:ascii="Times New Roman"/>
                      <w:b/>
                      <w:bCs/>
                      <w:color w:val="auto"/>
                      <w:sz w:val="18"/>
                      <w:szCs w:val="18"/>
                    </w:rPr>
                    <w:t>年发生频次/次</w:t>
                  </w:r>
                </w:p>
              </w:tc>
              <w:tc>
                <w:tcPr>
                  <w:tcW w:w="819" w:type="dxa"/>
                  <w:vAlign w:val="center"/>
                </w:tcPr>
                <w:p>
                  <w:pPr>
                    <w:pStyle w:val="198"/>
                    <w:spacing w:before="24" w:after="24"/>
                    <w:jc w:val="center"/>
                    <w:rPr>
                      <w:rFonts w:hint="eastAsia"/>
                      <w:b/>
                      <w:bCs/>
                      <w:sz w:val="18"/>
                      <w:szCs w:val="18"/>
                      <w:lang w:eastAsia="zh-CN"/>
                    </w:rPr>
                  </w:pPr>
                  <w:r>
                    <w:rPr>
                      <w:rFonts w:hint="eastAsia"/>
                      <w:b/>
                      <w:bCs/>
                      <w:sz w:val="18"/>
                      <w:szCs w:val="18"/>
                      <w:lang w:eastAsia="zh-CN"/>
                    </w:rPr>
                    <w:t>排放量</w:t>
                  </w:r>
                </w:p>
                <w:p>
                  <w:pPr>
                    <w:jc w:val="center"/>
                    <w:rPr>
                      <w:rFonts w:hint="default"/>
                      <w:sz w:val="18"/>
                      <w:szCs w:val="18"/>
                      <w:lang w:val="en-US" w:eastAsia="zh-CN"/>
                    </w:rPr>
                  </w:pPr>
                  <w:r>
                    <w:rPr>
                      <w:rFonts w:hint="eastAsia"/>
                      <w:b/>
                      <w:bCs/>
                      <w:color w:val="auto"/>
                      <w:sz w:val="18"/>
                      <w:szCs w:val="18"/>
                      <w:lang w:val="en-US" w:eastAsia="zh-CN"/>
                    </w:rPr>
                    <w:t>kg/a</w:t>
                  </w:r>
                </w:p>
              </w:tc>
              <w:tc>
                <w:tcPr>
                  <w:tcW w:w="816" w:type="dxa"/>
                  <w:vAlign w:val="center"/>
                </w:tcPr>
                <w:p>
                  <w:pPr>
                    <w:pStyle w:val="198"/>
                    <w:spacing w:before="24" w:after="24"/>
                    <w:rPr>
                      <w:rFonts w:ascii="Times New Roman"/>
                      <w:b/>
                      <w:bCs/>
                      <w:color w:val="auto"/>
                      <w:sz w:val="18"/>
                      <w:szCs w:val="18"/>
                    </w:rPr>
                  </w:pPr>
                  <w:r>
                    <w:rPr>
                      <w:rFonts w:ascii="Times New Roman"/>
                      <w:b/>
                      <w:bCs/>
                      <w:color w:val="auto"/>
                      <w:sz w:val="18"/>
                      <w:szCs w:val="18"/>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0" w:type="dxa"/>
                  <w:vAlign w:val="center"/>
                </w:tcPr>
                <w:p>
                  <w:pPr>
                    <w:pStyle w:val="198"/>
                    <w:spacing w:before="24" w:after="24"/>
                    <w:rPr>
                      <w:rFonts w:ascii="Times New Roman"/>
                      <w:color w:val="auto"/>
                      <w:sz w:val="18"/>
                      <w:szCs w:val="18"/>
                    </w:rPr>
                  </w:pPr>
                  <w:r>
                    <w:rPr>
                      <w:rFonts w:ascii="Times New Roman"/>
                      <w:color w:val="auto"/>
                      <w:sz w:val="18"/>
                      <w:szCs w:val="18"/>
                    </w:rPr>
                    <w:t>DA001排气筒</w:t>
                  </w:r>
                </w:p>
              </w:tc>
              <w:tc>
                <w:tcPr>
                  <w:tcW w:w="1003" w:type="dxa"/>
                  <w:vAlign w:val="center"/>
                </w:tcPr>
                <w:p>
                  <w:pPr>
                    <w:pStyle w:val="198"/>
                    <w:spacing w:before="24" w:after="24"/>
                    <w:rPr>
                      <w:rFonts w:ascii="Times New Roman"/>
                      <w:color w:val="auto"/>
                      <w:sz w:val="18"/>
                      <w:szCs w:val="18"/>
                    </w:rPr>
                  </w:pPr>
                  <w:r>
                    <w:rPr>
                      <w:rFonts w:hint="eastAsia" w:ascii="Times New Roman"/>
                      <w:color w:val="auto"/>
                      <w:sz w:val="18"/>
                      <w:szCs w:val="18"/>
                      <w:lang w:eastAsia="zh-CN"/>
                    </w:rPr>
                    <w:t>两</w:t>
                  </w:r>
                  <w:r>
                    <w:rPr>
                      <w:rFonts w:ascii="Times New Roman"/>
                      <w:color w:val="auto"/>
                      <w:sz w:val="18"/>
                      <w:szCs w:val="18"/>
                    </w:rPr>
                    <w:t>级活性炭吸附装置运转异常</w:t>
                  </w:r>
                </w:p>
              </w:tc>
              <w:tc>
                <w:tcPr>
                  <w:tcW w:w="1009" w:type="dxa"/>
                  <w:vAlign w:val="center"/>
                </w:tcPr>
                <w:p>
                  <w:pPr>
                    <w:jc w:val="center"/>
                    <w:rPr>
                      <w:kern w:val="0"/>
                      <w:sz w:val="18"/>
                      <w:szCs w:val="18"/>
                    </w:rPr>
                  </w:pPr>
                  <w:r>
                    <w:rPr>
                      <w:kern w:val="0"/>
                      <w:sz w:val="18"/>
                      <w:szCs w:val="18"/>
                    </w:rPr>
                    <w:t>VOCs</w:t>
                  </w:r>
                </w:p>
              </w:tc>
              <w:tc>
                <w:tcPr>
                  <w:tcW w:w="1003" w:type="dxa"/>
                  <w:vAlign w:val="center"/>
                </w:tcPr>
                <w:p>
                  <w:pPr>
                    <w:pStyle w:val="198"/>
                    <w:spacing w:before="24" w:after="24"/>
                    <w:rPr>
                      <w:rFonts w:hint="default" w:ascii="Times New Roman" w:eastAsia="宋体"/>
                      <w:color w:val="auto"/>
                      <w:sz w:val="18"/>
                      <w:szCs w:val="18"/>
                      <w:lang w:val="en-US" w:eastAsia="zh-CN"/>
                    </w:rPr>
                  </w:pPr>
                  <w:r>
                    <w:rPr>
                      <w:rFonts w:ascii="Times New Roman"/>
                      <w:color w:val="auto"/>
                      <w:sz w:val="18"/>
                      <w:szCs w:val="18"/>
                    </w:rPr>
                    <w:t>0.</w:t>
                  </w:r>
                  <w:r>
                    <w:rPr>
                      <w:rFonts w:hint="eastAsia" w:ascii="Times New Roman"/>
                      <w:color w:val="auto"/>
                      <w:sz w:val="18"/>
                      <w:szCs w:val="18"/>
                      <w:lang w:val="en-US" w:eastAsia="zh-CN"/>
                    </w:rPr>
                    <w:t>15</w:t>
                  </w:r>
                </w:p>
              </w:tc>
              <w:tc>
                <w:tcPr>
                  <w:tcW w:w="1076" w:type="dxa"/>
                  <w:vAlign w:val="center"/>
                </w:tcPr>
                <w:p>
                  <w:pPr>
                    <w:spacing w:line="240" w:lineRule="exact"/>
                    <w:jc w:val="center"/>
                    <w:rPr>
                      <w:rFonts w:hint="default" w:eastAsia="宋体"/>
                      <w:sz w:val="18"/>
                      <w:szCs w:val="18"/>
                      <w:lang w:val="en-US" w:eastAsia="zh-CN"/>
                    </w:rPr>
                  </w:pPr>
                  <w:r>
                    <w:rPr>
                      <w:rFonts w:hint="eastAsia"/>
                      <w:sz w:val="18"/>
                      <w:szCs w:val="18"/>
                      <w:lang w:val="en-US" w:eastAsia="zh-CN"/>
                    </w:rPr>
                    <w:t>50</w:t>
                  </w:r>
                </w:p>
              </w:tc>
              <w:tc>
                <w:tcPr>
                  <w:tcW w:w="815" w:type="dxa"/>
                  <w:vAlign w:val="center"/>
                </w:tcPr>
                <w:p>
                  <w:pPr>
                    <w:pStyle w:val="198"/>
                    <w:spacing w:before="24" w:after="24"/>
                    <w:rPr>
                      <w:rFonts w:ascii="Times New Roman"/>
                      <w:color w:val="auto"/>
                      <w:sz w:val="18"/>
                      <w:szCs w:val="18"/>
                    </w:rPr>
                  </w:pPr>
                  <w:r>
                    <w:rPr>
                      <w:rFonts w:ascii="Times New Roman"/>
                      <w:color w:val="auto"/>
                      <w:sz w:val="18"/>
                      <w:szCs w:val="18"/>
                    </w:rPr>
                    <w:t>1</w:t>
                  </w:r>
                </w:p>
              </w:tc>
              <w:tc>
                <w:tcPr>
                  <w:tcW w:w="815" w:type="dxa"/>
                  <w:vAlign w:val="center"/>
                </w:tcPr>
                <w:p>
                  <w:pPr>
                    <w:pStyle w:val="198"/>
                    <w:spacing w:before="24" w:after="24"/>
                    <w:rPr>
                      <w:rFonts w:ascii="Times New Roman"/>
                      <w:color w:val="auto"/>
                      <w:sz w:val="18"/>
                      <w:szCs w:val="18"/>
                    </w:rPr>
                  </w:pPr>
                  <w:r>
                    <w:rPr>
                      <w:rFonts w:ascii="Times New Roman"/>
                      <w:color w:val="auto"/>
                      <w:sz w:val="18"/>
                      <w:szCs w:val="18"/>
                    </w:rPr>
                    <w:t>2</w:t>
                  </w:r>
                </w:p>
              </w:tc>
              <w:tc>
                <w:tcPr>
                  <w:tcW w:w="819"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0.3</w:t>
                  </w:r>
                </w:p>
              </w:tc>
              <w:tc>
                <w:tcPr>
                  <w:tcW w:w="816" w:type="dxa"/>
                  <w:vAlign w:val="center"/>
                </w:tcPr>
                <w:p>
                  <w:pPr>
                    <w:pStyle w:val="198"/>
                    <w:spacing w:before="24" w:after="24"/>
                    <w:rPr>
                      <w:rFonts w:ascii="Times New Roman"/>
                      <w:color w:val="auto"/>
                      <w:sz w:val="18"/>
                      <w:szCs w:val="18"/>
                    </w:rPr>
                  </w:pPr>
                  <w:r>
                    <w:rPr>
                      <w:rFonts w:ascii="Times New Roman"/>
                      <w:color w:val="auto"/>
                      <w:sz w:val="18"/>
                      <w:szCs w:val="18"/>
                    </w:rPr>
                    <w:t>立即启动紧急停车装置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0" w:type="dxa"/>
                  <w:vMerge w:val="restart"/>
                  <w:vAlign w:val="center"/>
                </w:tcPr>
                <w:p>
                  <w:pPr>
                    <w:pStyle w:val="198"/>
                    <w:spacing w:before="24" w:after="24"/>
                    <w:rPr>
                      <w:rFonts w:ascii="Times New Roman"/>
                      <w:color w:val="auto"/>
                      <w:sz w:val="18"/>
                      <w:szCs w:val="18"/>
                    </w:rPr>
                  </w:pPr>
                  <w:r>
                    <w:rPr>
                      <w:rFonts w:ascii="Times New Roman"/>
                      <w:color w:val="auto"/>
                      <w:sz w:val="18"/>
                      <w:szCs w:val="18"/>
                    </w:rPr>
                    <w:t>DA002排气筒</w:t>
                  </w:r>
                </w:p>
              </w:tc>
              <w:tc>
                <w:tcPr>
                  <w:tcW w:w="1003" w:type="dxa"/>
                  <w:vMerge w:val="restart"/>
                  <w:vAlign w:val="center"/>
                </w:tcPr>
                <w:p>
                  <w:pPr>
                    <w:pStyle w:val="198"/>
                    <w:spacing w:before="24" w:after="24"/>
                    <w:rPr>
                      <w:rFonts w:ascii="Times New Roman"/>
                      <w:color w:val="auto"/>
                      <w:sz w:val="18"/>
                      <w:szCs w:val="18"/>
                    </w:rPr>
                  </w:pPr>
                  <w:r>
                    <w:rPr>
                      <w:rFonts w:hint="eastAsia" w:ascii="Times New Roman"/>
                      <w:color w:val="auto"/>
                      <w:sz w:val="18"/>
                      <w:szCs w:val="18"/>
                      <w:lang w:eastAsia="zh-CN"/>
                    </w:rPr>
                    <w:t>低氮燃烧器</w:t>
                  </w:r>
                  <w:r>
                    <w:rPr>
                      <w:rFonts w:ascii="Times New Roman"/>
                      <w:color w:val="auto"/>
                      <w:sz w:val="18"/>
                      <w:szCs w:val="18"/>
                    </w:rPr>
                    <w:t>运转异常</w:t>
                  </w:r>
                </w:p>
              </w:tc>
              <w:tc>
                <w:tcPr>
                  <w:tcW w:w="1009" w:type="dxa"/>
                  <w:vAlign w:val="center"/>
                </w:tcPr>
                <w:p>
                  <w:pPr>
                    <w:jc w:val="center"/>
                    <w:rPr>
                      <w:kern w:val="0"/>
                      <w:sz w:val="18"/>
                      <w:szCs w:val="18"/>
                    </w:rPr>
                  </w:pPr>
                  <w:r>
                    <w:rPr>
                      <w:kern w:val="0"/>
                      <w:sz w:val="18"/>
                      <w:szCs w:val="18"/>
                    </w:rPr>
                    <w:t>颗粒物</w:t>
                  </w:r>
                </w:p>
              </w:tc>
              <w:tc>
                <w:tcPr>
                  <w:tcW w:w="1003" w:type="dxa"/>
                  <w:vAlign w:val="center"/>
                </w:tcPr>
                <w:p>
                  <w:pPr>
                    <w:keepNext w:val="0"/>
                    <w:keepLines w:val="0"/>
                    <w:widowControl/>
                    <w:suppressLineNumbers w:val="0"/>
                    <w:jc w:val="center"/>
                    <w:textAlignment w:val="center"/>
                    <w:rPr>
                      <w:rFonts w:ascii="Times New Roman"/>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0.0033</w:t>
                  </w:r>
                </w:p>
              </w:tc>
              <w:tc>
                <w:tcPr>
                  <w:tcW w:w="1076" w:type="dxa"/>
                  <w:vAlign w:val="center"/>
                </w:tcPr>
                <w:p>
                  <w:pPr>
                    <w:keepNext w:val="0"/>
                    <w:keepLines w:val="0"/>
                    <w:widowControl/>
                    <w:suppressLineNumbers w:val="0"/>
                    <w:jc w:val="center"/>
                    <w:textAlignment w:val="bottom"/>
                    <w:rPr>
                      <w:rFonts w:ascii="Times New Roman"/>
                      <w:color w:val="auto"/>
                      <w:sz w:val="18"/>
                      <w:szCs w:val="18"/>
                    </w:rPr>
                  </w:pPr>
                  <w:r>
                    <w:rPr>
                      <w:rFonts w:hint="eastAsia" w:ascii="Times New Roman" w:hAnsi="Times New Roman" w:eastAsia="宋体" w:cs="Times New Roman"/>
                      <w:i w:val="0"/>
                      <w:iCs w:val="0"/>
                      <w:color w:val="000000"/>
                      <w:kern w:val="0"/>
                      <w:sz w:val="18"/>
                      <w:szCs w:val="18"/>
                      <w:u w:val="none"/>
                      <w:lang w:val="en-US" w:eastAsia="zh-CN" w:bidi="ar"/>
                    </w:rPr>
                    <w:t>7.2</w:t>
                  </w:r>
                </w:p>
              </w:tc>
              <w:tc>
                <w:tcPr>
                  <w:tcW w:w="815" w:type="dxa"/>
                  <w:vAlign w:val="center"/>
                </w:tcPr>
                <w:p>
                  <w:pPr>
                    <w:pStyle w:val="198"/>
                    <w:spacing w:before="24" w:after="24"/>
                    <w:rPr>
                      <w:rFonts w:ascii="Times New Roman"/>
                      <w:color w:val="auto"/>
                      <w:sz w:val="18"/>
                      <w:szCs w:val="18"/>
                    </w:rPr>
                  </w:pPr>
                  <w:r>
                    <w:rPr>
                      <w:rFonts w:ascii="Times New Roman"/>
                      <w:color w:val="auto"/>
                      <w:sz w:val="18"/>
                      <w:szCs w:val="18"/>
                    </w:rPr>
                    <w:t>1</w:t>
                  </w:r>
                </w:p>
              </w:tc>
              <w:tc>
                <w:tcPr>
                  <w:tcW w:w="815" w:type="dxa"/>
                  <w:vAlign w:val="center"/>
                </w:tcPr>
                <w:p>
                  <w:pPr>
                    <w:pStyle w:val="198"/>
                    <w:spacing w:before="24" w:after="24"/>
                    <w:rPr>
                      <w:rFonts w:ascii="Times New Roman"/>
                      <w:color w:val="auto"/>
                      <w:sz w:val="18"/>
                      <w:szCs w:val="18"/>
                    </w:rPr>
                  </w:pPr>
                  <w:r>
                    <w:rPr>
                      <w:rFonts w:ascii="Times New Roman"/>
                      <w:color w:val="auto"/>
                      <w:sz w:val="18"/>
                      <w:szCs w:val="18"/>
                    </w:rPr>
                    <w:t>2</w:t>
                  </w:r>
                </w:p>
              </w:tc>
              <w:tc>
                <w:tcPr>
                  <w:tcW w:w="819"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0.0066</w:t>
                  </w:r>
                </w:p>
              </w:tc>
              <w:tc>
                <w:tcPr>
                  <w:tcW w:w="816" w:type="dxa"/>
                  <w:vMerge w:val="restart"/>
                  <w:vAlign w:val="center"/>
                </w:tcPr>
                <w:p>
                  <w:pPr>
                    <w:pStyle w:val="198"/>
                    <w:spacing w:before="24" w:after="24"/>
                    <w:rPr>
                      <w:rFonts w:ascii="Times New Roman"/>
                      <w:color w:val="auto"/>
                      <w:sz w:val="18"/>
                      <w:szCs w:val="18"/>
                    </w:rPr>
                  </w:pPr>
                  <w:r>
                    <w:rPr>
                      <w:rFonts w:ascii="Times New Roman"/>
                      <w:color w:val="auto"/>
                      <w:sz w:val="18"/>
                      <w:szCs w:val="18"/>
                    </w:rPr>
                    <w:t>立即启动紧急停车装置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0" w:type="dxa"/>
                  <w:vMerge w:val="continue"/>
                  <w:vAlign w:val="center"/>
                </w:tcPr>
                <w:p>
                  <w:pPr>
                    <w:pStyle w:val="198"/>
                    <w:spacing w:before="24" w:after="24"/>
                    <w:rPr>
                      <w:rFonts w:ascii="Times New Roman"/>
                      <w:color w:val="auto"/>
                      <w:sz w:val="18"/>
                      <w:szCs w:val="18"/>
                    </w:rPr>
                  </w:pPr>
                </w:p>
              </w:tc>
              <w:tc>
                <w:tcPr>
                  <w:tcW w:w="1003" w:type="dxa"/>
                  <w:vMerge w:val="continue"/>
                  <w:vAlign w:val="center"/>
                </w:tcPr>
                <w:p>
                  <w:pPr>
                    <w:pStyle w:val="198"/>
                    <w:spacing w:before="24" w:after="24"/>
                    <w:rPr>
                      <w:rFonts w:hint="eastAsia" w:ascii="Times New Roman"/>
                      <w:color w:val="auto"/>
                      <w:sz w:val="18"/>
                      <w:szCs w:val="18"/>
                      <w:lang w:eastAsia="zh-CN"/>
                    </w:rPr>
                  </w:pPr>
                </w:p>
              </w:tc>
              <w:tc>
                <w:tcPr>
                  <w:tcW w:w="10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kern w:val="0"/>
                      <w:sz w:val="18"/>
                      <w:szCs w:val="18"/>
                    </w:rPr>
                  </w:pPr>
                  <w:r>
                    <w:rPr>
                      <w:rFonts w:hint="eastAsia"/>
                      <w:color w:val="auto"/>
                      <w:kern w:val="0"/>
                      <w:sz w:val="18"/>
                      <w:szCs w:val="18"/>
                      <w:lang w:val="en-US" w:eastAsia="zh-CN"/>
                    </w:rPr>
                    <w:t>SO</w:t>
                  </w:r>
                  <w:r>
                    <w:rPr>
                      <w:rFonts w:hint="eastAsia"/>
                      <w:color w:val="auto"/>
                      <w:kern w:val="0"/>
                      <w:sz w:val="18"/>
                      <w:szCs w:val="18"/>
                      <w:vertAlign w:val="subscript"/>
                      <w:lang w:val="en-US" w:eastAsia="zh-CN"/>
                    </w:rPr>
                    <w:t>2</w:t>
                  </w:r>
                </w:p>
              </w:tc>
              <w:tc>
                <w:tcPr>
                  <w:tcW w:w="1003" w:type="dxa"/>
                  <w:vAlign w:val="center"/>
                </w:tcPr>
                <w:p>
                  <w:pPr>
                    <w:keepNext w:val="0"/>
                    <w:keepLines w:val="0"/>
                    <w:widowControl/>
                    <w:suppressLineNumbers w:val="0"/>
                    <w:jc w:val="center"/>
                    <w:textAlignment w:val="center"/>
                    <w:rPr>
                      <w:rFonts w:hint="eastAsia" w:ascii="Times New Roman"/>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1076" w:type="dxa"/>
                  <w:vAlign w:val="center"/>
                </w:tcPr>
                <w:p>
                  <w:pPr>
                    <w:keepNext w:val="0"/>
                    <w:keepLines w:val="0"/>
                    <w:widowControl/>
                    <w:suppressLineNumbers w:val="0"/>
                    <w:jc w:val="center"/>
                    <w:textAlignment w:val="bottom"/>
                    <w:rPr>
                      <w:rFonts w:hint="eastAsia" w:ascii="Times New Roman"/>
                      <w:color w:val="auto"/>
                      <w:sz w:val="18"/>
                      <w:szCs w:val="18"/>
                    </w:rPr>
                  </w:pPr>
                  <w:r>
                    <w:rPr>
                      <w:rFonts w:hint="eastAsia" w:ascii="Times New Roman" w:hAnsi="Times New Roman" w:eastAsia="宋体" w:cs="Times New Roman"/>
                      <w:i w:val="0"/>
                      <w:iCs w:val="0"/>
                      <w:color w:val="000000"/>
                      <w:kern w:val="0"/>
                      <w:sz w:val="21"/>
                      <w:szCs w:val="21"/>
                      <w:u w:val="none"/>
                      <w:lang w:val="en-US" w:eastAsia="zh-CN" w:bidi="ar"/>
                    </w:rPr>
                    <w:t>5.4</w:t>
                  </w:r>
                </w:p>
              </w:tc>
              <w:tc>
                <w:tcPr>
                  <w:tcW w:w="815" w:type="dxa"/>
                  <w:vAlign w:val="center"/>
                </w:tcPr>
                <w:p>
                  <w:pPr>
                    <w:pStyle w:val="198"/>
                    <w:spacing w:before="24" w:after="24"/>
                    <w:rPr>
                      <w:rFonts w:hint="eastAsia" w:ascii="Times New Roman" w:eastAsia="宋体"/>
                      <w:color w:val="auto"/>
                      <w:sz w:val="18"/>
                      <w:szCs w:val="18"/>
                      <w:lang w:val="en-US" w:eastAsia="zh-CN"/>
                    </w:rPr>
                  </w:pPr>
                  <w:r>
                    <w:rPr>
                      <w:rFonts w:hint="eastAsia" w:ascii="Times New Roman"/>
                      <w:color w:val="auto"/>
                      <w:sz w:val="18"/>
                      <w:szCs w:val="18"/>
                      <w:lang w:val="en-US" w:eastAsia="zh-CN"/>
                    </w:rPr>
                    <w:t>1</w:t>
                  </w:r>
                </w:p>
              </w:tc>
              <w:tc>
                <w:tcPr>
                  <w:tcW w:w="815" w:type="dxa"/>
                  <w:vAlign w:val="center"/>
                </w:tcPr>
                <w:p>
                  <w:pPr>
                    <w:pStyle w:val="198"/>
                    <w:spacing w:before="24" w:after="24"/>
                    <w:rPr>
                      <w:rFonts w:hint="eastAsia" w:ascii="Times New Roman" w:eastAsia="宋体"/>
                      <w:color w:val="auto"/>
                      <w:sz w:val="18"/>
                      <w:szCs w:val="18"/>
                      <w:lang w:val="en-US" w:eastAsia="zh-CN"/>
                    </w:rPr>
                  </w:pPr>
                  <w:r>
                    <w:rPr>
                      <w:rFonts w:hint="eastAsia" w:ascii="Times New Roman"/>
                      <w:color w:val="auto"/>
                      <w:sz w:val="18"/>
                      <w:szCs w:val="18"/>
                      <w:lang w:val="en-US" w:eastAsia="zh-CN"/>
                    </w:rPr>
                    <w:t>2</w:t>
                  </w:r>
                </w:p>
              </w:tc>
              <w:tc>
                <w:tcPr>
                  <w:tcW w:w="819"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0.005</w:t>
                  </w:r>
                </w:p>
              </w:tc>
              <w:tc>
                <w:tcPr>
                  <w:tcW w:w="816" w:type="dxa"/>
                  <w:vMerge w:val="continue"/>
                  <w:vAlign w:val="center"/>
                </w:tcPr>
                <w:p>
                  <w:pPr>
                    <w:pStyle w:val="198"/>
                    <w:spacing w:before="24" w:after="24"/>
                    <w:rPr>
                      <w:rFonts w:ascii="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0" w:type="dxa"/>
                  <w:vMerge w:val="continue"/>
                  <w:vAlign w:val="center"/>
                </w:tcPr>
                <w:p>
                  <w:pPr>
                    <w:pStyle w:val="198"/>
                    <w:spacing w:before="24" w:after="24"/>
                    <w:rPr>
                      <w:rFonts w:ascii="Times New Roman"/>
                      <w:color w:val="auto"/>
                      <w:sz w:val="18"/>
                      <w:szCs w:val="18"/>
                    </w:rPr>
                  </w:pPr>
                </w:p>
              </w:tc>
              <w:tc>
                <w:tcPr>
                  <w:tcW w:w="1003" w:type="dxa"/>
                  <w:vMerge w:val="continue"/>
                  <w:vAlign w:val="center"/>
                </w:tcPr>
                <w:p>
                  <w:pPr>
                    <w:pStyle w:val="198"/>
                    <w:spacing w:before="24" w:after="24"/>
                    <w:rPr>
                      <w:rFonts w:hint="eastAsia" w:ascii="Times New Roman"/>
                      <w:color w:val="auto"/>
                      <w:sz w:val="18"/>
                      <w:szCs w:val="18"/>
                      <w:lang w:eastAsia="zh-CN"/>
                    </w:rPr>
                  </w:pPr>
                </w:p>
              </w:tc>
              <w:tc>
                <w:tcPr>
                  <w:tcW w:w="10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kern w:val="0"/>
                      <w:sz w:val="18"/>
                      <w:szCs w:val="18"/>
                    </w:rPr>
                  </w:pPr>
                  <w:r>
                    <w:rPr>
                      <w:rFonts w:hint="eastAsia"/>
                      <w:color w:val="auto"/>
                      <w:kern w:val="0"/>
                      <w:sz w:val="18"/>
                      <w:szCs w:val="18"/>
                      <w:lang w:val="en-US" w:eastAsia="zh-CN"/>
                    </w:rPr>
                    <w:t>NO</w:t>
                  </w:r>
                  <w:r>
                    <w:rPr>
                      <w:rFonts w:hint="eastAsia"/>
                      <w:color w:val="auto"/>
                      <w:kern w:val="0"/>
                      <w:sz w:val="18"/>
                      <w:szCs w:val="18"/>
                      <w:vertAlign w:val="subscript"/>
                      <w:lang w:val="en-US" w:eastAsia="zh-CN"/>
                    </w:rPr>
                    <w:t>X</w:t>
                  </w:r>
                </w:p>
              </w:tc>
              <w:tc>
                <w:tcPr>
                  <w:tcW w:w="1003"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0.0313</w:t>
                  </w:r>
                </w:p>
              </w:tc>
              <w:tc>
                <w:tcPr>
                  <w:tcW w:w="1076"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67.5</w:t>
                  </w:r>
                </w:p>
              </w:tc>
              <w:tc>
                <w:tcPr>
                  <w:tcW w:w="815" w:type="dxa"/>
                  <w:vAlign w:val="center"/>
                </w:tcPr>
                <w:p>
                  <w:pPr>
                    <w:pStyle w:val="198"/>
                    <w:spacing w:before="24" w:after="24"/>
                    <w:rPr>
                      <w:rFonts w:hint="eastAsia" w:ascii="Times New Roman" w:eastAsia="宋体"/>
                      <w:color w:val="auto"/>
                      <w:sz w:val="18"/>
                      <w:szCs w:val="18"/>
                      <w:lang w:val="en-US" w:eastAsia="zh-CN"/>
                    </w:rPr>
                  </w:pPr>
                  <w:r>
                    <w:rPr>
                      <w:rFonts w:hint="eastAsia" w:ascii="Times New Roman"/>
                      <w:color w:val="auto"/>
                      <w:sz w:val="18"/>
                      <w:szCs w:val="18"/>
                      <w:lang w:val="en-US" w:eastAsia="zh-CN"/>
                    </w:rPr>
                    <w:t>1</w:t>
                  </w:r>
                </w:p>
              </w:tc>
              <w:tc>
                <w:tcPr>
                  <w:tcW w:w="815" w:type="dxa"/>
                  <w:vAlign w:val="center"/>
                </w:tcPr>
                <w:p>
                  <w:pPr>
                    <w:pStyle w:val="198"/>
                    <w:spacing w:before="24" w:after="24"/>
                    <w:rPr>
                      <w:rFonts w:hint="eastAsia" w:ascii="Times New Roman" w:eastAsia="宋体"/>
                      <w:color w:val="auto"/>
                      <w:sz w:val="18"/>
                      <w:szCs w:val="18"/>
                      <w:lang w:val="en-US" w:eastAsia="zh-CN"/>
                    </w:rPr>
                  </w:pPr>
                  <w:r>
                    <w:rPr>
                      <w:rFonts w:hint="eastAsia" w:ascii="Times New Roman"/>
                      <w:color w:val="auto"/>
                      <w:sz w:val="18"/>
                      <w:szCs w:val="18"/>
                      <w:lang w:val="en-US" w:eastAsia="zh-CN"/>
                    </w:rPr>
                    <w:t>2</w:t>
                  </w:r>
                </w:p>
              </w:tc>
              <w:tc>
                <w:tcPr>
                  <w:tcW w:w="819" w:type="dxa"/>
                  <w:vAlign w:val="center"/>
                </w:tcPr>
                <w:p>
                  <w:pPr>
                    <w:pStyle w:val="198"/>
                    <w:spacing w:before="24" w:after="24"/>
                    <w:rPr>
                      <w:rFonts w:hint="default" w:ascii="Times New Roman" w:eastAsia="宋体"/>
                      <w:color w:val="auto"/>
                      <w:sz w:val="18"/>
                      <w:szCs w:val="18"/>
                      <w:lang w:val="en-US" w:eastAsia="zh-CN"/>
                    </w:rPr>
                  </w:pPr>
                  <w:r>
                    <w:rPr>
                      <w:rFonts w:hint="eastAsia" w:ascii="Times New Roman"/>
                      <w:color w:val="auto"/>
                      <w:sz w:val="18"/>
                      <w:szCs w:val="18"/>
                      <w:lang w:val="en-US" w:eastAsia="zh-CN"/>
                    </w:rPr>
                    <w:t>0.0626</w:t>
                  </w:r>
                </w:p>
              </w:tc>
              <w:tc>
                <w:tcPr>
                  <w:tcW w:w="816" w:type="dxa"/>
                  <w:vMerge w:val="continue"/>
                  <w:vAlign w:val="center"/>
                </w:tcPr>
                <w:p>
                  <w:pPr>
                    <w:pStyle w:val="198"/>
                    <w:spacing w:before="24" w:after="24"/>
                    <w:rPr>
                      <w:rFonts w:ascii="Times New Roman"/>
                      <w:color w:val="auto"/>
                      <w:sz w:val="18"/>
                      <w:szCs w:val="18"/>
                    </w:rPr>
                  </w:pPr>
                </w:p>
              </w:tc>
            </w:tr>
          </w:tbl>
          <w:p>
            <w:pPr>
              <w:pStyle w:val="379"/>
              <w:ind w:firstLine="420"/>
              <w:rPr>
                <w:rFonts w:hint="default" w:eastAsia="宋体"/>
                <w:b/>
                <w:bCs/>
                <w:sz w:val="18"/>
                <w:szCs w:val="18"/>
                <w:vertAlign w:val="baseline"/>
                <w:lang w:val="en-US" w:eastAsia="zh-CN"/>
              </w:rPr>
            </w:pPr>
            <w:r>
              <w:rPr>
                <w:rFonts w:hint="eastAsia"/>
                <w:b/>
                <w:bCs/>
                <w:sz w:val="18"/>
                <w:szCs w:val="18"/>
                <w:lang w:val="en-US" w:eastAsia="zh-CN"/>
              </w:rPr>
              <w:t>注：DA002排气筒低氮燃烧器运转异常时，氮氧化物产生量为0.075t/a，产生速率0.0313kg/h，产生浓度67.5mg/m</w:t>
            </w:r>
            <w:r>
              <w:rPr>
                <w:rFonts w:hint="eastAsia"/>
                <w:b/>
                <w:bCs/>
                <w:sz w:val="18"/>
                <w:szCs w:val="18"/>
                <w:vertAlign w:val="superscript"/>
                <w:lang w:val="en-US" w:eastAsia="zh-CN"/>
              </w:rPr>
              <w:t>3</w:t>
            </w:r>
            <w:r>
              <w:rPr>
                <w:rFonts w:hint="eastAsia"/>
                <w:b/>
                <w:bCs/>
                <w:sz w:val="18"/>
                <w:szCs w:val="18"/>
                <w:vertAlign w:val="baseline"/>
                <w:lang w:val="en-US" w:eastAsia="zh-CN"/>
              </w:rPr>
              <w:t>。</w:t>
            </w:r>
          </w:p>
          <w:p>
            <w:pPr>
              <w:pStyle w:val="379"/>
              <w:ind w:firstLine="420"/>
              <w:rPr>
                <w:sz w:val="21"/>
                <w:lang w:val="en-US"/>
              </w:rPr>
            </w:pPr>
            <w:r>
              <w:rPr>
                <w:sz w:val="21"/>
                <w:lang w:val="en-US"/>
              </w:rPr>
              <w:t>由上表可知，非正常工况下，</w:t>
            </w:r>
            <w:r>
              <w:rPr>
                <w:rFonts w:hint="eastAsia"/>
                <w:sz w:val="21"/>
                <w:lang w:val="en-US"/>
              </w:rPr>
              <w:t>DA001排气筒、</w:t>
            </w:r>
            <w:r>
              <w:rPr>
                <w:sz w:val="21"/>
                <w:lang w:val="en-US"/>
              </w:rPr>
              <w:t>DA00</w:t>
            </w:r>
            <w:r>
              <w:rPr>
                <w:rFonts w:hint="eastAsia"/>
                <w:sz w:val="21"/>
                <w:lang w:val="en-US"/>
              </w:rPr>
              <w:t>2</w:t>
            </w:r>
            <w:r>
              <w:rPr>
                <w:sz w:val="21"/>
                <w:lang w:val="en-US"/>
              </w:rPr>
              <w:t>排气筒</w:t>
            </w:r>
            <w:r>
              <w:rPr>
                <w:rFonts w:hint="eastAsia"/>
                <w:sz w:val="21"/>
                <w:lang w:val="en-US" w:eastAsia="zh-CN"/>
              </w:rPr>
              <w:t>颗粒物、二氧化硫、氮氧化物、</w:t>
            </w:r>
            <w:r>
              <w:rPr>
                <w:rFonts w:hint="eastAsia"/>
                <w:sz w:val="21"/>
                <w:lang w:val="en-US"/>
              </w:rPr>
              <w:t>VOCs</w:t>
            </w:r>
            <w:r>
              <w:rPr>
                <w:rFonts w:hint="eastAsia"/>
                <w:sz w:val="21"/>
                <w:lang w:val="en-US" w:eastAsia="zh-CN"/>
              </w:rPr>
              <w:t>均</w:t>
            </w:r>
            <w:r>
              <w:rPr>
                <w:rFonts w:hint="eastAsia"/>
                <w:sz w:val="21"/>
                <w:lang w:val="en-US"/>
              </w:rPr>
              <w:t>未超标，但排放浓度增大，</w:t>
            </w:r>
            <w:r>
              <w:rPr>
                <w:sz w:val="21"/>
                <w:lang w:val="en-US"/>
              </w:rPr>
              <w:t>且该项目非正常工况排放次数极少，排放时间较短，不会对周围大气造成长期影响，因此本次评价不做主要分析。</w:t>
            </w:r>
          </w:p>
          <w:p>
            <w:pPr>
              <w:adjustRightInd w:val="0"/>
              <w:snapToGrid w:val="0"/>
              <w:spacing w:line="360" w:lineRule="auto"/>
              <w:ind w:firstLine="420" w:firstLineChars="200"/>
            </w:pPr>
            <w:r>
              <w:t>针对拟建项目的实际情况，非正常工况下采取的控制措施主要为：加强废气处理装置的维护保养，发现风机风量不正常时及时检维修，排除故障</w:t>
            </w:r>
            <w:r>
              <w:rPr>
                <w:rFonts w:hint="eastAsia"/>
              </w:rPr>
              <w:t>。</w:t>
            </w:r>
          </w:p>
          <w:p>
            <w:pPr>
              <w:adjustRightInd w:val="0"/>
              <w:snapToGrid w:val="0"/>
              <w:spacing w:line="360" w:lineRule="auto"/>
              <w:ind w:firstLine="422" w:firstLineChars="200"/>
              <w:rPr>
                <w:b/>
                <w:bCs/>
              </w:rPr>
            </w:pPr>
            <w:r>
              <w:rPr>
                <w:rFonts w:hint="eastAsia"/>
                <w:b/>
                <w:bCs/>
              </w:rPr>
              <w:t>6、排气筒内径设置分析</w:t>
            </w:r>
          </w:p>
          <w:p>
            <w:pPr>
              <w:pStyle w:val="2"/>
              <w:wordWrap w:val="0"/>
              <w:spacing w:line="360" w:lineRule="auto"/>
              <w:ind w:left="0" w:leftChars="0" w:firstLine="420" w:firstLineChars="200"/>
              <w:rPr>
                <w:color w:val="auto"/>
                <w:sz w:val="21"/>
                <w:szCs w:val="21"/>
              </w:rPr>
            </w:pPr>
            <w:r>
              <w:rPr>
                <w:rFonts w:hint="eastAsia"/>
                <w:sz w:val="21"/>
                <w:szCs w:val="21"/>
              </w:rPr>
              <w:t>根据《大气污染治理工程技术导则》（H</w:t>
            </w:r>
            <w:r>
              <w:rPr>
                <w:sz w:val="21"/>
                <w:szCs w:val="21"/>
              </w:rPr>
              <w:t>J2000-2010</w:t>
            </w:r>
            <w:r>
              <w:rPr>
                <w:rFonts w:hint="eastAsia"/>
                <w:sz w:val="21"/>
                <w:szCs w:val="21"/>
              </w:rPr>
              <w:t>），排气筒的出口直径应根据出口流速确定，流速宜取1</w:t>
            </w:r>
            <w:r>
              <w:rPr>
                <w:sz w:val="21"/>
                <w:szCs w:val="21"/>
              </w:rPr>
              <w:t>5</w:t>
            </w:r>
            <w:r>
              <w:rPr>
                <w:rFonts w:hint="eastAsia"/>
                <w:sz w:val="21"/>
                <w:szCs w:val="21"/>
              </w:rPr>
              <w:t>m</w:t>
            </w:r>
            <w:r>
              <w:rPr>
                <w:sz w:val="21"/>
                <w:szCs w:val="21"/>
              </w:rPr>
              <w:t>/</w:t>
            </w:r>
            <w:r>
              <w:rPr>
                <w:rFonts w:hint="eastAsia"/>
                <w:sz w:val="21"/>
                <w:szCs w:val="21"/>
              </w:rPr>
              <w:t>s左右，当采用钢管烟囱且高度较高时或烟气量较大时，可适当提高出口流速至2</w:t>
            </w:r>
            <w:r>
              <w:rPr>
                <w:sz w:val="21"/>
                <w:szCs w:val="21"/>
              </w:rPr>
              <w:t>0</w:t>
            </w:r>
            <w:r>
              <w:rPr>
                <w:rFonts w:hint="eastAsia"/>
                <w:sz w:val="21"/>
                <w:szCs w:val="21"/>
              </w:rPr>
              <w:t>m</w:t>
            </w:r>
            <w:r>
              <w:rPr>
                <w:sz w:val="21"/>
                <w:szCs w:val="21"/>
              </w:rPr>
              <w:t>/</w:t>
            </w:r>
            <w:r>
              <w:rPr>
                <w:rFonts w:hint="eastAsia"/>
                <w:sz w:val="21"/>
                <w:szCs w:val="21"/>
              </w:rPr>
              <w:t>s</w:t>
            </w:r>
            <w:r>
              <w:rPr>
                <w:rFonts w:hint="eastAsia" w:ascii="宋体" w:hAnsi="宋体"/>
                <w:sz w:val="21"/>
                <w:szCs w:val="21"/>
              </w:rPr>
              <w:t>～</w:t>
            </w:r>
            <w:r>
              <w:rPr>
                <w:rFonts w:hint="eastAsia"/>
                <w:sz w:val="21"/>
                <w:szCs w:val="21"/>
              </w:rPr>
              <w:t>2</w:t>
            </w:r>
            <w:r>
              <w:rPr>
                <w:sz w:val="21"/>
                <w:szCs w:val="21"/>
              </w:rPr>
              <w:t>5</w:t>
            </w:r>
            <w:r>
              <w:rPr>
                <w:rFonts w:hint="eastAsia"/>
                <w:sz w:val="21"/>
                <w:szCs w:val="21"/>
              </w:rPr>
              <w:t>m</w:t>
            </w:r>
            <w:r>
              <w:rPr>
                <w:sz w:val="21"/>
                <w:szCs w:val="21"/>
              </w:rPr>
              <w:t>/</w:t>
            </w:r>
            <w:r>
              <w:rPr>
                <w:rFonts w:hint="eastAsia"/>
                <w:sz w:val="21"/>
                <w:szCs w:val="21"/>
              </w:rPr>
              <w:t>s左右。本次环评DA001和DA002按照流速</w:t>
            </w:r>
            <w:r>
              <w:rPr>
                <w:sz w:val="21"/>
                <w:szCs w:val="21"/>
              </w:rPr>
              <w:t>15</w:t>
            </w:r>
            <w:r>
              <w:rPr>
                <w:rFonts w:hint="eastAsia"/>
                <w:sz w:val="21"/>
                <w:szCs w:val="21"/>
              </w:rPr>
              <w:t>m/</w:t>
            </w:r>
            <w:r>
              <w:rPr>
                <w:sz w:val="21"/>
                <w:szCs w:val="21"/>
              </w:rPr>
              <w:t>s</w:t>
            </w:r>
            <w:r>
              <w:rPr>
                <w:rFonts w:hint="eastAsia"/>
                <w:sz w:val="21"/>
                <w:szCs w:val="21"/>
              </w:rPr>
              <w:t>设计，</w:t>
            </w:r>
            <w:r>
              <w:rPr>
                <w:rFonts w:hint="eastAsia"/>
                <w:sz w:val="21"/>
                <w:szCs w:val="21"/>
                <w:lang w:val="en-US" w:eastAsia="zh-CN"/>
              </w:rPr>
              <w:t>DA001排气筒风机风量3000m</w:t>
            </w:r>
            <w:r>
              <w:rPr>
                <w:rFonts w:hint="eastAsia"/>
                <w:sz w:val="21"/>
                <w:szCs w:val="21"/>
                <w:vertAlign w:val="superscript"/>
                <w:lang w:val="en-US" w:eastAsia="zh-CN"/>
              </w:rPr>
              <w:t>3</w:t>
            </w:r>
            <w:r>
              <w:rPr>
                <w:rFonts w:hint="eastAsia"/>
                <w:sz w:val="21"/>
                <w:szCs w:val="21"/>
                <w:vertAlign w:val="baseline"/>
                <w:lang w:val="en-US" w:eastAsia="zh-CN"/>
              </w:rPr>
              <w:t>/h，</w:t>
            </w:r>
            <w:r>
              <w:rPr>
                <w:rFonts w:hint="eastAsia"/>
                <w:sz w:val="21"/>
                <w:szCs w:val="21"/>
                <w:lang w:val="en-US" w:eastAsia="zh-CN"/>
              </w:rPr>
              <w:t>DA002排气筒风机风量462m</w:t>
            </w:r>
            <w:r>
              <w:rPr>
                <w:rFonts w:hint="eastAsia"/>
                <w:sz w:val="21"/>
                <w:szCs w:val="21"/>
                <w:vertAlign w:val="superscript"/>
                <w:lang w:val="en-US" w:eastAsia="zh-CN"/>
              </w:rPr>
              <w:t>3</w:t>
            </w:r>
            <w:r>
              <w:rPr>
                <w:rFonts w:hint="eastAsia"/>
                <w:sz w:val="21"/>
                <w:szCs w:val="21"/>
                <w:vertAlign w:val="baseline"/>
                <w:lang w:val="en-US" w:eastAsia="zh-CN"/>
              </w:rPr>
              <w:t>/h，</w:t>
            </w:r>
            <w:r>
              <w:rPr>
                <w:rFonts w:hint="eastAsia"/>
                <w:sz w:val="21"/>
                <w:szCs w:val="21"/>
              </w:rPr>
              <w:t>则DA001排气筒内径为</w:t>
            </w:r>
            <w:r>
              <w:rPr>
                <w:sz w:val="21"/>
                <w:szCs w:val="21"/>
              </w:rPr>
              <w:t>0.</w:t>
            </w:r>
            <w:r>
              <w:rPr>
                <w:rFonts w:hint="eastAsia"/>
                <w:sz w:val="21"/>
                <w:szCs w:val="21"/>
                <w:lang w:val="en-US" w:eastAsia="zh-CN"/>
              </w:rPr>
              <w:t>27</w:t>
            </w:r>
            <w:r>
              <w:rPr>
                <w:rFonts w:hint="eastAsia"/>
                <w:sz w:val="21"/>
                <w:szCs w:val="21"/>
              </w:rPr>
              <w:t>m，DA002排气筒内径为</w:t>
            </w:r>
            <w:r>
              <w:rPr>
                <w:sz w:val="21"/>
                <w:szCs w:val="21"/>
              </w:rPr>
              <w:t>0</w:t>
            </w:r>
            <w:r>
              <w:rPr>
                <w:rFonts w:hint="eastAsia"/>
                <w:sz w:val="21"/>
                <w:szCs w:val="21"/>
              </w:rPr>
              <w:t>.</w:t>
            </w:r>
            <w:r>
              <w:rPr>
                <w:rFonts w:hint="eastAsia"/>
                <w:sz w:val="21"/>
                <w:szCs w:val="21"/>
                <w:lang w:val="en-US" w:eastAsia="zh-CN"/>
              </w:rPr>
              <w:t>15</w:t>
            </w:r>
            <w:r>
              <w:rPr>
                <w:rFonts w:hint="eastAsia"/>
                <w:sz w:val="21"/>
                <w:szCs w:val="21"/>
              </w:rPr>
              <w:t>m</w:t>
            </w:r>
            <w:r>
              <w:rPr>
                <w:rFonts w:hint="eastAsia"/>
                <w:color w:val="auto"/>
                <w:sz w:val="21"/>
                <w:szCs w:val="21"/>
              </w:rPr>
              <w:t>。</w:t>
            </w:r>
          </w:p>
          <w:p>
            <w:pPr>
              <w:spacing w:line="360" w:lineRule="auto"/>
              <w:ind w:firstLine="422" w:firstLineChars="200"/>
              <w:rPr>
                <w:b/>
                <w:bCs/>
                <w:color w:val="auto"/>
              </w:rPr>
            </w:pPr>
            <w:r>
              <w:rPr>
                <w:rFonts w:hint="eastAsia"/>
                <w:b/>
                <w:bCs/>
                <w:color w:val="auto"/>
              </w:rPr>
              <w:t>7</w:t>
            </w:r>
            <w:r>
              <w:rPr>
                <w:b/>
                <w:bCs/>
                <w:color w:val="auto"/>
                <w:lang w:val="zh-CN"/>
              </w:rPr>
              <w:t>、监测要求</w:t>
            </w:r>
          </w:p>
          <w:p>
            <w:pPr>
              <w:adjustRightInd w:val="0"/>
              <w:snapToGrid w:val="0"/>
              <w:spacing w:line="360" w:lineRule="auto"/>
              <w:ind w:firstLine="420" w:firstLineChars="200"/>
            </w:pPr>
            <w:r>
              <w:rPr>
                <w:color w:val="auto"/>
              </w:rPr>
              <w:t>根据</w:t>
            </w:r>
            <w:r>
              <w:rPr>
                <w:rFonts w:hint="eastAsia"/>
                <w:color w:val="auto"/>
                <w:lang w:eastAsia="zh-CN"/>
              </w:rPr>
              <w:t>《</w:t>
            </w:r>
            <w:r>
              <w:rPr>
                <w:rFonts w:hint="eastAsia"/>
                <w:color w:val="auto"/>
              </w:rPr>
              <w:t>排污单位自行监测技术指南 总则</w:t>
            </w:r>
            <w:r>
              <w:rPr>
                <w:rFonts w:hint="eastAsia"/>
                <w:color w:val="auto"/>
                <w:lang w:eastAsia="zh-CN"/>
              </w:rPr>
              <w:t>》（</w:t>
            </w:r>
            <w:r>
              <w:rPr>
                <w:rFonts w:hint="eastAsia"/>
                <w:color w:val="auto"/>
              </w:rPr>
              <w:t>HJ 819-2017</w:t>
            </w:r>
            <w:r>
              <w:rPr>
                <w:rFonts w:hint="eastAsia"/>
                <w:color w:val="auto"/>
                <w:lang w:eastAsia="zh-CN"/>
              </w:rPr>
              <w:t>）、《</w:t>
            </w:r>
            <w:r>
              <w:rPr>
                <w:rFonts w:hint="eastAsia"/>
                <w:color w:val="auto"/>
              </w:rPr>
              <w:t xml:space="preserve">排污单位自行监测技术指南 </w:t>
            </w:r>
            <w:r>
              <w:rPr>
                <w:rFonts w:hint="eastAsia"/>
                <w:color w:val="auto"/>
                <w:lang w:eastAsia="zh-CN"/>
              </w:rPr>
              <w:t>印刷工业》（</w:t>
            </w:r>
            <w:r>
              <w:rPr>
                <w:rFonts w:hint="eastAsia"/>
                <w:color w:val="auto"/>
              </w:rPr>
              <w:t xml:space="preserve">HJ </w:t>
            </w:r>
            <w:r>
              <w:rPr>
                <w:rFonts w:hint="eastAsia"/>
                <w:color w:val="auto"/>
                <w:lang w:val="en-US" w:eastAsia="zh-CN"/>
              </w:rPr>
              <w:t>1246</w:t>
            </w:r>
            <w:r>
              <w:rPr>
                <w:rFonts w:hint="eastAsia"/>
                <w:color w:val="auto"/>
              </w:rPr>
              <w:t>-20</w:t>
            </w:r>
            <w:r>
              <w:rPr>
                <w:rFonts w:hint="eastAsia"/>
                <w:color w:val="auto"/>
                <w:lang w:val="en-US" w:eastAsia="zh-CN"/>
              </w:rPr>
              <w:t>22</w:t>
            </w:r>
            <w:r>
              <w:rPr>
                <w:rFonts w:hint="eastAsia"/>
                <w:color w:val="auto"/>
                <w:lang w:eastAsia="zh-CN"/>
              </w:rPr>
              <w:t>）、</w:t>
            </w:r>
            <w:r>
              <w:rPr>
                <w:rFonts w:hint="eastAsia"/>
                <w:color w:val="auto"/>
              </w:rPr>
              <w:t>《排污单位自行监测技术指南</w:t>
            </w:r>
            <w:r>
              <w:rPr>
                <w:rFonts w:hint="eastAsia"/>
                <w:color w:val="auto"/>
                <w:lang w:val="en-US" w:eastAsia="zh-CN"/>
              </w:rPr>
              <w:t xml:space="preserve"> </w:t>
            </w:r>
            <w:r>
              <w:rPr>
                <w:rFonts w:hint="eastAsia"/>
                <w:color w:val="auto"/>
              </w:rPr>
              <w:t>火力发电及锅炉》(HJ 820-2017)等</w:t>
            </w:r>
            <w:r>
              <w:rPr>
                <w:color w:val="auto"/>
              </w:rPr>
              <w:t>，</w:t>
            </w:r>
            <w:r>
              <w:t>本项目废气自行监测方案如下：</w:t>
            </w:r>
          </w:p>
          <w:p>
            <w:pPr>
              <w:adjustRightInd w:val="0"/>
              <w:snapToGrid w:val="0"/>
              <w:ind w:firstLine="422" w:firstLineChars="200"/>
              <w:jc w:val="center"/>
              <w:rPr>
                <w:b/>
                <w:bCs/>
              </w:rPr>
            </w:pPr>
            <w:r>
              <w:rPr>
                <w:b/>
                <w:bCs/>
              </w:rPr>
              <w:t>表4-1</w:t>
            </w:r>
            <w:r>
              <w:rPr>
                <w:rFonts w:hint="eastAsia"/>
                <w:b/>
                <w:bCs/>
              </w:rPr>
              <w:t>5</w:t>
            </w:r>
            <w:r>
              <w:rPr>
                <w:b/>
                <w:bCs/>
              </w:rPr>
              <w:t>本项目废气自行监测方案</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932"/>
              <w:gridCol w:w="2310"/>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pct"/>
                  <w:tcMar>
                    <w:top w:w="0" w:type="dxa"/>
                    <w:left w:w="0" w:type="dxa"/>
                    <w:bottom w:w="0" w:type="dxa"/>
                    <w:right w:w="0" w:type="dxa"/>
                  </w:tcMar>
                  <w:vAlign w:val="center"/>
                </w:tcPr>
                <w:p>
                  <w:pPr>
                    <w:contextualSpacing/>
                    <w:jc w:val="center"/>
                    <w:rPr>
                      <w:b/>
                      <w:bCs/>
                      <w:sz w:val="18"/>
                      <w:szCs w:val="18"/>
                    </w:rPr>
                  </w:pPr>
                  <w:r>
                    <w:rPr>
                      <w:b/>
                      <w:bCs/>
                      <w:sz w:val="18"/>
                      <w:szCs w:val="18"/>
                    </w:rPr>
                    <w:t>排放口编号</w:t>
                  </w:r>
                </w:p>
              </w:tc>
              <w:tc>
                <w:tcPr>
                  <w:tcW w:w="1154" w:type="pct"/>
                  <w:tcMar>
                    <w:top w:w="0" w:type="dxa"/>
                    <w:left w:w="0" w:type="dxa"/>
                    <w:bottom w:w="0" w:type="dxa"/>
                    <w:right w:w="0" w:type="dxa"/>
                  </w:tcMar>
                  <w:vAlign w:val="center"/>
                </w:tcPr>
                <w:p>
                  <w:pPr>
                    <w:contextualSpacing/>
                    <w:jc w:val="center"/>
                    <w:rPr>
                      <w:b/>
                      <w:bCs/>
                      <w:sz w:val="18"/>
                      <w:szCs w:val="18"/>
                    </w:rPr>
                  </w:pPr>
                  <w:r>
                    <w:rPr>
                      <w:b/>
                      <w:bCs/>
                      <w:sz w:val="18"/>
                      <w:szCs w:val="18"/>
                    </w:rPr>
                    <w:t>监测点位</w:t>
                  </w:r>
                </w:p>
              </w:tc>
              <w:tc>
                <w:tcPr>
                  <w:tcW w:w="1380" w:type="pct"/>
                  <w:tcMar>
                    <w:top w:w="0" w:type="dxa"/>
                    <w:left w:w="0" w:type="dxa"/>
                    <w:bottom w:w="0" w:type="dxa"/>
                    <w:right w:w="0" w:type="dxa"/>
                  </w:tcMar>
                  <w:vAlign w:val="center"/>
                </w:tcPr>
                <w:p>
                  <w:pPr>
                    <w:contextualSpacing/>
                    <w:jc w:val="center"/>
                    <w:rPr>
                      <w:b/>
                      <w:bCs/>
                      <w:sz w:val="18"/>
                      <w:szCs w:val="18"/>
                    </w:rPr>
                  </w:pPr>
                  <w:r>
                    <w:rPr>
                      <w:b/>
                      <w:bCs/>
                      <w:sz w:val="18"/>
                      <w:szCs w:val="18"/>
                    </w:rPr>
                    <w:t>监测因子</w:t>
                  </w:r>
                </w:p>
              </w:tc>
              <w:tc>
                <w:tcPr>
                  <w:tcW w:w="1194" w:type="pct"/>
                  <w:tcMar>
                    <w:top w:w="0" w:type="dxa"/>
                    <w:left w:w="0" w:type="dxa"/>
                    <w:bottom w:w="0" w:type="dxa"/>
                    <w:right w:w="0" w:type="dxa"/>
                  </w:tcMar>
                  <w:vAlign w:val="center"/>
                </w:tcPr>
                <w:p>
                  <w:pPr>
                    <w:contextualSpacing/>
                    <w:jc w:val="center"/>
                    <w:rPr>
                      <w:b/>
                      <w:bCs/>
                      <w:sz w:val="18"/>
                      <w:szCs w:val="18"/>
                    </w:rPr>
                  </w:pPr>
                  <w:r>
                    <w:rPr>
                      <w:b/>
                      <w:bCs/>
                      <w:sz w:val="18"/>
                      <w:szCs w:val="18"/>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pct"/>
                  <w:tcMar>
                    <w:top w:w="0" w:type="dxa"/>
                    <w:left w:w="0" w:type="dxa"/>
                    <w:bottom w:w="0" w:type="dxa"/>
                    <w:right w:w="0" w:type="dxa"/>
                  </w:tcMar>
                  <w:vAlign w:val="center"/>
                </w:tcPr>
                <w:p>
                  <w:pPr>
                    <w:spacing w:line="240" w:lineRule="exact"/>
                    <w:jc w:val="center"/>
                    <w:rPr>
                      <w:sz w:val="18"/>
                      <w:szCs w:val="18"/>
                    </w:rPr>
                  </w:pPr>
                  <w:r>
                    <w:rPr>
                      <w:sz w:val="18"/>
                      <w:szCs w:val="18"/>
                    </w:rPr>
                    <w:t>DA001</w:t>
                  </w:r>
                </w:p>
              </w:tc>
              <w:tc>
                <w:tcPr>
                  <w:tcW w:w="1154" w:type="pct"/>
                  <w:tcMar>
                    <w:top w:w="0" w:type="dxa"/>
                    <w:left w:w="0" w:type="dxa"/>
                    <w:bottom w:w="0" w:type="dxa"/>
                    <w:right w:w="0" w:type="dxa"/>
                  </w:tcMar>
                  <w:vAlign w:val="center"/>
                </w:tcPr>
                <w:p>
                  <w:pPr>
                    <w:spacing w:line="240" w:lineRule="exact"/>
                    <w:jc w:val="center"/>
                    <w:rPr>
                      <w:sz w:val="18"/>
                      <w:szCs w:val="18"/>
                    </w:rPr>
                  </w:pPr>
                  <w:r>
                    <w:rPr>
                      <w:sz w:val="18"/>
                      <w:szCs w:val="18"/>
                    </w:rPr>
                    <w:t>进、出口</w:t>
                  </w:r>
                </w:p>
              </w:tc>
              <w:tc>
                <w:tcPr>
                  <w:tcW w:w="1380" w:type="pct"/>
                  <w:tcMar>
                    <w:top w:w="0" w:type="dxa"/>
                    <w:left w:w="0" w:type="dxa"/>
                    <w:bottom w:w="0" w:type="dxa"/>
                    <w:right w:w="0" w:type="dxa"/>
                  </w:tcMar>
                  <w:vAlign w:val="center"/>
                </w:tcPr>
                <w:p>
                  <w:pPr>
                    <w:spacing w:line="240" w:lineRule="exact"/>
                    <w:jc w:val="center"/>
                    <w:rPr>
                      <w:sz w:val="18"/>
                      <w:szCs w:val="18"/>
                    </w:rPr>
                  </w:pPr>
                  <w:r>
                    <w:rPr>
                      <w:sz w:val="18"/>
                      <w:szCs w:val="18"/>
                    </w:rPr>
                    <w:t>VOCs</w:t>
                  </w:r>
                </w:p>
              </w:tc>
              <w:tc>
                <w:tcPr>
                  <w:tcW w:w="1194" w:type="pct"/>
                  <w:tcMar>
                    <w:top w:w="0" w:type="dxa"/>
                    <w:left w:w="0" w:type="dxa"/>
                    <w:bottom w:w="0" w:type="dxa"/>
                    <w:right w:w="0" w:type="dxa"/>
                  </w:tcMar>
                  <w:vAlign w:val="center"/>
                </w:tcPr>
                <w:p>
                  <w:pPr>
                    <w:spacing w:line="240" w:lineRule="exact"/>
                    <w:jc w:val="center"/>
                    <w:rPr>
                      <w:sz w:val="18"/>
                      <w:szCs w:val="18"/>
                    </w:rPr>
                  </w:pPr>
                  <w:r>
                    <w:rPr>
                      <w:sz w:val="18"/>
                      <w:szCs w:val="18"/>
                    </w:rPr>
                    <w:t>1次/</w:t>
                  </w:r>
                  <w:r>
                    <w:rPr>
                      <w:rFonts w:hint="eastAsia"/>
                      <w:sz w:val="18"/>
                      <w:szCs w:val="18"/>
                      <w:lang w:eastAsia="zh-CN"/>
                    </w:rPr>
                    <w:t>半</w:t>
                  </w:r>
                  <w:r>
                    <w:rPr>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pct"/>
                  <w:vMerge w:val="restart"/>
                  <w:tcMar>
                    <w:top w:w="0" w:type="dxa"/>
                    <w:left w:w="0" w:type="dxa"/>
                    <w:bottom w:w="0" w:type="dxa"/>
                    <w:right w:w="0" w:type="dxa"/>
                  </w:tcMar>
                  <w:vAlign w:val="center"/>
                </w:tcPr>
                <w:p>
                  <w:pPr>
                    <w:spacing w:line="240" w:lineRule="exact"/>
                    <w:jc w:val="center"/>
                    <w:rPr>
                      <w:sz w:val="18"/>
                      <w:szCs w:val="18"/>
                    </w:rPr>
                  </w:pPr>
                  <w:r>
                    <w:rPr>
                      <w:sz w:val="18"/>
                      <w:szCs w:val="18"/>
                    </w:rPr>
                    <w:t>DA002</w:t>
                  </w:r>
                </w:p>
              </w:tc>
              <w:tc>
                <w:tcPr>
                  <w:tcW w:w="1154" w:type="pct"/>
                  <w:vMerge w:val="restart"/>
                  <w:tcMar>
                    <w:top w:w="0" w:type="dxa"/>
                    <w:left w:w="0" w:type="dxa"/>
                    <w:bottom w:w="0" w:type="dxa"/>
                    <w:right w:w="0" w:type="dxa"/>
                  </w:tcMar>
                  <w:vAlign w:val="center"/>
                </w:tcPr>
                <w:p>
                  <w:pPr>
                    <w:spacing w:line="240" w:lineRule="exact"/>
                    <w:jc w:val="center"/>
                    <w:rPr>
                      <w:sz w:val="18"/>
                      <w:szCs w:val="18"/>
                    </w:rPr>
                  </w:pPr>
                  <w:r>
                    <w:rPr>
                      <w:sz w:val="18"/>
                      <w:szCs w:val="18"/>
                    </w:rPr>
                    <w:t>出口</w:t>
                  </w:r>
                </w:p>
              </w:tc>
              <w:tc>
                <w:tcPr>
                  <w:tcW w:w="1380" w:type="pct"/>
                  <w:tcMar>
                    <w:top w:w="0" w:type="dxa"/>
                    <w:left w:w="0" w:type="dxa"/>
                    <w:bottom w:w="0" w:type="dxa"/>
                    <w:right w:w="0" w:type="dxa"/>
                  </w:tcMar>
                  <w:vAlign w:val="center"/>
                </w:tcPr>
                <w:p>
                  <w:pPr>
                    <w:spacing w:line="240" w:lineRule="exact"/>
                    <w:jc w:val="center"/>
                    <w:rPr>
                      <w:rFonts w:hint="default" w:eastAsia="宋体"/>
                      <w:sz w:val="18"/>
                      <w:szCs w:val="18"/>
                      <w:vertAlign w:val="baseline"/>
                      <w:lang w:val="en-US" w:eastAsia="zh-CN"/>
                    </w:rPr>
                  </w:pPr>
                  <w:r>
                    <w:rPr>
                      <w:sz w:val="18"/>
                      <w:szCs w:val="18"/>
                    </w:rPr>
                    <w:t>颗粒物</w:t>
                  </w:r>
                  <w:r>
                    <w:rPr>
                      <w:rFonts w:hint="eastAsia"/>
                      <w:sz w:val="18"/>
                      <w:szCs w:val="18"/>
                      <w:lang w:eastAsia="zh-CN"/>
                    </w:rPr>
                    <w:t>、</w:t>
                  </w:r>
                  <w:r>
                    <w:rPr>
                      <w:rFonts w:hint="eastAsia"/>
                      <w:sz w:val="18"/>
                      <w:szCs w:val="18"/>
                      <w:lang w:val="en-US" w:eastAsia="zh-CN"/>
                    </w:rPr>
                    <w:t>SO</w:t>
                  </w:r>
                  <w:r>
                    <w:rPr>
                      <w:rFonts w:hint="eastAsia"/>
                      <w:sz w:val="18"/>
                      <w:szCs w:val="18"/>
                      <w:vertAlign w:val="subscript"/>
                      <w:lang w:val="en-US" w:eastAsia="zh-CN"/>
                    </w:rPr>
                    <w:t>2</w:t>
                  </w:r>
                  <w:r>
                    <w:rPr>
                      <w:rFonts w:hint="eastAsia"/>
                      <w:sz w:val="18"/>
                      <w:szCs w:val="18"/>
                      <w:vertAlign w:val="baseline"/>
                      <w:lang w:val="en-US" w:eastAsia="zh-CN"/>
                    </w:rPr>
                    <w:t>、林格曼黑度</w:t>
                  </w:r>
                </w:p>
              </w:tc>
              <w:tc>
                <w:tcPr>
                  <w:tcW w:w="1194" w:type="pct"/>
                  <w:tcMar>
                    <w:top w:w="0" w:type="dxa"/>
                    <w:left w:w="0" w:type="dxa"/>
                    <w:bottom w:w="0" w:type="dxa"/>
                    <w:right w:w="0" w:type="dxa"/>
                  </w:tcMar>
                  <w:vAlign w:val="center"/>
                </w:tcPr>
                <w:p>
                  <w:pPr>
                    <w:spacing w:line="240" w:lineRule="exact"/>
                    <w:jc w:val="center"/>
                    <w:rPr>
                      <w:sz w:val="18"/>
                      <w:szCs w:val="18"/>
                    </w:rPr>
                  </w:pPr>
                  <w:r>
                    <w:rPr>
                      <w:sz w:val="18"/>
                      <w:szCs w:val="18"/>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pct"/>
                  <w:vMerge w:val="continue"/>
                  <w:tcMar>
                    <w:top w:w="0" w:type="dxa"/>
                    <w:left w:w="0" w:type="dxa"/>
                    <w:bottom w:w="0" w:type="dxa"/>
                    <w:right w:w="0" w:type="dxa"/>
                  </w:tcMar>
                  <w:vAlign w:val="center"/>
                </w:tcPr>
                <w:p>
                  <w:pPr>
                    <w:spacing w:line="240" w:lineRule="exact"/>
                    <w:jc w:val="center"/>
                    <w:rPr>
                      <w:sz w:val="18"/>
                      <w:szCs w:val="18"/>
                    </w:rPr>
                  </w:pPr>
                </w:p>
              </w:tc>
              <w:tc>
                <w:tcPr>
                  <w:tcW w:w="1154" w:type="pct"/>
                  <w:vMerge w:val="continue"/>
                  <w:tcMar>
                    <w:top w:w="0" w:type="dxa"/>
                    <w:left w:w="0" w:type="dxa"/>
                    <w:bottom w:w="0" w:type="dxa"/>
                    <w:right w:w="0" w:type="dxa"/>
                  </w:tcMar>
                  <w:vAlign w:val="center"/>
                </w:tcPr>
                <w:p>
                  <w:pPr>
                    <w:spacing w:line="240" w:lineRule="exact"/>
                    <w:jc w:val="center"/>
                    <w:rPr>
                      <w:sz w:val="18"/>
                      <w:szCs w:val="18"/>
                    </w:rPr>
                  </w:pPr>
                </w:p>
              </w:tc>
              <w:tc>
                <w:tcPr>
                  <w:tcW w:w="1380" w:type="pct"/>
                  <w:tcMar>
                    <w:top w:w="0" w:type="dxa"/>
                    <w:left w:w="0" w:type="dxa"/>
                    <w:bottom w:w="0" w:type="dxa"/>
                    <w:right w:w="0" w:type="dxa"/>
                  </w:tcMar>
                  <w:vAlign w:val="center"/>
                </w:tcPr>
                <w:p>
                  <w:pPr>
                    <w:spacing w:line="240" w:lineRule="exact"/>
                    <w:jc w:val="center"/>
                    <w:rPr>
                      <w:sz w:val="18"/>
                      <w:szCs w:val="18"/>
                    </w:rPr>
                  </w:pPr>
                  <w:r>
                    <w:rPr>
                      <w:rFonts w:hint="eastAsia"/>
                      <w:sz w:val="18"/>
                      <w:szCs w:val="18"/>
                      <w:vertAlign w:val="baseline"/>
                      <w:lang w:val="en-US" w:eastAsia="zh-CN"/>
                    </w:rPr>
                    <w:t>NO</w:t>
                  </w:r>
                  <w:r>
                    <w:rPr>
                      <w:rFonts w:hint="eastAsia"/>
                      <w:sz w:val="18"/>
                      <w:szCs w:val="18"/>
                      <w:vertAlign w:val="subscript"/>
                      <w:lang w:val="en-US" w:eastAsia="zh-CN"/>
                    </w:rPr>
                    <w:t>X</w:t>
                  </w:r>
                </w:p>
              </w:tc>
              <w:tc>
                <w:tcPr>
                  <w:tcW w:w="1194" w:type="pct"/>
                  <w:tcMar>
                    <w:top w:w="0" w:type="dxa"/>
                    <w:left w:w="0" w:type="dxa"/>
                    <w:bottom w:w="0" w:type="dxa"/>
                    <w:right w:w="0" w:type="dxa"/>
                  </w:tcMar>
                  <w:vAlign w:val="center"/>
                </w:tcPr>
                <w:p>
                  <w:pPr>
                    <w:spacing w:line="240" w:lineRule="exact"/>
                    <w:jc w:val="center"/>
                    <w:rPr>
                      <w:rFonts w:hint="default" w:eastAsia="宋体"/>
                      <w:sz w:val="18"/>
                      <w:szCs w:val="18"/>
                      <w:lang w:val="en-US" w:eastAsia="zh-CN"/>
                    </w:rPr>
                  </w:pPr>
                  <w:r>
                    <w:rPr>
                      <w:rFonts w:hint="eastAsia"/>
                      <w:sz w:val="18"/>
                      <w:szCs w:val="18"/>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271" w:type="pct"/>
                  <w:vMerge w:val="restart"/>
                  <w:tcBorders>
                    <w:left w:val="single" w:color="auto" w:sz="2" w:space="0"/>
                  </w:tcBorders>
                  <w:vAlign w:val="center"/>
                </w:tcPr>
                <w:p>
                  <w:pPr>
                    <w:spacing w:line="240" w:lineRule="exact"/>
                    <w:jc w:val="center"/>
                    <w:rPr>
                      <w:sz w:val="18"/>
                      <w:szCs w:val="18"/>
                    </w:rPr>
                  </w:pPr>
                  <w:r>
                    <w:rPr>
                      <w:sz w:val="18"/>
                      <w:szCs w:val="18"/>
                    </w:rPr>
                    <w:t>无组织</w:t>
                  </w:r>
                </w:p>
              </w:tc>
              <w:tc>
                <w:tcPr>
                  <w:tcW w:w="1154" w:type="pct"/>
                  <w:tcMar>
                    <w:top w:w="0" w:type="dxa"/>
                    <w:left w:w="0" w:type="dxa"/>
                    <w:bottom w:w="0" w:type="dxa"/>
                    <w:right w:w="0" w:type="dxa"/>
                  </w:tcMar>
                  <w:vAlign w:val="center"/>
                </w:tcPr>
                <w:p>
                  <w:pPr>
                    <w:spacing w:line="240" w:lineRule="exact"/>
                    <w:jc w:val="center"/>
                    <w:rPr>
                      <w:sz w:val="18"/>
                      <w:szCs w:val="18"/>
                    </w:rPr>
                  </w:pPr>
                  <w:r>
                    <w:rPr>
                      <w:sz w:val="18"/>
                      <w:szCs w:val="18"/>
                    </w:rPr>
                    <w:t>厂界外</w:t>
                  </w:r>
                </w:p>
              </w:tc>
              <w:tc>
                <w:tcPr>
                  <w:tcW w:w="1380" w:type="pct"/>
                  <w:tcMar>
                    <w:top w:w="0" w:type="dxa"/>
                    <w:left w:w="0" w:type="dxa"/>
                    <w:bottom w:w="0" w:type="dxa"/>
                    <w:right w:w="0" w:type="dxa"/>
                  </w:tcMar>
                  <w:vAlign w:val="center"/>
                </w:tcPr>
                <w:p>
                  <w:pPr>
                    <w:spacing w:line="240" w:lineRule="exact"/>
                    <w:jc w:val="center"/>
                    <w:rPr>
                      <w:kern w:val="0"/>
                      <w:sz w:val="18"/>
                      <w:szCs w:val="18"/>
                    </w:rPr>
                  </w:pPr>
                  <w:r>
                    <w:rPr>
                      <w:kern w:val="0"/>
                      <w:sz w:val="18"/>
                      <w:szCs w:val="18"/>
                    </w:rPr>
                    <w:t>VOCs</w:t>
                  </w:r>
                </w:p>
              </w:tc>
              <w:tc>
                <w:tcPr>
                  <w:tcW w:w="1194" w:type="pct"/>
                  <w:tcMar>
                    <w:top w:w="0" w:type="dxa"/>
                    <w:left w:w="0" w:type="dxa"/>
                    <w:bottom w:w="0" w:type="dxa"/>
                    <w:right w:w="0" w:type="dxa"/>
                  </w:tcMar>
                  <w:vAlign w:val="center"/>
                </w:tcPr>
                <w:p>
                  <w:pPr>
                    <w:widowControl/>
                    <w:jc w:val="center"/>
                    <w:textAlignment w:val="center"/>
                    <w:rPr>
                      <w:kern w:val="0"/>
                      <w:sz w:val="18"/>
                      <w:szCs w:val="18"/>
                      <w:lang w:bidi="ar"/>
                    </w:rPr>
                  </w:pPr>
                  <w:r>
                    <w:rPr>
                      <w:sz w:val="18"/>
                      <w:szCs w:val="18"/>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71" w:type="pct"/>
                  <w:vMerge w:val="continue"/>
                  <w:tcBorders>
                    <w:left w:val="single" w:color="auto" w:sz="2" w:space="0"/>
                  </w:tcBorders>
                  <w:vAlign w:val="center"/>
                </w:tcPr>
                <w:p>
                  <w:pPr>
                    <w:spacing w:line="240" w:lineRule="exact"/>
                    <w:jc w:val="center"/>
                    <w:rPr>
                      <w:sz w:val="18"/>
                      <w:szCs w:val="18"/>
                    </w:rPr>
                  </w:pPr>
                </w:p>
              </w:tc>
              <w:tc>
                <w:tcPr>
                  <w:tcW w:w="1154" w:type="pct"/>
                  <w:vMerge w:val="restart"/>
                  <w:tcMar>
                    <w:top w:w="0" w:type="dxa"/>
                    <w:left w:w="0" w:type="dxa"/>
                    <w:bottom w:w="0" w:type="dxa"/>
                    <w:right w:w="0" w:type="dxa"/>
                  </w:tcMar>
                  <w:vAlign w:val="center"/>
                </w:tcPr>
                <w:p>
                  <w:pPr>
                    <w:spacing w:line="240" w:lineRule="exact"/>
                    <w:jc w:val="center"/>
                    <w:rPr>
                      <w:sz w:val="18"/>
                      <w:szCs w:val="18"/>
                    </w:rPr>
                  </w:pPr>
                  <w:r>
                    <w:rPr>
                      <w:sz w:val="18"/>
                      <w:szCs w:val="18"/>
                    </w:rPr>
                    <w:t>厂区内</w:t>
                  </w:r>
                </w:p>
              </w:tc>
              <w:tc>
                <w:tcPr>
                  <w:tcW w:w="1380" w:type="pct"/>
                  <w:vMerge w:val="restart"/>
                  <w:tcMar>
                    <w:top w:w="0" w:type="dxa"/>
                    <w:left w:w="0" w:type="dxa"/>
                    <w:bottom w:w="0" w:type="dxa"/>
                    <w:right w:w="0" w:type="dxa"/>
                  </w:tcMar>
                  <w:vAlign w:val="center"/>
                </w:tcPr>
                <w:p>
                  <w:pPr>
                    <w:spacing w:line="240" w:lineRule="exact"/>
                    <w:jc w:val="center"/>
                    <w:rPr>
                      <w:kern w:val="0"/>
                      <w:sz w:val="18"/>
                      <w:szCs w:val="18"/>
                    </w:rPr>
                  </w:pPr>
                  <w:r>
                    <w:rPr>
                      <w:kern w:val="0"/>
                      <w:sz w:val="18"/>
                      <w:szCs w:val="18"/>
                    </w:rPr>
                    <w:t>VOCs</w:t>
                  </w:r>
                </w:p>
              </w:tc>
              <w:tc>
                <w:tcPr>
                  <w:tcW w:w="1194" w:type="pct"/>
                  <w:vMerge w:val="restart"/>
                  <w:tcMar>
                    <w:top w:w="0" w:type="dxa"/>
                    <w:left w:w="0" w:type="dxa"/>
                    <w:bottom w:w="0" w:type="dxa"/>
                    <w:right w:w="0" w:type="dxa"/>
                  </w:tcMar>
                  <w:vAlign w:val="center"/>
                </w:tcPr>
                <w:p>
                  <w:pPr>
                    <w:widowControl/>
                    <w:jc w:val="center"/>
                    <w:textAlignment w:val="center"/>
                    <w:rPr>
                      <w:rFonts w:eastAsia="等线"/>
                      <w:kern w:val="0"/>
                      <w:sz w:val="18"/>
                      <w:szCs w:val="18"/>
                      <w:lang w:bidi="ar"/>
                    </w:rPr>
                  </w:pPr>
                  <w:r>
                    <w:rPr>
                      <w:sz w:val="18"/>
                      <w:szCs w:val="18"/>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271" w:type="pct"/>
                  <w:vMerge w:val="continue"/>
                  <w:tcBorders>
                    <w:left w:val="single" w:color="auto" w:sz="2" w:space="0"/>
                  </w:tcBorders>
                  <w:vAlign w:val="center"/>
                </w:tcPr>
                <w:p>
                  <w:pPr>
                    <w:spacing w:line="240" w:lineRule="exact"/>
                    <w:jc w:val="center"/>
                    <w:rPr>
                      <w:sz w:val="18"/>
                      <w:szCs w:val="18"/>
                    </w:rPr>
                  </w:pPr>
                </w:p>
              </w:tc>
              <w:tc>
                <w:tcPr>
                  <w:tcW w:w="1154" w:type="pct"/>
                  <w:vMerge w:val="continue"/>
                  <w:tcMar>
                    <w:top w:w="0" w:type="dxa"/>
                    <w:left w:w="0" w:type="dxa"/>
                    <w:bottom w:w="0" w:type="dxa"/>
                    <w:right w:w="0" w:type="dxa"/>
                  </w:tcMar>
                  <w:vAlign w:val="center"/>
                </w:tcPr>
                <w:p>
                  <w:pPr>
                    <w:spacing w:line="240" w:lineRule="exact"/>
                    <w:jc w:val="center"/>
                    <w:rPr>
                      <w:sz w:val="18"/>
                      <w:szCs w:val="18"/>
                    </w:rPr>
                  </w:pPr>
                </w:p>
              </w:tc>
              <w:tc>
                <w:tcPr>
                  <w:tcW w:w="1380" w:type="pct"/>
                  <w:vMerge w:val="continue"/>
                  <w:tcMar>
                    <w:top w:w="0" w:type="dxa"/>
                    <w:left w:w="0" w:type="dxa"/>
                    <w:bottom w:w="0" w:type="dxa"/>
                    <w:right w:w="0" w:type="dxa"/>
                  </w:tcMar>
                  <w:vAlign w:val="center"/>
                </w:tcPr>
                <w:p>
                  <w:pPr>
                    <w:spacing w:line="240" w:lineRule="exact"/>
                    <w:jc w:val="center"/>
                    <w:rPr>
                      <w:kern w:val="0"/>
                      <w:sz w:val="18"/>
                      <w:szCs w:val="18"/>
                    </w:rPr>
                  </w:pPr>
                </w:p>
              </w:tc>
              <w:tc>
                <w:tcPr>
                  <w:tcW w:w="1194" w:type="pct"/>
                  <w:vMerge w:val="continue"/>
                  <w:tcMar>
                    <w:top w:w="0" w:type="dxa"/>
                    <w:left w:w="0" w:type="dxa"/>
                    <w:bottom w:w="0" w:type="dxa"/>
                    <w:right w:w="0" w:type="dxa"/>
                  </w:tcMar>
                  <w:vAlign w:val="center"/>
                </w:tcPr>
                <w:p>
                  <w:pPr>
                    <w:widowControl/>
                    <w:jc w:val="center"/>
                    <w:textAlignment w:val="center"/>
                    <w:rPr>
                      <w:kern w:val="0"/>
                      <w:sz w:val="18"/>
                      <w:szCs w:val="18"/>
                      <w:lang w:bidi="ar"/>
                    </w:rPr>
                  </w:pPr>
                </w:p>
              </w:tc>
            </w:tr>
          </w:tbl>
          <w:p>
            <w:pPr>
              <w:tabs>
                <w:tab w:val="left" w:pos="1800"/>
              </w:tabs>
              <w:adjustRightInd w:val="0"/>
              <w:snapToGrid w:val="0"/>
              <w:spacing w:line="360" w:lineRule="auto"/>
              <w:ind w:firstLine="422" w:firstLineChars="200"/>
              <w:rPr>
                <w:b/>
                <w:bCs/>
                <w:kern w:val="24"/>
              </w:rPr>
            </w:pPr>
            <w:r>
              <w:rPr>
                <w:b/>
                <w:bCs/>
                <w:kern w:val="24"/>
              </w:rPr>
              <w:t>二、废水</w:t>
            </w:r>
          </w:p>
          <w:p>
            <w:pPr>
              <w:adjustRightInd w:val="0"/>
              <w:snapToGrid w:val="0"/>
              <w:spacing w:line="360" w:lineRule="auto"/>
              <w:ind w:firstLine="420" w:firstLineChars="200"/>
            </w:pPr>
            <w:r>
              <w:rPr>
                <w:kern w:val="24"/>
              </w:rPr>
              <w:t>本项目</w:t>
            </w:r>
            <w:r>
              <w:rPr>
                <w:rFonts w:hint="eastAsia"/>
                <w:kern w:val="24"/>
                <w:lang w:eastAsia="zh-CN"/>
              </w:rPr>
              <w:t>医用级电气两用蒸发器使用自来水，对水质要求较低，无废水排放。</w:t>
            </w:r>
            <w:r>
              <w:rPr>
                <w:kern w:val="24"/>
              </w:rPr>
              <w:t>新增废水主要为</w:t>
            </w:r>
            <w:r>
              <w:t>职工生活污水，</w:t>
            </w:r>
            <w:r>
              <w:rPr>
                <w:lang w:val="de-DE"/>
              </w:rPr>
              <w:t>生活污水经</w:t>
            </w:r>
            <w:r>
              <w:t>化粪池预处理后由环卫部门进行清运。</w:t>
            </w:r>
            <w:r>
              <w:rPr>
                <w:kern w:val="24"/>
                <w:lang w:bidi="ar"/>
              </w:rPr>
              <w:t>项目生活污水产生量按生活用水量</w:t>
            </w:r>
            <w:r>
              <w:t>80%计</w:t>
            </w:r>
            <w:r>
              <w:rPr>
                <w:kern w:val="24"/>
                <w:lang w:bidi="ar"/>
              </w:rPr>
              <w:t>算，</w:t>
            </w:r>
            <w:r>
              <w:t>则生活污水量为</w:t>
            </w:r>
            <w:r>
              <w:rPr>
                <w:rFonts w:hint="eastAsia"/>
                <w:lang w:val="en-US" w:eastAsia="zh-CN"/>
              </w:rPr>
              <w:t>192</w:t>
            </w:r>
            <w:r>
              <w:t>m</w:t>
            </w:r>
            <w:r>
              <w:rPr>
                <w:vertAlign w:val="superscript"/>
              </w:rPr>
              <w:t>3</w:t>
            </w:r>
            <w:r>
              <w:t>/a，主要污染因子为COD、BOD</w:t>
            </w:r>
            <w:r>
              <w:rPr>
                <w:vertAlign w:val="subscript"/>
              </w:rPr>
              <w:t>5</w:t>
            </w:r>
            <w:r>
              <w:t>、NH</w:t>
            </w:r>
            <w:r>
              <w:rPr>
                <w:vertAlign w:val="subscript"/>
              </w:rPr>
              <w:t>3</w:t>
            </w:r>
            <w:r>
              <w:t>-N、SS等。类比可知，生活污水水质COD：350mg/L、BOD</w:t>
            </w:r>
            <w:r>
              <w:rPr>
                <w:vertAlign w:val="subscript"/>
              </w:rPr>
              <w:t>5</w:t>
            </w:r>
            <w:r>
              <w:t>：250 mg/L、SS：300 mg/L、氨氮：30 mg/L，化粪池对COD、BOD</w:t>
            </w:r>
            <w:r>
              <w:rPr>
                <w:vertAlign w:val="subscript"/>
              </w:rPr>
              <w:t>5</w:t>
            </w:r>
            <w:r>
              <w:t>、SS、氨氮的去除率为15%、9%、30%、3%。</w:t>
            </w:r>
            <w:r>
              <w:rPr>
                <w:snapToGrid w:val="0"/>
                <w:kern w:val="0"/>
              </w:rPr>
              <w:t>废水污染物主要指标见表4-1</w:t>
            </w:r>
            <w:r>
              <w:rPr>
                <w:rFonts w:hint="eastAsia"/>
                <w:snapToGrid w:val="0"/>
                <w:kern w:val="0"/>
              </w:rPr>
              <w:t>6</w:t>
            </w:r>
            <w:r>
              <w:t>。</w:t>
            </w:r>
          </w:p>
          <w:p>
            <w:pPr>
              <w:adjustRightInd w:val="0"/>
              <w:snapToGrid w:val="0"/>
              <w:spacing w:line="360" w:lineRule="auto"/>
              <w:jc w:val="center"/>
              <w:rPr>
                <w:b/>
              </w:rPr>
            </w:pPr>
            <w:r>
              <w:rPr>
                <w:b/>
              </w:rPr>
              <w:t>表4-1</w:t>
            </w:r>
            <w:r>
              <w:rPr>
                <w:rFonts w:hint="eastAsia"/>
                <w:b/>
              </w:rPr>
              <w:t>6</w:t>
            </w:r>
            <w:r>
              <w:rPr>
                <w:b/>
              </w:rPr>
              <w:t>生活废水污染物产生、排放情况一览表</w:t>
            </w:r>
          </w:p>
          <w:tbl>
            <w:tblPr>
              <w:tblStyle w:val="85"/>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79"/>
              <w:gridCol w:w="1811"/>
              <w:gridCol w:w="1836"/>
              <w:gridCol w:w="1648"/>
              <w:gridCol w:w="17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4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widowControl/>
                    <w:jc w:val="center"/>
                    <w:rPr>
                      <w:b/>
                      <w:caps/>
                      <w:sz w:val="18"/>
                      <w:szCs w:val="18"/>
                    </w:rPr>
                  </w:pPr>
                  <w:r>
                    <w:rPr>
                      <w:b/>
                      <w:caps/>
                      <w:sz w:val="18"/>
                      <w:szCs w:val="18"/>
                    </w:rPr>
                    <w:t>污染物</w:t>
                  </w:r>
                </w:p>
              </w:tc>
              <w:tc>
                <w:tcPr>
                  <w:tcW w:w="1766" w:type="dxa"/>
                  <w:tcBorders>
                    <w:top w:val="single" w:color="000000" w:sz="6" w:space="0"/>
                    <w:left w:val="single" w:color="000000" w:sz="6" w:space="0"/>
                    <w:bottom w:val="single" w:color="000000" w:sz="6" w:space="0"/>
                    <w:right w:val="single" w:color="000000" w:sz="6" w:space="0"/>
                  </w:tcBorders>
                  <w:vAlign w:val="center"/>
                </w:tcPr>
                <w:p>
                  <w:pPr>
                    <w:widowControl/>
                    <w:jc w:val="center"/>
                    <w:rPr>
                      <w:b/>
                      <w:caps/>
                      <w:sz w:val="18"/>
                      <w:szCs w:val="18"/>
                    </w:rPr>
                  </w:pPr>
                  <w:r>
                    <w:rPr>
                      <w:b/>
                      <w:caps/>
                      <w:sz w:val="18"/>
                      <w:szCs w:val="18"/>
                    </w:rPr>
                    <w:t>产生浓度（</w:t>
                  </w:r>
                  <w:r>
                    <w:rPr>
                      <w:b/>
                      <w:sz w:val="18"/>
                      <w:szCs w:val="18"/>
                    </w:rPr>
                    <w:t>mg/L</w:t>
                  </w:r>
                  <w:r>
                    <w:rPr>
                      <w:b/>
                      <w:caps/>
                      <w:sz w:val="18"/>
                      <w:szCs w:val="18"/>
                    </w:rPr>
                    <w:t>）</w:t>
                  </w:r>
                </w:p>
              </w:tc>
              <w:tc>
                <w:tcPr>
                  <w:tcW w:w="1790" w:type="dxa"/>
                  <w:tcBorders>
                    <w:top w:val="single" w:color="000000" w:sz="6" w:space="0"/>
                    <w:left w:val="single" w:color="000000" w:sz="6" w:space="0"/>
                    <w:bottom w:val="single" w:color="000000" w:sz="6" w:space="0"/>
                    <w:right w:val="single" w:color="000000" w:sz="6" w:space="0"/>
                  </w:tcBorders>
                  <w:vAlign w:val="center"/>
                </w:tcPr>
                <w:p>
                  <w:pPr>
                    <w:widowControl/>
                    <w:jc w:val="center"/>
                    <w:rPr>
                      <w:b/>
                      <w:caps/>
                      <w:sz w:val="18"/>
                      <w:szCs w:val="18"/>
                    </w:rPr>
                  </w:pPr>
                  <w:r>
                    <w:rPr>
                      <w:b/>
                      <w:caps/>
                      <w:sz w:val="18"/>
                      <w:szCs w:val="18"/>
                    </w:rPr>
                    <w:t>产生量（</w:t>
                  </w:r>
                  <w:r>
                    <w:rPr>
                      <w:b/>
                      <w:sz w:val="18"/>
                    </w:rPr>
                    <w:t>t/a</w:t>
                  </w:r>
                  <w:r>
                    <w:rPr>
                      <w:b/>
                      <w:caps/>
                      <w:sz w:val="18"/>
                      <w:szCs w:val="18"/>
                    </w:rPr>
                    <w:t>）</w:t>
                  </w:r>
                </w:p>
              </w:tc>
              <w:tc>
                <w:tcPr>
                  <w:tcW w:w="1607" w:type="dxa"/>
                  <w:tcBorders>
                    <w:top w:val="single" w:color="000000" w:sz="6" w:space="0"/>
                    <w:left w:val="single" w:color="000000" w:sz="6" w:space="0"/>
                    <w:bottom w:val="single" w:color="000000" w:sz="6" w:space="0"/>
                    <w:right w:val="single" w:color="auto" w:sz="4" w:space="0"/>
                  </w:tcBorders>
                  <w:vAlign w:val="center"/>
                </w:tcPr>
                <w:p>
                  <w:pPr>
                    <w:widowControl/>
                    <w:jc w:val="center"/>
                    <w:rPr>
                      <w:b/>
                      <w:caps/>
                      <w:sz w:val="18"/>
                      <w:szCs w:val="18"/>
                    </w:rPr>
                  </w:pPr>
                  <w:r>
                    <w:rPr>
                      <w:b/>
                      <w:caps/>
                      <w:sz w:val="18"/>
                      <w:szCs w:val="18"/>
                    </w:rPr>
                    <w:t>排放浓度（</w:t>
                  </w:r>
                  <w:r>
                    <w:rPr>
                      <w:b/>
                      <w:sz w:val="18"/>
                      <w:szCs w:val="18"/>
                    </w:rPr>
                    <w:t>mg/L</w:t>
                  </w:r>
                  <w:r>
                    <w:rPr>
                      <w:b/>
                      <w:caps/>
                      <w:sz w:val="18"/>
                      <w:szCs w:val="18"/>
                    </w:rPr>
                    <w:t>）</w:t>
                  </w:r>
                </w:p>
              </w:tc>
              <w:tc>
                <w:tcPr>
                  <w:tcW w:w="1744" w:type="dxa"/>
                  <w:tcBorders>
                    <w:top w:val="single" w:color="000000" w:sz="6" w:space="0"/>
                    <w:left w:val="single" w:color="auto" w:sz="4" w:space="0"/>
                    <w:bottom w:val="single" w:color="000000" w:sz="6" w:space="0"/>
                    <w:right w:val="single" w:color="000000" w:sz="6" w:space="0"/>
                  </w:tcBorders>
                  <w:vAlign w:val="center"/>
                </w:tcPr>
                <w:p>
                  <w:pPr>
                    <w:jc w:val="center"/>
                    <w:rPr>
                      <w:b/>
                      <w:caps/>
                      <w:sz w:val="18"/>
                      <w:szCs w:val="18"/>
                    </w:rPr>
                  </w:pPr>
                  <w:r>
                    <w:rPr>
                      <w:b/>
                      <w:caps/>
                      <w:sz w:val="18"/>
                      <w:szCs w:val="18"/>
                    </w:rPr>
                    <w:t>排放量（</w:t>
                  </w:r>
                  <w:r>
                    <w:rPr>
                      <w:b/>
                      <w:sz w:val="18"/>
                    </w:rPr>
                    <w:t>t/a</w:t>
                  </w:r>
                  <w:r>
                    <w:rPr>
                      <w:b/>
                      <w:caps/>
                      <w:sz w:val="18"/>
                      <w:szCs w:val="18"/>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154" w:type="dxa"/>
                  <w:gridSpan w:val="5"/>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生活污水量</w:t>
                  </w:r>
                  <w:r>
                    <w:rPr>
                      <w:rFonts w:hint="eastAsia"/>
                      <w:sz w:val="18"/>
                      <w:szCs w:val="18"/>
                      <w:lang w:val="en-US" w:eastAsia="zh-CN"/>
                    </w:rPr>
                    <w:t>192</w:t>
                  </w:r>
                  <w:r>
                    <w:rPr>
                      <w:bCs/>
                      <w:sz w:val="18"/>
                      <w:szCs w:val="18"/>
                    </w:rPr>
                    <w:t>m</w:t>
                  </w:r>
                  <w:r>
                    <w:rPr>
                      <w:bCs/>
                      <w:sz w:val="18"/>
                      <w:szCs w:val="18"/>
                      <w:vertAlign w:val="superscript"/>
                    </w:rPr>
                    <w:t>3</w:t>
                  </w:r>
                  <w:r>
                    <w:rPr>
                      <w:bCs/>
                      <w:sz w:val="18"/>
                      <w:szCs w:val="18"/>
                    </w:rPr>
                    <w:t>/a</w:t>
                  </w:r>
                  <w:r>
                    <w:rPr>
                      <w:sz w:val="18"/>
                      <w:szCs w:val="18"/>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COD</w:t>
                  </w:r>
                </w:p>
              </w:tc>
              <w:tc>
                <w:tcPr>
                  <w:tcW w:w="1766"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350</w:t>
                  </w:r>
                </w:p>
              </w:tc>
              <w:tc>
                <w:tcPr>
                  <w:tcW w:w="179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ottom"/>
                    <w:rPr>
                      <w:rFonts w:hint="default" w:eastAsia="宋体"/>
                      <w:sz w:val="18"/>
                      <w:szCs w:val="18"/>
                      <w:lang w:val="en-US" w:eastAsia="zh-CN"/>
                    </w:rPr>
                  </w:pPr>
                  <w:r>
                    <w:rPr>
                      <w:kern w:val="0"/>
                      <w:sz w:val="18"/>
                      <w:szCs w:val="18"/>
                      <w:lang w:bidi="ar"/>
                    </w:rPr>
                    <w:t>0.</w:t>
                  </w:r>
                  <w:r>
                    <w:rPr>
                      <w:rFonts w:hint="eastAsia"/>
                      <w:kern w:val="0"/>
                      <w:sz w:val="18"/>
                      <w:szCs w:val="18"/>
                      <w:lang w:val="en-US" w:eastAsia="zh-CN" w:bidi="ar"/>
                    </w:rPr>
                    <w:t>0672</w:t>
                  </w:r>
                </w:p>
              </w:tc>
              <w:tc>
                <w:tcPr>
                  <w:tcW w:w="1607" w:type="dxa"/>
                  <w:tcBorders>
                    <w:top w:val="single" w:color="000000" w:sz="6" w:space="0"/>
                    <w:left w:val="single" w:color="000000" w:sz="6" w:space="0"/>
                    <w:bottom w:val="single" w:color="000000" w:sz="6" w:space="0"/>
                    <w:right w:val="single" w:color="auto" w:sz="4" w:space="0"/>
                  </w:tcBorders>
                  <w:vAlign w:val="center"/>
                </w:tcPr>
                <w:p>
                  <w:pPr>
                    <w:jc w:val="center"/>
                    <w:rPr>
                      <w:sz w:val="18"/>
                      <w:szCs w:val="18"/>
                    </w:rPr>
                  </w:pPr>
                  <w:r>
                    <w:rPr>
                      <w:sz w:val="18"/>
                      <w:szCs w:val="18"/>
                    </w:rPr>
                    <w:t>298</w:t>
                  </w:r>
                </w:p>
              </w:tc>
              <w:tc>
                <w:tcPr>
                  <w:tcW w:w="1744" w:type="dxa"/>
                  <w:tcBorders>
                    <w:top w:val="single" w:color="000000" w:sz="6" w:space="0"/>
                    <w:left w:val="single" w:color="auto" w:sz="4" w:space="0"/>
                    <w:bottom w:val="single" w:color="000000" w:sz="6" w:space="0"/>
                    <w:right w:val="single" w:color="000000" w:sz="6" w:space="0"/>
                  </w:tcBorders>
                  <w:vAlign w:val="center"/>
                </w:tcPr>
                <w:p>
                  <w:pPr>
                    <w:widowControl/>
                    <w:jc w:val="center"/>
                    <w:textAlignment w:val="bottom"/>
                    <w:rPr>
                      <w:rFonts w:hint="default" w:eastAsia="宋体"/>
                      <w:sz w:val="18"/>
                      <w:szCs w:val="18"/>
                      <w:lang w:val="en-US" w:eastAsia="zh-CN"/>
                    </w:rPr>
                  </w:pPr>
                  <w:r>
                    <w:rPr>
                      <w:sz w:val="18"/>
                      <w:szCs w:val="18"/>
                    </w:rPr>
                    <w:t>0.0</w:t>
                  </w:r>
                  <w:r>
                    <w:rPr>
                      <w:rFonts w:hint="eastAsia"/>
                      <w:sz w:val="18"/>
                      <w:szCs w:val="18"/>
                      <w:lang w:val="en-US" w:eastAsia="zh-CN"/>
                    </w:rPr>
                    <w:t>572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2"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BOD</w:t>
                  </w:r>
                  <w:r>
                    <w:rPr>
                      <w:sz w:val="18"/>
                      <w:szCs w:val="18"/>
                      <w:vertAlign w:val="subscript"/>
                    </w:rPr>
                    <w:t>5</w:t>
                  </w:r>
                </w:p>
              </w:tc>
              <w:tc>
                <w:tcPr>
                  <w:tcW w:w="1766"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250</w:t>
                  </w:r>
                </w:p>
              </w:tc>
              <w:tc>
                <w:tcPr>
                  <w:tcW w:w="179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ottom"/>
                    <w:rPr>
                      <w:rFonts w:hint="default" w:eastAsia="宋体"/>
                      <w:sz w:val="18"/>
                      <w:szCs w:val="18"/>
                      <w:lang w:val="en-US" w:eastAsia="zh-CN"/>
                    </w:rPr>
                  </w:pPr>
                  <w:r>
                    <w:rPr>
                      <w:kern w:val="0"/>
                      <w:sz w:val="18"/>
                      <w:szCs w:val="18"/>
                      <w:lang w:bidi="ar"/>
                    </w:rPr>
                    <w:t>0.0</w:t>
                  </w:r>
                  <w:r>
                    <w:rPr>
                      <w:rFonts w:hint="eastAsia"/>
                      <w:kern w:val="0"/>
                      <w:sz w:val="18"/>
                      <w:szCs w:val="18"/>
                      <w:lang w:val="en-US" w:eastAsia="zh-CN" w:bidi="ar"/>
                    </w:rPr>
                    <w:t>48</w:t>
                  </w:r>
                </w:p>
              </w:tc>
              <w:tc>
                <w:tcPr>
                  <w:tcW w:w="1607" w:type="dxa"/>
                  <w:tcBorders>
                    <w:top w:val="single" w:color="000000" w:sz="6" w:space="0"/>
                    <w:left w:val="single" w:color="000000" w:sz="6" w:space="0"/>
                    <w:bottom w:val="single" w:color="000000" w:sz="6" w:space="0"/>
                    <w:right w:val="single" w:color="auto" w:sz="4" w:space="0"/>
                  </w:tcBorders>
                  <w:vAlign w:val="center"/>
                </w:tcPr>
                <w:p>
                  <w:pPr>
                    <w:jc w:val="center"/>
                    <w:rPr>
                      <w:sz w:val="18"/>
                      <w:szCs w:val="18"/>
                    </w:rPr>
                  </w:pPr>
                  <w:r>
                    <w:rPr>
                      <w:sz w:val="18"/>
                      <w:szCs w:val="18"/>
                    </w:rPr>
                    <w:t>228</w:t>
                  </w:r>
                </w:p>
              </w:tc>
              <w:tc>
                <w:tcPr>
                  <w:tcW w:w="1744" w:type="dxa"/>
                  <w:tcBorders>
                    <w:top w:val="single" w:color="000000" w:sz="6" w:space="0"/>
                    <w:left w:val="single" w:color="auto" w:sz="4" w:space="0"/>
                    <w:bottom w:val="single" w:color="000000" w:sz="6" w:space="0"/>
                    <w:right w:val="single" w:color="000000" w:sz="6" w:space="0"/>
                  </w:tcBorders>
                  <w:vAlign w:val="center"/>
                </w:tcPr>
                <w:p>
                  <w:pPr>
                    <w:widowControl/>
                    <w:jc w:val="center"/>
                    <w:textAlignment w:val="bottom"/>
                    <w:rPr>
                      <w:rFonts w:hint="default" w:eastAsia="宋体"/>
                      <w:sz w:val="18"/>
                      <w:szCs w:val="18"/>
                      <w:lang w:val="en-US" w:eastAsia="zh-CN"/>
                    </w:rPr>
                  </w:pPr>
                  <w:r>
                    <w:rPr>
                      <w:sz w:val="18"/>
                      <w:szCs w:val="18"/>
                    </w:rPr>
                    <w:t>0.0</w:t>
                  </w:r>
                  <w:r>
                    <w:rPr>
                      <w:rFonts w:hint="eastAsia"/>
                      <w:sz w:val="18"/>
                      <w:szCs w:val="18"/>
                      <w:lang w:val="en-US" w:eastAsia="zh-CN"/>
                    </w:rPr>
                    <w:t>438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4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SS</w:t>
                  </w:r>
                </w:p>
              </w:tc>
              <w:tc>
                <w:tcPr>
                  <w:tcW w:w="1766"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300</w:t>
                  </w:r>
                </w:p>
              </w:tc>
              <w:tc>
                <w:tcPr>
                  <w:tcW w:w="179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ottom"/>
                    <w:rPr>
                      <w:rFonts w:hint="default" w:eastAsia="宋体"/>
                      <w:sz w:val="18"/>
                      <w:szCs w:val="18"/>
                      <w:lang w:val="en-US" w:eastAsia="zh-CN"/>
                    </w:rPr>
                  </w:pPr>
                  <w:r>
                    <w:rPr>
                      <w:kern w:val="0"/>
                      <w:sz w:val="18"/>
                      <w:szCs w:val="18"/>
                      <w:lang w:bidi="ar"/>
                    </w:rPr>
                    <w:t>0.0</w:t>
                  </w:r>
                  <w:r>
                    <w:rPr>
                      <w:rFonts w:hint="eastAsia"/>
                      <w:kern w:val="0"/>
                      <w:sz w:val="18"/>
                      <w:szCs w:val="18"/>
                      <w:lang w:val="en-US" w:eastAsia="zh-CN" w:bidi="ar"/>
                    </w:rPr>
                    <w:t>576</w:t>
                  </w:r>
                </w:p>
              </w:tc>
              <w:tc>
                <w:tcPr>
                  <w:tcW w:w="1607" w:type="dxa"/>
                  <w:tcBorders>
                    <w:top w:val="single" w:color="000000" w:sz="6" w:space="0"/>
                    <w:left w:val="single" w:color="000000" w:sz="6" w:space="0"/>
                    <w:bottom w:val="single" w:color="000000" w:sz="6" w:space="0"/>
                    <w:right w:val="single" w:color="auto" w:sz="4" w:space="0"/>
                  </w:tcBorders>
                  <w:vAlign w:val="center"/>
                </w:tcPr>
                <w:p>
                  <w:pPr>
                    <w:jc w:val="center"/>
                    <w:rPr>
                      <w:sz w:val="18"/>
                      <w:szCs w:val="18"/>
                    </w:rPr>
                  </w:pPr>
                  <w:r>
                    <w:rPr>
                      <w:sz w:val="18"/>
                      <w:szCs w:val="18"/>
                    </w:rPr>
                    <w:t>212</w:t>
                  </w:r>
                </w:p>
              </w:tc>
              <w:tc>
                <w:tcPr>
                  <w:tcW w:w="1744" w:type="dxa"/>
                  <w:tcBorders>
                    <w:top w:val="single" w:color="000000" w:sz="6" w:space="0"/>
                    <w:left w:val="single" w:color="auto" w:sz="4" w:space="0"/>
                    <w:bottom w:val="single" w:color="000000" w:sz="6" w:space="0"/>
                    <w:right w:val="single" w:color="000000" w:sz="6" w:space="0"/>
                  </w:tcBorders>
                  <w:vAlign w:val="center"/>
                </w:tcPr>
                <w:p>
                  <w:pPr>
                    <w:widowControl/>
                    <w:jc w:val="center"/>
                    <w:textAlignment w:val="bottom"/>
                    <w:rPr>
                      <w:rFonts w:hint="default" w:eastAsia="宋体"/>
                      <w:sz w:val="18"/>
                      <w:szCs w:val="18"/>
                      <w:lang w:val="en-US" w:eastAsia="zh-CN"/>
                    </w:rPr>
                  </w:pPr>
                  <w:r>
                    <w:rPr>
                      <w:sz w:val="18"/>
                      <w:szCs w:val="18"/>
                    </w:rPr>
                    <w:t>0.0</w:t>
                  </w:r>
                  <w:r>
                    <w:rPr>
                      <w:rFonts w:hint="eastAsia"/>
                      <w:sz w:val="18"/>
                      <w:szCs w:val="18"/>
                      <w:lang w:val="en-US" w:eastAsia="zh-CN"/>
                    </w:rPr>
                    <w:t>407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40" w:hRule="atLeast"/>
                <w:jc w:val="center"/>
              </w:trPr>
              <w:tc>
                <w:tcPr>
                  <w:tcW w:w="1247"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氨氮</w:t>
                  </w:r>
                </w:p>
              </w:tc>
              <w:tc>
                <w:tcPr>
                  <w:tcW w:w="1766" w:type="dxa"/>
                  <w:tcBorders>
                    <w:top w:val="single" w:color="000000" w:sz="6" w:space="0"/>
                    <w:left w:val="single" w:color="000000" w:sz="6" w:space="0"/>
                    <w:bottom w:val="single" w:color="000000" w:sz="6" w:space="0"/>
                    <w:right w:val="single" w:color="000000" w:sz="6" w:space="0"/>
                  </w:tcBorders>
                  <w:vAlign w:val="center"/>
                </w:tcPr>
                <w:p>
                  <w:pPr>
                    <w:jc w:val="center"/>
                    <w:rPr>
                      <w:sz w:val="18"/>
                      <w:szCs w:val="18"/>
                    </w:rPr>
                  </w:pPr>
                  <w:r>
                    <w:rPr>
                      <w:sz w:val="18"/>
                      <w:szCs w:val="18"/>
                    </w:rPr>
                    <w:t>30</w:t>
                  </w:r>
                </w:p>
              </w:tc>
              <w:tc>
                <w:tcPr>
                  <w:tcW w:w="1790" w:type="dxa"/>
                  <w:tcBorders>
                    <w:top w:val="single" w:color="000000" w:sz="6" w:space="0"/>
                    <w:left w:val="single" w:color="000000" w:sz="6" w:space="0"/>
                    <w:bottom w:val="single" w:color="000000" w:sz="6" w:space="0"/>
                    <w:right w:val="single" w:color="000000" w:sz="6" w:space="0"/>
                  </w:tcBorders>
                  <w:vAlign w:val="center"/>
                </w:tcPr>
                <w:p>
                  <w:pPr>
                    <w:widowControl/>
                    <w:jc w:val="center"/>
                    <w:textAlignment w:val="bottom"/>
                    <w:rPr>
                      <w:rFonts w:hint="default" w:eastAsia="宋体"/>
                      <w:sz w:val="18"/>
                      <w:szCs w:val="18"/>
                      <w:lang w:val="en-US" w:eastAsia="zh-CN"/>
                    </w:rPr>
                  </w:pPr>
                  <w:r>
                    <w:rPr>
                      <w:kern w:val="0"/>
                      <w:sz w:val="18"/>
                      <w:szCs w:val="18"/>
                      <w:lang w:bidi="ar"/>
                    </w:rPr>
                    <w:t>0.00</w:t>
                  </w:r>
                  <w:r>
                    <w:rPr>
                      <w:rFonts w:hint="eastAsia"/>
                      <w:kern w:val="0"/>
                      <w:sz w:val="18"/>
                      <w:szCs w:val="18"/>
                      <w:lang w:val="en-US" w:eastAsia="zh-CN" w:bidi="ar"/>
                    </w:rPr>
                    <w:t>58</w:t>
                  </w:r>
                </w:p>
              </w:tc>
              <w:tc>
                <w:tcPr>
                  <w:tcW w:w="1607" w:type="dxa"/>
                  <w:tcBorders>
                    <w:top w:val="single" w:color="000000" w:sz="6" w:space="0"/>
                    <w:left w:val="single" w:color="000000" w:sz="6" w:space="0"/>
                    <w:bottom w:val="single" w:color="000000" w:sz="6" w:space="0"/>
                    <w:right w:val="single" w:color="auto" w:sz="4" w:space="0"/>
                  </w:tcBorders>
                  <w:vAlign w:val="center"/>
                </w:tcPr>
                <w:p>
                  <w:pPr>
                    <w:jc w:val="center"/>
                    <w:rPr>
                      <w:sz w:val="18"/>
                      <w:szCs w:val="18"/>
                    </w:rPr>
                  </w:pPr>
                  <w:r>
                    <w:rPr>
                      <w:sz w:val="18"/>
                      <w:szCs w:val="18"/>
                    </w:rPr>
                    <w:t>29</w:t>
                  </w:r>
                </w:p>
              </w:tc>
              <w:tc>
                <w:tcPr>
                  <w:tcW w:w="1744" w:type="dxa"/>
                  <w:tcBorders>
                    <w:top w:val="single" w:color="000000" w:sz="6" w:space="0"/>
                    <w:left w:val="single" w:color="auto" w:sz="4" w:space="0"/>
                    <w:bottom w:val="single" w:color="000000" w:sz="6" w:space="0"/>
                    <w:right w:val="single" w:color="000000" w:sz="6" w:space="0"/>
                  </w:tcBorders>
                  <w:vAlign w:val="center"/>
                </w:tcPr>
                <w:p>
                  <w:pPr>
                    <w:widowControl/>
                    <w:jc w:val="center"/>
                    <w:textAlignment w:val="bottom"/>
                    <w:rPr>
                      <w:rFonts w:hint="default" w:eastAsia="宋体"/>
                      <w:sz w:val="18"/>
                      <w:szCs w:val="18"/>
                      <w:lang w:val="en-US" w:eastAsia="zh-CN"/>
                    </w:rPr>
                  </w:pPr>
                  <w:r>
                    <w:rPr>
                      <w:sz w:val="18"/>
                      <w:szCs w:val="18"/>
                    </w:rPr>
                    <w:t>0.00</w:t>
                  </w:r>
                  <w:r>
                    <w:rPr>
                      <w:rFonts w:hint="eastAsia"/>
                      <w:sz w:val="18"/>
                      <w:szCs w:val="18"/>
                      <w:lang w:val="en-US" w:eastAsia="zh-CN"/>
                    </w:rPr>
                    <w:t>56</w:t>
                  </w:r>
                </w:p>
              </w:tc>
            </w:tr>
          </w:tbl>
          <w:p>
            <w:pPr>
              <w:pStyle w:val="730"/>
              <w:snapToGrid w:val="0"/>
              <w:spacing w:before="120" w:beforeLines="50" w:line="360" w:lineRule="auto"/>
              <w:ind w:firstLine="420" w:firstLineChars="200"/>
              <w:rPr>
                <w:color w:val="auto"/>
                <w:sz w:val="21"/>
                <w:szCs w:val="21"/>
              </w:rPr>
            </w:pPr>
            <w:r>
              <w:rPr>
                <w:color w:val="auto"/>
                <w:sz w:val="21"/>
                <w:szCs w:val="21"/>
              </w:rPr>
              <w:t>本项目生活污水治理及排放信息汇总如下：</w:t>
            </w:r>
          </w:p>
          <w:p>
            <w:pPr>
              <w:adjustRightInd w:val="0"/>
              <w:snapToGrid w:val="0"/>
              <w:spacing w:line="360" w:lineRule="auto"/>
              <w:jc w:val="center"/>
              <w:rPr>
                <w:b/>
              </w:rPr>
            </w:pPr>
            <w:r>
              <w:rPr>
                <w:b/>
              </w:rPr>
              <w:t>表4-1</w:t>
            </w:r>
            <w:r>
              <w:rPr>
                <w:rFonts w:hint="eastAsia"/>
                <w:b/>
              </w:rPr>
              <w:t>7</w:t>
            </w:r>
            <w:r>
              <w:rPr>
                <w:b/>
              </w:rPr>
              <w:t>废水类别、污染物及污染治理设施信息表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7"/>
              <w:gridCol w:w="899"/>
              <w:gridCol w:w="470"/>
              <w:gridCol w:w="532"/>
              <w:gridCol w:w="505"/>
              <w:gridCol w:w="643"/>
              <w:gridCol w:w="686"/>
              <w:gridCol w:w="485"/>
              <w:gridCol w:w="600"/>
              <w:gridCol w:w="592"/>
              <w:gridCol w:w="585"/>
              <w:gridCol w:w="608"/>
              <w:gridCol w:w="653"/>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 w:type="dxa"/>
                  <w:vMerge w:val="restart"/>
                  <w:vAlign w:val="center"/>
                </w:tcPr>
                <w:p>
                  <w:pPr>
                    <w:jc w:val="center"/>
                    <w:rPr>
                      <w:b/>
                      <w:bCs/>
                      <w:sz w:val="18"/>
                      <w:szCs w:val="18"/>
                    </w:rPr>
                  </w:pPr>
                  <w:r>
                    <w:rPr>
                      <w:b/>
                      <w:bCs/>
                      <w:sz w:val="18"/>
                      <w:szCs w:val="18"/>
                    </w:rPr>
                    <w:t>产污环节</w:t>
                  </w:r>
                </w:p>
              </w:tc>
              <w:tc>
                <w:tcPr>
                  <w:tcW w:w="899" w:type="dxa"/>
                  <w:vMerge w:val="restart"/>
                  <w:vAlign w:val="center"/>
                </w:tcPr>
                <w:p>
                  <w:pPr>
                    <w:jc w:val="center"/>
                    <w:rPr>
                      <w:b/>
                      <w:bCs/>
                      <w:sz w:val="18"/>
                      <w:szCs w:val="18"/>
                    </w:rPr>
                  </w:pPr>
                  <w:r>
                    <w:rPr>
                      <w:b/>
                      <w:bCs/>
                      <w:sz w:val="18"/>
                      <w:szCs w:val="18"/>
                    </w:rPr>
                    <w:t>污染物</w:t>
                  </w:r>
                </w:p>
                <w:p>
                  <w:pPr>
                    <w:jc w:val="center"/>
                    <w:rPr>
                      <w:b/>
                      <w:bCs/>
                      <w:sz w:val="18"/>
                      <w:szCs w:val="18"/>
                    </w:rPr>
                  </w:pPr>
                  <w:r>
                    <w:rPr>
                      <w:b/>
                      <w:bCs/>
                      <w:sz w:val="18"/>
                      <w:szCs w:val="18"/>
                    </w:rPr>
                    <w:t>种类</w:t>
                  </w:r>
                </w:p>
              </w:tc>
              <w:tc>
                <w:tcPr>
                  <w:tcW w:w="470" w:type="dxa"/>
                  <w:vMerge w:val="restart"/>
                  <w:vAlign w:val="center"/>
                </w:tcPr>
                <w:p>
                  <w:pPr>
                    <w:jc w:val="center"/>
                    <w:rPr>
                      <w:b/>
                      <w:bCs/>
                      <w:sz w:val="18"/>
                      <w:szCs w:val="18"/>
                    </w:rPr>
                  </w:pPr>
                  <w:r>
                    <w:rPr>
                      <w:b/>
                      <w:bCs/>
                      <w:sz w:val="18"/>
                      <w:szCs w:val="18"/>
                    </w:rPr>
                    <w:t>废水类别</w:t>
                  </w:r>
                </w:p>
              </w:tc>
              <w:tc>
                <w:tcPr>
                  <w:tcW w:w="2851" w:type="dxa"/>
                  <w:gridSpan w:val="5"/>
                  <w:vAlign w:val="center"/>
                </w:tcPr>
                <w:p>
                  <w:pPr>
                    <w:jc w:val="center"/>
                    <w:rPr>
                      <w:b/>
                      <w:bCs/>
                      <w:sz w:val="18"/>
                      <w:szCs w:val="18"/>
                    </w:rPr>
                  </w:pPr>
                  <w:r>
                    <w:rPr>
                      <w:b/>
                      <w:bCs/>
                      <w:sz w:val="18"/>
                      <w:szCs w:val="18"/>
                    </w:rPr>
                    <w:t>污染治理设施</w:t>
                  </w:r>
                </w:p>
              </w:tc>
              <w:tc>
                <w:tcPr>
                  <w:tcW w:w="600" w:type="dxa"/>
                  <w:vMerge w:val="restart"/>
                  <w:vAlign w:val="center"/>
                </w:tcPr>
                <w:p>
                  <w:pPr>
                    <w:jc w:val="center"/>
                    <w:rPr>
                      <w:b/>
                      <w:bCs/>
                      <w:sz w:val="18"/>
                      <w:szCs w:val="18"/>
                    </w:rPr>
                  </w:pPr>
                  <w:r>
                    <w:rPr>
                      <w:b/>
                      <w:bCs/>
                      <w:sz w:val="18"/>
                      <w:szCs w:val="18"/>
                    </w:rPr>
                    <w:t>排放</w:t>
                  </w:r>
                </w:p>
                <w:p>
                  <w:pPr>
                    <w:jc w:val="center"/>
                    <w:rPr>
                      <w:b/>
                      <w:bCs/>
                      <w:sz w:val="18"/>
                      <w:szCs w:val="18"/>
                    </w:rPr>
                  </w:pPr>
                  <w:r>
                    <w:rPr>
                      <w:b/>
                      <w:bCs/>
                      <w:sz w:val="18"/>
                      <w:szCs w:val="18"/>
                    </w:rPr>
                    <w:t>去向</w:t>
                  </w:r>
                </w:p>
              </w:tc>
              <w:tc>
                <w:tcPr>
                  <w:tcW w:w="592" w:type="dxa"/>
                  <w:vMerge w:val="restart"/>
                  <w:vAlign w:val="center"/>
                </w:tcPr>
                <w:p>
                  <w:pPr>
                    <w:jc w:val="center"/>
                    <w:rPr>
                      <w:b/>
                      <w:bCs/>
                      <w:sz w:val="18"/>
                      <w:szCs w:val="18"/>
                    </w:rPr>
                  </w:pPr>
                  <w:r>
                    <w:rPr>
                      <w:b/>
                      <w:bCs/>
                      <w:sz w:val="18"/>
                      <w:szCs w:val="18"/>
                    </w:rPr>
                    <w:t>排放</w:t>
                  </w:r>
                </w:p>
                <w:p>
                  <w:pPr>
                    <w:jc w:val="center"/>
                    <w:rPr>
                      <w:b/>
                      <w:bCs/>
                      <w:sz w:val="18"/>
                      <w:szCs w:val="18"/>
                    </w:rPr>
                  </w:pPr>
                  <w:r>
                    <w:rPr>
                      <w:b/>
                      <w:bCs/>
                      <w:sz w:val="18"/>
                      <w:szCs w:val="18"/>
                    </w:rPr>
                    <w:t>方式</w:t>
                  </w:r>
                </w:p>
              </w:tc>
              <w:tc>
                <w:tcPr>
                  <w:tcW w:w="585" w:type="dxa"/>
                  <w:vMerge w:val="restart"/>
                  <w:vAlign w:val="center"/>
                </w:tcPr>
                <w:p>
                  <w:pPr>
                    <w:jc w:val="center"/>
                    <w:rPr>
                      <w:b/>
                      <w:bCs/>
                      <w:sz w:val="18"/>
                      <w:szCs w:val="18"/>
                    </w:rPr>
                  </w:pPr>
                  <w:r>
                    <w:rPr>
                      <w:b/>
                      <w:bCs/>
                      <w:sz w:val="18"/>
                      <w:szCs w:val="18"/>
                    </w:rPr>
                    <w:t>排放</w:t>
                  </w:r>
                </w:p>
                <w:p>
                  <w:pPr>
                    <w:jc w:val="center"/>
                    <w:rPr>
                      <w:b/>
                      <w:bCs/>
                      <w:sz w:val="18"/>
                      <w:szCs w:val="18"/>
                    </w:rPr>
                  </w:pPr>
                  <w:r>
                    <w:rPr>
                      <w:b/>
                      <w:bCs/>
                      <w:sz w:val="18"/>
                      <w:szCs w:val="18"/>
                    </w:rPr>
                    <w:t>规律</w:t>
                  </w:r>
                </w:p>
              </w:tc>
              <w:tc>
                <w:tcPr>
                  <w:tcW w:w="608" w:type="dxa"/>
                  <w:vMerge w:val="restart"/>
                  <w:vAlign w:val="center"/>
                </w:tcPr>
                <w:p>
                  <w:pPr>
                    <w:jc w:val="center"/>
                    <w:rPr>
                      <w:b/>
                      <w:bCs/>
                      <w:sz w:val="18"/>
                      <w:szCs w:val="18"/>
                    </w:rPr>
                  </w:pPr>
                  <w:r>
                    <w:rPr>
                      <w:b/>
                      <w:bCs/>
                      <w:sz w:val="18"/>
                      <w:szCs w:val="18"/>
                    </w:rPr>
                    <w:t>排放口编号</w:t>
                  </w:r>
                </w:p>
              </w:tc>
              <w:tc>
                <w:tcPr>
                  <w:tcW w:w="653" w:type="dxa"/>
                  <w:vMerge w:val="restart"/>
                  <w:vAlign w:val="center"/>
                </w:tcPr>
                <w:p>
                  <w:pPr>
                    <w:jc w:val="center"/>
                    <w:rPr>
                      <w:b/>
                      <w:bCs/>
                      <w:sz w:val="18"/>
                      <w:szCs w:val="18"/>
                    </w:rPr>
                  </w:pPr>
                  <w:r>
                    <w:rPr>
                      <w:b/>
                      <w:bCs/>
                      <w:sz w:val="18"/>
                      <w:szCs w:val="18"/>
                    </w:rPr>
                    <w:t>排放口名称</w:t>
                  </w:r>
                </w:p>
              </w:tc>
              <w:tc>
                <w:tcPr>
                  <w:tcW w:w="608" w:type="dxa"/>
                  <w:vMerge w:val="restart"/>
                  <w:vAlign w:val="center"/>
                </w:tcPr>
                <w:p>
                  <w:pPr>
                    <w:jc w:val="center"/>
                    <w:rPr>
                      <w:b/>
                      <w:bCs/>
                      <w:sz w:val="18"/>
                      <w:szCs w:val="18"/>
                    </w:rPr>
                  </w:pPr>
                  <w:r>
                    <w:rPr>
                      <w:b/>
                      <w:bCs/>
                      <w:sz w:val="18"/>
                      <w:szCs w:val="18"/>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 w:type="dxa"/>
                  <w:vMerge w:val="continue"/>
                  <w:vAlign w:val="center"/>
                </w:tcPr>
                <w:p>
                  <w:pPr>
                    <w:jc w:val="center"/>
                    <w:rPr>
                      <w:sz w:val="18"/>
                      <w:szCs w:val="18"/>
                    </w:rPr>
                  </w:pPr>
                </w:p>
              </w:tc>
              <w:tc>
                <w:tcPr>
                  <w:tcW w:w="899" w:type="dxa"/>
                  <w:vMerge w:val="continue"/>
                  <w:vAlign w:val="center"/>
                </w:tcPr>
                <w:p>
                  <w:pPr>
                    <w:jc w:val="center"/>
                    <w:rPr>
                      <w:sz w:val="18"/>
                      <w:szCs w:val="18"/>
                    </w:rPr>
                  </w:pPr>
                </w:p>
              </w:tc>
              <w:tc>
                <w:tcPr>
                  <w:tcW w:w="470" w:type="dxa"/>
                  <w:vMerge w:val="continue"/>
                  <w:vAlign w:val="center"/>
                </w:tcPr>
                <w:p>
                  <w:pPr>
                    <w:jc w:val="center"/>
                    <w:rPr>
                      <w:sz w:val="18"/>
                      <w:szCs w:val="18"/>
                    </w:rPr>
                  </w:pPr>
                </w:p>
              </w:tc>
              <w:tc>
                <w:tcPr>
                  <w:tcW w:w="532" w:type="dxa"/>
                  <w:vAlign w:val="center"/>
                </w:tcPr>
                <w:p>
                  <w:pPr>
                    <w:jc w:val="center"/>
                    <w:rPr>
                      <w:b/>
                      <w:bCs/>
                      <w:sz w:val="18"/>
                      <w:szCs w:val="18"/>
                    </w:rPr>
                  </w:pPr>
                  <w:r>
                    <w:rPr>
                      <w:b/>
                      <w:bCs/>
                      <w:sz w:val="18"/>
                      <w:szCs w:val="18"/>
                    </w:rPr>
                    <w:t>设施类型</w:t>
                  </w:r>
                </w:p>
              </w:tc>
              <w:tc>
                <w:tcPr>
                  <w:tcW w:w="505" w:type="dxa"/>
                  <w:vAlign w:val="center"/>
                </w:tcPr>
                <w:p>
                  <w:pPr>
                    <w:jc w:val="center"/>
                    <w:rPr>
                      <w:b/>
                      <w:bCs/>
                      <w:sz w:val="18"/>
                      <w:szCs w:val="18"/>
                    </w:rPr>
                  </w:pPr>
                  <w:r>
                    <w:rPr>
                      <w:b/>
                      <w:bCs/>
                      <w:sz w:val="18"/>
                      <w:szCs w:val="18"/>
                    </w:rPr>
                    <w:t>处理</w:t>
                  </w:r>
                </w:p>
                <w:p>
                  <w:pPr>
                    <w:jc w:val="center"/>
                    <w:rPr>
                      <w:b/>
                      <w:bCs/>
                      <w:sz w:val="18"/>
                      <w:szCs w:val="18"/>
                    </w:rPr>
                  </w:pPr>
                  <w:r>
                    <w:rPr>
                      <w:b/>
                      <w:bCs/>
                      <w:sz w:val="18"/>
                      <w:szCs w:val="18"/>
                    </w:rPr>
                    <w:t>工艺</w:t>
                  </w:r>
                </w:p>
              </w:tc>
              <w:tc>
                <w:tcPr>
                  <w:tcW w:w="643" w:type="dxa"/>
                  <w:vAlign w:val="center"/>
                </w:tcPr>
                <w:p>
                  <w:pPr>
                    <w:jc w:val="center"/>
                    <w:rPr>
                      <w:b/>
                      <w:bCs/>
                      <w:sz w:val="18"/>
                      <w:szCs w:val="18"/>
                    </w:rPr>
                  </w:pPr>
                  <w:r>
                    <w:rPr>
                      <w:b/>
                      <w:bCs/>
                      <w:sz w:val="18"/>
                      <w:szCs w:val="18"/>
                    </w:rPr>
                    <w:t>处理</w:t>
                  </w:r>
                </w:p>
                <w:p>
                  <w:pPr>
                    <w:jc w:val="center"/>
                    <w:rPr>
                      <w:b/>
                      <w:bCs/>
                      <w:sz w:val="18"/>
                      <w:szCs w:val="18"/>
                    </w:rPr>
                  </w:pPr>
                  <w:r>
                    <w:rPr>
                      <w:b/>
                      <w:bCs/>
                      <w:sz w:val="18"/>
                      <w:szCs w:val="18"/>
                    </w:rPr>
                    <w:t>能力（t/h）</w:t>
                  </w:r>
                </w:p>
              </w:tc>
              <w:tc>
                <w:tcPr>
                  <w:tcW w:w="686" w:type="dxa"/>
                  <w:vAlign w:val="center"/>
                </w:tcPr>
                <w:p>
                  <w:pPr>
                    <w:jc w:val="center"/>
                    <w:rPr>
                      <w:b/>
                      <w:bCs/>
                      <w:sz w:val="18"/>
                      <w:szCs w:val="18"/>
                    </w:rPr>
                  </w:pPr>
                  <w:r>
                    <w:rPr>
                      <w:b/>
                      <w:bCs/>
                      <w:sz w:val="18"/>
                      <w:szCs w:val="18"/>
                    </w:rPr>
                    <w:t>是否为可行技术</w:t>
                  </w:r>
                </w:p>
              </w:tc>
              <w:tc>
                <w:tcPr>
                  <w:tcW w:w="485" w:type="dxa"/>
                  <w:vAlign w:val="center"/>
                </w:tcPr>
                <w:p>
                  <w:pPr>
                    <w:jc w:val="center"/>
                    <w:rPr>
                      <w:b/>
                      <w:bCs/>
                      <w:sz w:val="18"/>
                      <w:szCs w:val="18"/>
                    </w:rPr>
                  </w:pPr>
                  <w:r>
                    <w:rPr>
                      <w:b/>
                      <w:bCs/>
                      <w:sz w:val="18"/>
                      <w:szCs w:val="18"/>
                    </w:rPr>
                    <w:t>设施名称</w:t>
                  </w:r>
                </w:p>
              </w:tc>
              <w:tc>
                <w:tcPr>
                  <w:tcW w:w="600" w:type="dxa"/>
                  <w:vMerge w:val="continue"/>
                  <w:vAlign w:val="center"/>
                </w:tcPr>
                <w:p>
                  <w:pPr>
                    <w:jc w:val="center"/>
                    <w:rPr>
                      <w:sz w:val="18"/>
                      <w:szCs w:val="18"/>
                    </w:rPr>
                  </w:pPr>
                </w:p>
              </w:tc>
              <w:tc>
                <w:tcPr>
                  <w:tcW w:w="592" w:type="dxa"/>
                  <w:vMerge w:val="continue"/>
                  <w:vAlign w:val="center"/>
                </w:tcPr>
                <w:p>
                  <w:pPr>
                    <w:jc w:val="center"/>
                    <w:rPr>
                      <w:sz w:val="18"/>
                      <w:szCs w:val="18"/>
                    </w:rPr>
                  </w:pPr>
                </w:p>
              </w:tc>
              <w:tc>
                <w:tcPr>
                  <w:tcW w:w="585" w:type="dxa"/>
                  <w:vMerge w:val="continue"/>
                  <w:vAlign w:val="center"/>
                </w:tcPr>
                <w:p>
                  <w:pPr>
                    <w:jc w:val="center"/>
                    <w:rPr>
                      <w:sz w:val="18"/>
                      <w:szCs w:val="18"/>
                    </w:rPr>
                  </w:pPr>
                </w:p>
              </w:tc>
              <w:tc>
                <w:tcPr>
                  <w:tcW w:w="608" w:type="dxa"/>
                  <w:vMerge w:val="continue"/>
                  <w:vAlign w:val="center"/>
                </w:tcPr>
                <w:p>
                  <w:pPr>
                    <w:jc w:val="center"/>
                    <w:rPr>
                      <w:sz w:val="18"/>
                      <w:szCs w:val="18"/>
                    </w:rPr>
                  </w:pPr>
                </w:p>
              </w:tc>
              <w:tc>
                <w:tcPr>
                  <w:tcW w:w="653" w:type="dxa"/>
                  <w:vMerge w:val="continue"/>
                  <w:vAlign w:val="center"/>
                </w:tcPr>
                <w:p>
                  <w:pPr>
                    <w:jc w:val="center"/>
                    <w:rPr>
                      <w:sz w:val="18"/>
                      <w:szCs w:val="18"/>
                    </w:rPr>
                  </w:pPr>
                </w:p>
              </w:tc>
              <w:tc>
                <w:tcPr>
                  <w:tcW w:w="608"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 w:type="dxa"/>
                  <w:vAlign w:val="center"/>
                </w:tcPr>
                <w:p>
                  <w:pPr>
                    <w:jc w:val="center"/>
                    <w:rPr>
                      <w:sz w:val="18"/>
                      <w:szCs w:val="18"/>
                    </w:rPr>
                  </w:pPr>
                  <w:r>
                    <w:rPr>
                      <w:sz w:val="18"/>
                      <w:szCs w:val="18"/>
                    </w:rPr>
                    <w:t>职工生活</w:t>
                  </w:r>
                </w:p>
              </w:tc>
              <w:tc>
                <w:tcPr>
                  <w:tcW w:w="899" w:type="dxa"/>
                  <w:vAlign w:val="center"/>
                </w:tcPr>
                <w:p>
                  <w:pPr>
                    <w:jc w:val="center"/>
                    <w:rPr>
                      <w:sz w:val="18"/>
                      <w:szCs w:val="18"/>
                    </w:rPr>
                  </w:pPr>
                  <w:r>
                    <w:rPr>
                      <w:sz w:val="18"/>
                      <w:szCs w:val="18"/>
                    </w:rPr>
                    <w:t>COD、氨氮、BOD</w:t>
                  </w:r>
                  <w:r>
                    <w:rPr>
                      <w:sz w:val="18"/>
                      <w:szCs w:val="18"/>
                      <w:vertAlign w:val="subscript"/>
                    </w:rPr>
                    <w:t>5</w:t>
                  </w:r>
                  <w:r>
                    <w:rPr>
                      <w:sz w:val="18"/>
                      <w:szCs w:val="18"/>
                    </w:rPr>
                    <w:t>、SS等</w:t>
                  </w:r>
                </w:p>
              </w:tc>
              <w:tc>
                <w:tcPr>
                  <w:tcW w:w="470" w:type="dxa"/>
                  <w:vAlign w:val="center"/>
                </w:tcPr>
                <w:p>
                  <w:pPr>
                    <w:jc w:val="center"/>
                    <w:rPr>
                      <w:sz w:val="18"/>
                      <w:szCs w:val="18"/>
                    </w:rPr>
                  </w:pPr>
                  <w:r>
                    <w:rPr>
                      <w:sz w:val="18"/>
                      <w:szCs w:val="18"/>
                    </w:rPr>
                    <w:t>生活废水</w:t>
                  </w:r>
                </w:p>
              </w:tc>
              <w:tc>
                <w:tcPr>
                  <w:tcW w:w="532" w:type="dxa"/>
                  <w:vAlign w:val="center"/>
                </w:tcPr>
                <w:p>
                  <w:pPr>
                    <w:jc w:val="center"/>
                    <w:rPr>
                      <w:sz w:val="18"/>
                      <w:szCs w:val="18"/>
                    </w:rPr>
                  </w:pPr>
                  <w:r>
                    <w:rPr>
                      <w:sz w:val="18"/>
                      <w:szCs w:val="18"/>
                    </w:rPr>
                    <w:t>预处理设施</w:t>
                  </w:r>
                </w:p>
              </w:tc>
              <w:tc>
                <w:tcPr>
                  <w:tcW w:w="505" w:type="dxa"/>
                  <w:vAlign w:val="center"/>
                </w:tcPr>
                <w:p>
                  <w:pPr>
                    <w:jc w:val="center"/>
                    <w:rPr>
                      <w:sz w:val="18"/>
                      <w:szCs w:val="18"/>
                    </w:rPr>
                  </w:pPr>
                  <w:r>
                    <w:rPr>
                      <w:sz w:val="18"/>
                      <w:szCs w:val="18"/>
                    </w:rPr>
                    <w:t>沉淀</w:t>
                  </w:r>
                </w:p>
              </w:tc>
              <w:tc>
                <w:tcPr>
                  <w:tcW w:w="643" w:type="dxa"/>
                  <w:vAlign w:val="center"/>
                </w:tcPr>
                <w:p>
                  <w:pPr>
                    <w:jc w:val="center"/>
                    <w:rPr>
                      <w:sz w:val="18"/>
                      <w:szCs w:val="18"/>
                    </w:rPr>
                  </w:pPr>
                  <w:r>
                    <w:rPr>
                      <w:sz w:val="18"/>
                      <w:szCs w:val="18"/>
                    </w:rPr>
                    <w:t>2</w:t>
                  </w:r>
                </w:p>
              </w:tc>
              <w:tc>
                <w:tcPr>
                  <w:tcW w:w="686" w:type="dxa"/>
                  <w:vAlign w:val="center"/>
                </w:tcPr>
                <w:p>
                  <w:pPr>
                    <w:jc w:val="center"/>
                    <w:rPr>
                      <w:sz w:val="18"/>
                      <w:szCs w:val="18"/>
                    </w:rPr>
                  </w:pPr>
                  <w:r>
                    <w:rPr>
                      <w:sz w:val="18"/>
                      <w:szCs w:val="18"/>
                    </w:rPr>
                    <w:t>是</w:t>
                  </w:r>
                </w:p>
              </w:tc>
              <w:tc>
                <w:tcPr>
                  <w:tcW w:w="485" w:type="dxa"/>
                  <w:vAlign w:val="center"/>
                </w:tcPr>
                <w:p>
                  <w:pPr>
                    <w:jc w:val="center"/>
                    <w:rPr>
                      <w:sz w:val="18"/>
                      <w:szCs w:val="18"/>
                    </w:rPr>
                  </w:pPr>
                  <w:r>
                    <w:rPr>
                      <w:sz w:val="18"/>
                      <w:szCs w:val="18"/>
                    </w:rPr>
                    <w:t>化粪池</w:t>
                  </w:r>
                </w:p>
              </w:tc>
              <w:tc>
                <w:tcPr>
                  <w:tcW w:w="600" w:type="dxa"/>
                  <w:vAlign w:val="center"/>
                </w:tcPr>
                <w:p>
                  <w:pPr>
                    <w:jc w:val="center"/>
                    <w:rPr>
                      <w:sz w:val="18"/>
                      <w:szCs w:val="18"/>
                    </w:rPr>
                  </w:pPr>
                  <w:r>
                    <w:rPr>
                      <w:sz w:val="18"/>
                      <w:szCs w:val="18"/>
                    </w:rPr>
                    <w:t>不排放</w:t>
                  </w:r>
                </w:p>
              </w:tc>
              <w:tc>
                <w:tcPr>
                  <w:tcW w:w="592" w:type="dxa"/>
                  <w:vAlign w:val="center"/>
                </w:tcPr>
                <w:p>
                  <w:pPr>
                    <w:jc w:val="center"/>
                    <w:rPr>
                      <w:sz w:val="18"/>
                      <w:szCs w:val="18"/>
                    </w:rPr>
                  </w:pPr>
                  <w:r>
                    <w:rPr>
                      <w:sz w:val="18"/>
                      <w:szCs w:val="18"/>
                    </w:rPr>
                    <w:t>不排放</w:t>
                  </w:r>
                </w:p>
              </w:tc>
              <w:tc>
                <w:tcPr>
                  <w:tcW w:w="585" w:type="dxa"/>
                  <w:vAlign w:val="center"/>
                </w:tcPr>
                <w:p>
                  <w:pPr>
                    <w:jc w:val="center"/>
                    <w:rPr>
                      <w:sz w:val="18"/>
                      <w:szCs w:val="18"/>
                    </w:rPr>
                  </w:pPr>
                  <w:r>
                    <w:rPr>
                      <w:sz w:val="18"/>
                      <w:szCs w:val="18"/>
                    </w:rPr>
                    <w:t>-</w:t>
                  </w:r>
                </w:p>
              </w:tc>
              <w:tc>
                <w:tcPr>
                  <w:tcW w:w="608" w:type="dxa"/>
                  <w:vAlign w:val="center"/>
                </w:tcPr>
                <w:p>
                  <w:pPr>
                    <w:jc w:val="center"/>
                    <w:rPr>
                      <w:sz w:val="18"/>
                      <w:szCs w:val="18"/>
                    </w:rPr>
                  </w:pPr>
                  <w:r>
                    <w:rPr>
                      <w:sz w:val="18"/>
                      <w:szCs w:val="18"/>
                    </w:rPr>
                    <w:t>-</w:t>
                  </w:r>
                </w:p>
              </w:tc>
              <w:tc>
                <w:tcPr>
                  <w:tcW w:w="653" w:type="dxa"/>
                  <w:vAlign w:val="center"/>
                </w:tcPr>
                <w:p>
                  <w:pPr>
                    <w:jc w:val="center"/>
                    <w:rPr>
                      <w:sz w:val="18"/>
                      <w:szCs w:val="18"/>
                    </w:rPr>
                  </w:pPr>
                  <w:r>
                    <w:rPr>
                      <w:sz w:val="18"/>
                      <w:szCs w:val="18"/>
                    </w:rPr>
                    <w:t>-</w:t>
                  </w:r>
                </w:p>
              </w:tc>
              <w:tc>
                <w:tcPr>
                  <w:tcW w:w="608" w:type="dxa"/>
                  <w:vAlign w:val="center"/>
                </w:tcPr>
                <w:p>
                  <w:pPr>
                    <w:jc w:val="center"/>
                    <w:rPr>
                      <w:sz w:val="18"/>
                      <w:szCs w:val="18"/>
                    </w:rPr>
                  </w:pPr>
                  <w:r>
                    <w:rPr>
                      <w:sz w:val="18"/>
                      <w:szCs w:val="18"/>
                    </w:rPr>
                    <w:t>-</w:t>
                  </w:r>
                </w:p>
              </w:tc>
            </w:tr>
          </w:tbl>
          <w:p>
            <w:pPr>
              <w:spacing w:line="420" w:lineRule="exact"/>
              <w:ind w:firstLine="420" w:firstLineChars="200"/>
            </w:pPr>
            <w:r>
              <w:rPr>
                <w:bCs/>
              </w:rPr>
              <w:t>综上，</w:t>
            </w:r>
            <w:r>
              <w:t>项目化粪池做好防渗、防泄漏措施，项目在落实好各项环保设施的情况下，不会对周边地表水环境造成影响。</w:t>
            </w:r>
          </w:p>
          <w:p>
            <w:pPr>
              <w:spacing w:line="420" w:lineRule="exact"/>
              <w:ind w:firstLine="422" w:firstLineChars="200"/>
              <w:rPr>
                <w:b/>
                <w:bCs/>
              </w:rPr>
            </w:pPr>
            <w:r>
              <w:rPr>
                <w:b/>
                <w:bCs/>
              </w:rPr>
              <w:t>三、噪声：</w:t>
            </w:r>
          </w:p>
          <w:p>
            <w:pPr>
              <w:spacing w:line="420" w:lineRule="exact"/>
              <w:ind w:firstLine="422" w:firstLineChars="200"/>
              <w:rPr>
                <w:b/>
                <w:bCs/>
                <w:lang w:val="de-DE"/>
              </w:rPr>
            </w:pPr>
            <w:r>
              <w:rPr>
                <w:b/>
                <w:bCs/>
                <w:lang w:val="de-DE"/>
              </w:rPr>
              <w:t>1、噪声源强及降噪措施</w:t>
            </w:r>
          </w:p>
          <w:p>
            <w:pPr>
              <w:spacing w:line="420" w:lineRule="exact"/>
              <w:ind w:firstLine="420" w:firstLineChars="200"/>
              <w:rPr>
                <w:bCs/>
              </w:rPr>
            </w:pPr>
            <w:r>
              <w:rPr>
                <w:bCs/>
              </w:rPr>
              <w:t>本项目</w:t>
            </w:r>
            <w:r>
              <w:t>声源主要是</w:t>
            </w:r>
            <w:r>
              <w:rPr>
                <w:rFonts w:hint="eastAsia"/>
                <w:lang w:eastAsia="zh-CN"/>
              </w:rPr>
              <w:t>全自动预覆膜机、彩盒生产线、瓦楞生</w:t>
            </w:r>
            <w:r>
              <w:rPr>
                <w:rFonts w:hint="eastAsia"/>
                <w:bCs/>
                <w:lang w:eastAsia="zh-CN"/>
              </w:rPr>
              <w:t>产线、</w:t>
            </w:r>
            <w:r>
              <w:rPr>
                <w:rFonts w:hint="eastAsia"/>
                <w:bCs/>
                <w:lang w:val="en-US" w:eastAsia="zh-CN"/>
              </w:rPr>
              <w:t>平压平切纸机</w:t>
            </w:r>
            <w:r>
              <w:rPr>
                <w:rFonts w:hint="eastAsia"/>
                <w:bCs/>
                <w:lang w:eastAsia="zh-CN"/>
              </w:rPr>
              <w:t>、贴面机、风机</w:t>
            </w:r>
            <w:r>
              <w:t>等设备</w:t>
            </w:r>
            <w:r>
              <w:rPr>
                <w:lang w:val="de-DE"/>
              </w:rPr>
              <w:t>产生的噪声，根据国内同类行业的车间内噪声值的经验数据，其噪声级在</w:t>
            </w:r>
            <w:r>
              <w:rPr>
                <w:rFonts w:hint="eastAsia"/>
                <w:lang w:val="en-US" w:eastAsia="zh-CN"/>
              </w:rPr>
              <w:t>65</w:t>
            </w:r>
            <w:r>
              <w:t>-</w:t>
            </w:r>
            <w:r>
              <w:rPr>
                <w:rFonts w:hint="eastAsia"/>
                <w:lang w:val="en-US" w:eastAsia="zh-CN"/>
              </w:rPr>
              <w:t>90</w:t>
            </w:r>
            <w:r>
              <w:rPr>
                <w:lang w:val="de-DE"/>
              </w:rPr>
              <w:t>dB（A）之间</w:t>
            </w:r>
            <w:r>
              <w:t>。</w:t>
            </w:r>
            <w:r>
              <w:rPr>
                <w:rFonts w:hint="eastAsia"/>
                <w:lang w:eastAsia="zh-CN"/>
              </w:rPr>
              <w:t>所有</w:t>
            </w:r>
            <w:r>
              <w:t>设备噪声持续排放时间为昼间8h。根据不同的噪声设备采取针对性的噪声治理措施如基础减振、柔性接口、隔音房、消音器、隔声罩等设施，采用消音措施后可削减现有源强20～25dB（A）。噪声源详情见下表。</w:t>
            </w:r>
          </w:p>
          <w:p>
            <w:pPr>
              <w:spacing w:line="420" w:lineRule="exact"/>
              <w:ind w:firstLine="422" w:firstLineChars="200"/>
              <w:jc w:val="center"/>
              <w:rPr>
                <w:rFonts w:hint="eastAsia" w:eastAsia="宋体"/>
                <w:b/>
                <w:sz w:val="24"/>
                <w:szCs w:val="24"/>
                <w:highlight w:val="none"/>
                <w:lang w:eastAsia="zh-CN"/>
              </w:rPr>
            </w:pPr>
            <w:r>
              <w:rPr>
                <w:b/>
                <w:bCs/>
                <w:highlight w:val="none"/>
              </w:rPr>
              <w:t>表4-</w:t>
            </w:r>
            <w:r>
              <w:rPr>
                <w:rFonts w:hint="eastAsia"/>
                <w:b/>
                <w:bCs/>
                <w:highlight w:val="none"/>
              </w:rPr>
              <w:t>1</w:t>
            </w:r>
            <w:r>
              <w:rPr>
                <w:rFonts w:hint="eastAsia"/>
                <w:b/>
                <w:bCs/>
                <w:highlight w:val="none"/>
                <w:lang w:val="en-US" w:eastAsia="zh-CN"/>
              </w:rPr>
              <w:t>3</w:t>
            </w:r>
            <w:r>
              <w:rPr>
                <w:b/>
                <w:bCs/>
                <w:highlight w:val="none"/>
              </w:rPr>
              <w:t>本项目设备噪声产生情况</w:t>
            </w:r>
            <w:r>
              <w:rPr>
                <w:rFonts w:hint="eastAsia"/>
                <w:b/>
                <w:bCs/>
                <w:highlight w:val="none"/>
                <w:lang w:eastAsia="zh-CN"/>
              </w:rPr>
              <w:t>（室内声源）</w:t>
            </w:r>
          </w:p>
          <w:tbl>
            <w:tblPr>
              <w:tblStyle w:val="138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
              <w:gridCol w:w="355"/>
              <w:gridCol w:w="767"/>
              <w:gridCol w:w="628"/>
              <w:gridCol w:w="611"/>
              <w:gridCol w:w="691"/>
              <w:gridCol w:w="524"/>
              <w:gridCol w:w="486"/>
              <w:gridCol w:w="425"/>
              <w:gridCol w:w="390"/>
              <w:gridCol w:w="613"/>
              <w:gridCol w:w="963"/>
              <w:gridCol w:w="616"/>
              <w:gridCol w:w="611"/>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3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序号</w:t>
                  </w:r>
                </w:p>
              </w:tc>
              <w:tc>
                <w:tcPr>
                  <w:tcW w:w="2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建</w:t>
                  </w:r>
                  <w:r>
                    <w:rPr>
                      <w:rFonts w:hint="default" w:ascii="Times New Roman" w:hAnsi="Times New Roman" w:eastAsia="宋体" w:cs="Times New Roman"/>
                      <w:color w:val="auto"/>
                      <w:spacing w:val="-2"/>
                      <w:sz w:val="18"/>
                      <w:szCs w:val="18"/>
                      <w:highlight w:val="none"/>
                    </w:rPr>
                    <w:t>筑物</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2"/>
                      <w:sz w:val="18"/>
                      <w:szCs w:val="18"/>
                      <w:highlight w:val="none"/>
                    </w:rPr>
                    <w:t>名称</w:t>
                  </w:r>
                </w:p>
              </w:tc>
              <w:tc>
                <w:tcPr>
                  <w:tcW w:w="45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源名称</w:t>
                  </w:r>
                </w:p>
              </w:tc>
              <w:tc>
                <w:tcPr>
                  <w:tcW w:w="37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型</w:t>
                  </w:r>
                  <w:r>
                    <w:rPr>
                      <w:rFonts w:hint="default" w:ascii="Times New Roman" w:hAnsi="Times New Roman" w:eastAsia="宋体" w:cs="Times New Roman"/>
                      <w:color w:val="auto"/>
                      <w:spacing w:val="-2"/>
                      <w:sz w:val="18"/>
                      <w:szCs w:val="18"/>
                      <w:highlight w:val="none"/>
                    </w:rPr>
                    <w:t>号</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源源强</w:t>
                  </w:r>
                </w:p>
              </w:tc>
              <w:tc>
                <w:tcPr>
                  <w:tcW w:w="41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声</w:t>
                  </w:r>
                  <w:r>
                    <w:rPr>
                      <w:rFonts w:hint="default" w:ascii="Times New Roman" w:hAnsi="Times New Roman" w:eastAsia="宋体" w:cs="Times New Roman"/>
                      <w:color w:val="auto"/>
                      <w:spacing w:val="-1"/>
                      <w:sz w:val="18"/>
                      <w:szCs w:val="18"/>
                      <w:highlight w:val="none"/>
                    </w:rPr>
                    <w:t>源控制措施</w:t>
                  </w:r>
                </w:p>
              </w:tc>
              <w:tc>
                <w:tcPr>
                  <w:tcW w:w="85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空间相对位</w:t>
                  </w:r>
                  <w:r>
                    <w:rPr>
                      <w:rFonts w:hint="default" w:ascii="Times New Roman" w:hAnsi="Times New Roman" w:eastAsia="宋体" w:cs="Times New Roman"/>
                      <w:color w:val="auto"/>
                      <w:sz w:val="18"/>
                      <w:szCs w:val="18"/>
                      <w:highlight w:val="none"/>
                    </w:rPr>
                    <w:t>置</w:t>
                  </w:r>
                  <w:r>
                    <w:rPr>
                      <w:rFonts w:hint="default" w:ascii="Times New Roman" w:hAnsi="Times New Roman" w:eastAsia="Times New Roman" w:cs="Times New Roman"/>
                      <w:b/>
                      <w:bCs/>
                      <w:color w:val="auto"/>
                      <w:sz w:val="18"/>
                      <w:szCs w:val="18"/>
                      <w:highlight w:val="none"/>
                    </w:rPr>
                    <w:t>/m</w:t>
                  </w:r>
                </w:p>
              </w:tc>
              <w:tc>
                <w:tcPr>
                  <w:tcW w:w="23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距室</w:t>
                  </w:r>
                  <w:r>
                    <w:rPr>
                      <w:rFonts w:hint="default" w:ascii="Times New Roman" w:hAnsi="Times New Roman" w:eastAsia="宋体" w:cs="Times New Roman"/>
                      <w:color w:val="auto"/>
                      <w:spacing w:val="-1"/>
                      <w:sz w:val="18"/>
                      <w:szCs w:val="18"/>
                      <w:highlight w:val="none"/>
                    </w:rPr>
                    <w:t>内</w:t>
                  </w: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边界</w:t>
                  </w:r>
                  <w:r>
                    <w:rPr>
                      <w:rFonts w:hint="default" w:ascii="Times New Roman" w:hAnsi="Times New Roman" w:eastAsia="宋体" w:cs="Times New Roman"/>
                      <w:color w:val="auto"/>
                      <w:spacing w:val="-1"/>
                      <w:sz w:val="18"/>
                      <w:szCs w:val="18"/>
                      <w:highlight w:val="none"/>
                    </w:rPr>
                    <w:t>距</w:t>
                  </w: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离</w:t>
                  </w:r>
                  <w:r>
                    <w:rPr>
                      <w:rFonts w:hint="default" w:ascii="Times New Roman" w:hAnsi="Times New Roman" w:eastAsia="Times New Roman" w:cs="Times New Roman"/>
                      <w:b/>
                      <w:bCs/>
                      <w:color w:val="auto"/>
                      <w:spacing w:val="-2"/>
                      <w:sz w:val="18"/>
                      <w:szCs w:val="18"/>
                      <w:highlight w:val="none"/>
                    </w:rPr>
                    <w:t>/</w:t>
                  </w:r>
                  <w:r>
                    <w:rPr>
                      <w:rFonts w:hint="default" w:ascii="Times New Roman" w:hAnsi="Times New Roman" w:eastAsia="Times New Roman" w:cs="Times New Roman"/>
                      <w:b/>
                      <w:bCs/>
                      <w:color w:val="auto"/>
                      <w:spacing w:val="-1"/>
                      <w:sz w:val="18"/>
                      <w:szCs w:val="18"/>
                      <w:highlight w:val="none"/>
                    </w:rPr>
                    <w:t>m</w:t>
                  </w:r>
                </w:p>
              </w:tc>
              <w:tc>
                <w:tcPr>
                  <w:tcW w:w="36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室</w:t>
                  </w:r>
                  <w:r>
                    <w:rPr>
                      <w:rFonts w:hint="default" w:ascii="Times New Roman" w:hAnsi="Times New Roman" w:eastAsia="宋体" w:cs="Times New Roman"/>
                      <w:color w:val="auto"/>
                      <w:spacing w:val="-2"/>
                      <w:sz w:val="18"/>
                      <w:szCs w:val="18"/>
                      <w:highlight w:val="none"/>
                    </w:rPr>
                    <w:t>内边</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3"/>
                      <w:sz w:val="18"/>
                      <w:szCs w:val="18"/>
                      <w:highlight w:val="none"/>
                    </w:rPr>
                    <w:t>界声级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pacing w:val="1"/>
                      <w:sz w:val="18"/>
                      <w:szCs w:val="18"/>
                      <w:highlight w:val="none"/>
                    </w:rPr>
                    <w:t>/</w:t>
                  </w:r>
                  <w:r>
                    <w:rPr>
                      <w:rFonts w:hint="default" w:ascii="Times New Roman" w:hAnsi="Times New Roman" w:eastAsia="Times New Roman" w:cs="Times New Roman"/>
                      <w:b/>
                      <w:bCs/>
                      <w:color w:val="auto"/>
                      <w:sz w:val="18"/>
                      <w:szCs w:val="18"/>
                      <w:highlight w:val="none"/>
                    </w:rPr>
                    <w:t>dB(A)</w:t>
                  </w:r>
                </w:p>
              </w:tc>
              <w:tc>
                <w:tcPr>
                  <w:tcW w:w="57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运</w:t>
                  </w:r>
                  <w:r>
                    <w:rPr>
                      <w:rFonts w:hint="default" w:ascii="Times New Roman" w:hAnsi="Times New Roman" w:eastAsia="宋体" w:cs="Times New Roman"/>
                      <w:color w:val="auto"/>
                      <w:spacing w:val="-1"/>
                      <w:sz w:val="18"/>
                      <w:szCs w:val="18"/>
                      <w:highlight w:val="none"/>
                    </w:rPr>
                    <w:t>行时段</w:t>
                  </w:r>
                </w:p>
              </w:tc>
              <w:tc>
                <w:tcPr>
                  <w:tcW w:w="36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建筑物插</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2"/>
                      <w:sz w:val="18"/>
                      <w:szCs w:val="18"/>
                      <w:highlight w:val="none"/>
                    </w:rPr>
                    <w:t>入损</w:t>
                  </w:r>
                  <w:r>
                    <w:rPr>
                      <w:rFonts w:hint="default" w:ascii="Times New Roman" w:hAnsi="Times New Roman" w:eastAsia="宋体" w:cs="Times New Roman"/>
                      <w:color w:val="auto"/>
                      <w:spacing w:val="-1"/>
                      <w:sz w:val="18"/>
                      <w:szCs w:val="18"/>
                      <w:highlight w:val="none"/>
                    </w:rPr>
                    <w:t>失</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pacing w:val="2"/>
                      <w:sz w:val="18"/>
                      <w:szCs w:val="18"/>
                      <w:highlight w:val="none"/>
                    </w:rPr>
                    <w:t>/</w:t>
                  </w:r>
                  <w:r>
                    <w:rPr>
                      <w:rFonts w:hint="default" w:ascii="Times New Roman" w:hAnsi="Times New Roman" w:eastAsia="Times New Roman" w:cs="Times New Roman"/>
                      <w:b/>
                      <w:bCs/>
                      <w:color w:val="auto"/>
                      <w:sz w:val="18"/>
                      <w:szCs w:val="18"/>
                      <w:highlight w:val="none"/>
                    </w:rPr>
                    <w:t>dB</w:t>
                  </w:r>
                  <w:r>
                    <w:rPr>
                      <w:rFonts w:hint="default" w:ascii="Times New Roman" w:hAnsi="Times New Roman" w:eastAsia="Times New Roman" w:cs="Times New Roman"/>
                      <w:b/>
                      <w:bCs/>
                      <w:color w:val="auto"/>
                      <w:spacing w:val="1"/>
                      <w:sz w:val="18"/>
                      <w:szCs w:val="18"/>
                      <w:highlight w:val="none"/>
                    </w:rPr>
                    <w:t>(</w:t>
                  </w:r>
                  <w:r>
                    <w:rPr>
                      <w:rFonts w:hint="default" w:ascii="Times New Roman" w:hAnsi="Times New Roman" w:eastAsia="Times New Roman" w:cs="Times New Roman"/>
                      <w:b/>
                      <w:bCs/>
                      <w:color w:val="auto"/>
                      <w:sz w:val="18"/>
                      <w:szCs w:val="18"/>
                      <w:highlight w:val="none"/>
                    </w:rPr>
                    <w:t>A</w:t>
                  </w:r>
                  <w:r>
                    <w:rPr>
                      <w:rFonts w:hint="default" w:ascii="Times New Roman" w:hAnsi="Times New Roman" w:eastAsia="Times New Roman" w:cs="Times New Roman"/>
                      <w:b/>
                      <w:bCs/>
                      <w:color w:val="auto"/>
                      <w:spacing w:val="1"/>
                      <w:sz w:val="18"/>
                      <w:szCs w:val="18"/>
                      <w:highlight w:val="none"/>
                    </w:rPr>
                    <w:t>)</w:t>
                  </w:r>
                </w:p>
              </w:tc>
              <w:tc>
                <w:tcPr>
                  <w:tcW w:w="634"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建筑物外噪</w:t>
                  </w:r>
                  <w:r>
                    <w:rPr>
                      <w:rFonts w:hint="default" w:ascii="Times New Roman" w:hAnsi="Times New Roman" w:eastAsia="宋体" w:cs="Times New Roman"/>
                      <w:color w:val="auto"/>
                      <w:sz w:val="18"/>
                      <w:szCs w:val="18"/>
                      <w:highlight w:val="none"/>
                    </w:rPr>
                    <w:t>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3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7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功率级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1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8"/>
                      <w:sz w:val="18"/>
                      <w:szCs w:val="18"/>
                      <w:highlight w:val="none"/>
                    </w:rPr>
                    <w:t>X</w:t>
                  </w:r>
                </w:p>
              </w:tc>
              <w:tc>
                <w:tcPr>
                  <w:tcW w:w="2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
                      <w:sz w:val="18"/>
                      <w:szCs w:val="18"/>
                      <w:highlight w:val="none"/>
                    </w:rPr>
                    <w:t>Y</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16"/>
                      <w:sz w:val="18"/>
                      <w:szCs w:val="18"/>
                      <w:highlight w:val="none"/>
                    </w:rPr>
                    <w:t>Z</w:t>
                  </w:r>
                </w:p>
              </w:tc>
              <w:tc>
                <w:tcPr>
                  <w:tcW w:w="23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57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声压级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建</w:t>
                  </w:r>
                  <w:r>
                    <w:rPr>
                      <w:rFonts w:hint="default" w:ascii="Times New Roman" w:hAnsi="Times New Roman" w:eastAsia="宋体" w:cs="Times New Roman"/>
                      <w:color w:val="auto"/>
                      <w:spacing w:val="-2"/>
                      <w:sz w:val="18"/>
                      <w:szCs w:val="18"/>
                      <w:highlight w:val="none"/>
                    </w:rPr>
                    <w:t>筑物</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3"/>
                      <w:sz w:val="18"/>
                      <w:szCs w:val="18"/>
                      <w:highlight w:val="none"/>
                    </w:rPr>
                    <w:t>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c>
                <w:tcPr>
                  <w:tcW w:w="2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南</w:t>
                  </w:r>
                  <w:r>
                    <w:rPr>
                      <w:rFonts w:hint="default" w:ascii="Times New Roman" w:hAnsi="Times New Roman" w:cs="Times New Roman"/>
                      <w:color w:val="auto"/>
                      <w:sz w:val="18"/>
                      <w:szCs w:val="18"/>
                      <w:highlight w:val="none"/>
                      <w:lang w:val="en-US" w:eastAsia="zh-CN"/>
                    </w:rPr>
                    <w:t>车间</w:t>
                  </w:r>
                </w:p>
              </w:tc>
              <w:tc>
                <w:tcPr>
                  <w:tcW w:w="458" w:type="pct"/>
                  <w:noWrap w:val="0"/>
                  <w:vAlign w:val="center"/>
                </w:tcPr>
                <w:p>
                  <w:pPr>
                    <w:tabs>
                      <w:tab w:val="left" w:pos="1680"/>
                    </w:tabs>
                    <w:jc w:val="center"/>
                    <w:rPr>
                      <w:rFonts w:hint="default" w:ascii="Times New Roman" w:hAnsi="Times New Roman" w:eastAsia="宋体" w:cs="Times New Roman"/>
                      <w:i w:val="0"/>
                      <w:iCs w:val="0"/>
                      <w:color w:val="auto"/>
                      <w:sz w:val="18"/>
                      <w:szCs w:val="18"/>
                      <w:highlight w:val="none"/>
                      <w:u w:val="none"/>
                      <w:lang w:val="en-US" w:eastAsia="zh-CN" w:bidi="ar-SA"/>
                    </w:rPr>
                  </w:pPr>
                  <w:r>
                    <w:rPr>
                      <w:rFonts w:hint="eastAsia" w:eastAsia="宋体"/>
                      <w:color w:val="000000"/>
                      <w:sz w:val="18"/>
                      <w:szCs w:val="18"/>
                      <w:lang w:eastAsia="zh-CN"/>
                    </w:rPr>
                    <w:t>全自动预覆膜机</w:t>
                  </w:r>
                </w:p>
              </w:tc>
              <w:tc>
                <w:tcPr>
                  <w:tcW w:w="37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eastAsia" w:cs="Times New Roman"/>
                      <w:i w:val="0"/>
                      <w:iCs w:val="0"/>
                      <w:color w:val="auto"/>
                      <w:sz w:val="18"/>
                      <w:szCs w:val="18"/>
                      <w:highlight w:val="none"/>
                      <w:u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65</w:t>
                  </w:r>
                </w:p>
              </w:tc>
              <w:tc>
                <w:tcPr>
                  <w:tcW w:w="41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减振、隔声罩壳、</w:t>
                  </w:r>
                  <w:r>
                    <w:rPr>
                      <w:rFonts w:hint="default" w:ascii="Times New Roman" w:hAnsi="Times New Roman" w:eastAsia="宋体" w:cs="Times New Roman"/>
                      <w:color w:val="auto"/>
                      <w:sz w:val="18"/>
                      <w:szCs w:val="18"/>
                      <w:highlight w:val="none"/>
                    </w:rPr>
                    <w:t>厂房</w:t>
                  </w:r>
                  <w:r>
                    <w:rPr>
                      <w:rFonts w:hint="default" w:ascii="Times New Roman" w:hAnsi="Times New Roman" w:eastAsia="宋体" w:cs="Times New Roman"/>
                      <w:color w:val="auto"/>
                      <w:spacing w:val="-5"/>
                      <w:sz w:val="18"/>
                      <w:szCs w:val="18"/>
                      <w:highlight w:val="none"/>
                    </w:rPr>
                    <w:t>隔</w:t>
                  </w:r>
                  <w:r>
                    <w:rPr>
                      <w:rFonts w:hint="default" w:ascii="Times New Roman" w:hAnsi="Times New Roman" w:eastAsia="宋体" w:cs="Times New Roman"/>
                      <w:color w:val="auto"/>
                      <w:spacing w:val="-4"/>
                      <w:sz w:val="18"/>
                      <w:szCs w:val="18"/>
                      <w:highlight w:val="none"/>
                    </w:rPr>
                    <w:t>声</w:t>
                  </w:r>
                </w:p>
              </w:tc>
              <w:tc>
                <w:tcPr>
                  <w:tcW w:w="313"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15</w:t>
                  </w:r>
                </w:p>
              </w:tc>
              <w:tc>
                <w:tcPr>
                  <w:tcW w:w="290"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43</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lang w:val="en-US"/>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2</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tabs>
                      <w:tab w:val="left" w:pos="1680"/>
                    </w:tabs>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sz w:val="18"/>
                      <w:szCs w:val="18"/>
                      <w:lang w:val="en-US" w:eastAsia="zh-CN"/>
                    </w:rPr>
                    <w:t>平压平切纸机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kern w:val="2"/>
                      <w:sz w:val="18"/>
                      <w:szCs w:val="18"/>
                      <w:highlight w:val="none"/>
                      <w:lang w:val="en-US" w:eastAsia="zh-CN" w:bidi="ar-SA"/>
                    </w:rPr>
                  </w:pPr>
                  <w:r>
                    <w:rPr>
                      <w:rFonts w:hint="eastAsia" w:eastAsia="Times New Roman" w:cs="Times New Roman"/>
                      <w:color w:val="auto"/>
                      <w:kern w:val="2"/>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19</w:t>
                  </w:r>
                </w:p>
              </w:tc>
              <w:tc>
                <w:tcPr>
                  <w:tcW w:w="290"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43</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z w:val="18"/>
                      <w:szCs w:val="18"/>
                      <w:highlight w:val="none"/>
                      <w:lang w:val="en-US" w:eastAsia="zh-CN"/>
                    </w:rPr>
                    <w:t>59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3</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tabs>
                      <w:tab w:val="left" w:pos="1680"/>
                    </w:tabs>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宋体" w:hAnsi="宋体" w:eastAsia="宋体" w:cs="宋体"/>
                      <w:sz w:val="18"/>
                      <w:szCs w:val="18"/>
                      <w:lang w:val="en-US" w:eastAsia="zh-CN"/>
                    </w:rPr>
                    <w:t>贴面机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w:t>
                  </w:r>
                  <w:r>
                    <w:rPr>
                      <w:rFonts w:hint="eastAsia" w:eastAsia="宋体" w:cs="Times New Roman"/>
                      <w:color w:val="auto"/>
                      <w:spacing w:val="-3"/>
                      <w:sz w:val="18"/>
                      <w:szCs w:val="18"/>
                      <w:highlight w:val="none"/>
                      <w:lang w:val="en-US" w:eastAsia="zh-CN"/>
                    </w:rPr>
                    <w:t>0</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17</w:t>
                  </w:r>
                </w:p>
              </w:tc>
              <w:tc>
                <w:tcPr>
                  <w:tcW w:w="290"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44</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4</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tabs>
                      <w:tab w:val="left" w:pos="1680"/>
                    </w:tabs>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sz w:val="18"/>
                      <w:szCs w:val="18"/>
                      <w:lang w:val="en-US" w:eastAsia="zh-CN"/>
                    </w:rPr>
                    <w:t>切纸机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20</w:t>
                  </w:r>
                </w:p>
              </w:tc>
              <w:tc>
                <w:tcPr>
                  <w:tcW w:w="290"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tabs>
                      <w:tab w:val="left" w:pos="1680"/>
                    </w:tabs>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sz w:val="18"/>
                      <w:szCs w:val="18"/>
                      <w:lang w:val="en-US" w:eastAsia="zh-CN"/>
                    </w:rPr>
                    <w:t>钉箱机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70</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24</w:t>
                  </w:r>
                </w:p>
              </w:tc>
              <w:tc>
                <w:tcPr>
                  <w:tcW w:w="290" w:type="pct"/>
                  <w:noWrap w:val="0"/>
                  <w:vAlign w:val="center"/>
                </w:tcPr>
                <w:p>
                  <w:pPr>
                    <w:widowControl w:val="0"/>
                    <w:autoSpaceDE w:val="0"/>
                    <w:autoSpaceDN w:val="0"/>
                    <w:spacing w:line="360" w:lineRule="exact"/>
                    <w:jc w:val="center"/>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6</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tabs>
                      <w:tab w:val="left" w:pos="1680"/>
                    </w:tabs>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sz w:val="18"/>
                      <w:szCs w:val="18"/>
                      <w:lang w:val="en-US" w:eastAsia="zh-CN"/>
                    </w:rPr>
                    <w:t>打包机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43</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7</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tabs>
                      <w:tab w:val="left" w:pos="1680"/>
                    </w:tabs>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sz w:val="18"/>
                      <w:szCs w:val="18"/>
                      <w:lang w:val="en-US" w:eastAsia="zh-CN"/>
                    </w:rPr>
                    <w:t>废纸打包机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39</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tabs>
                      <w:tab w:val="left" w:pos="1680"/>
                    </w:tabs>
                    <w:jc w:val="center"/>
                    <w:rPr>
                      <w:rFonts w:hint="default" w:ascii="Times New Roman" w:hAnsi="Times New Roman" w:eastAsia="宋体" w:cs="Times New Roman"/>
                      <w:color w:val="auto"/>
                      <w:kern w:val="2"/>
                      <w:sz w:val="18"/>
                      <w:szCs w:val="18"/>
                      <w:highlight w:val="none"/>
                      <w:lang w:val="en-US" w:eastAsia="zh-CN" w:bidi="ar-SA"/>
                    </w:rPr>
                  </w:pPr>
                  <w:r>
                    <w:rPr>
                      <w:rFonts w:hint="eastAsia" w:ascii="宋体" w:hAnsi="宋体" w:cs="宋体"/>
                      <w:sz w:val="18"/>
                      <w:szCs w:val="18"/>
                      <w:lang w:val="en-US" w:eastAsia="zh-CN"/>
                    </w:rPr>
                    <w:t>甩纸机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Times New Roman" w:cs="Times New Roman"/>
                      <w:color w:val="auto"/>
                      <w:sz w:val="18"/>
                      <w:szCs w:val="18"/>
                      <w:highlight w:val="none"/>
                      <w:lang w:val="en-US" w:eastAsia="zh-CN" w:bidi="ar-SA"/>
                    </w:rPr>
                  </w:pP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16</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42</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10</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tabs>
                      <w:tab w:val="left" w:pos="1680"/>
                    </w:tabs>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宋体" w:hAnsi="宋体" w:eastAsia="宋体" w:cs="宋体"/>
                      <w:sz w:val="18"/>
                      <w:szCs w:val="18"/>
                      <w:lang w:val="en-US" w:eastAsia="zh-CN"/>
                    </w:rPr>
                    <w:t>高档礼盒生产线</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80</w:t>
                  </w:r>
                </w:p>
              </w:tc>
              <w:tc>
                <w:tcPr>
                  <w:tcW w:w="41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23</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43</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74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44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11</w:t>
                  </w:r>
                </w:p>
              </w:tc>
              <w:tc>
                <w:tcPr>
                  <w:tcW w:w="2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eastAsia="zh-CN"/>
                    </w:rPr>
                    <w:t>北车间</w:t>
                  </w:r>
                </w:p>
              </w:tc>
              <w:tc>
                <w:tcPr>
                  <w:tcW w:w="458" w:type="pct"/>
                  <w:noWrap w:val="0"/>
                  <w:vAlign w:val="center"/>
                </w:tcPr>
                <w:p>
                  <w:pPr>
                    <w:tabs>
                      <w:tab w:val="left" w:pos="1680"/>
                    </w:tabs>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宋体" w:hAnsi="宋体" w:eastAsia="宋体" w:cs="宋体"/>
                      <w:sz w:val="18"/>
                      <w:szCs w:val="18"/>
                      <w:lang w:val="en-US" w:eastAsia="zh-CN"/>
                    </w:rPr>
                    <w:t>瓦楞生产线</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75</w:t>
                  </w:r>
                </w:p>
              </w:tc>
              <w:tc>
                <w:tcPr>
                  <w:tcW w:w="41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r>
                    <w:rPr>
                      <w:rFonts w:hint="default" w:ascii="Times New Roman" w:hAnsi="Times New Roman" w:eastAsia="宋体" w:cs="Times New Roman"/>
                      <w:color w:val="auto"/>
                      <w:spacing w:val="-1"/>
                      <w:sz w:val="18"/>
                      <w:szCs w:val="18"/>
                      <w:highlight w:val="none"/>
                    </w:rPr>
                    <w:t>减振、隔声罩壳、</w:t>
                  </w:r>
                  <w:r>
                    <w:rPr>
                      <w:rFonts w:hint="default" w:ascii="Times New Roman" w:hAnsi="Times New Roman" w:eastAsia="宋体" w:cs="Times New Roman"/>
                      <w:color w:val="auto"/>
                      <w:sz w:val="18"/>
                      <w:szCs w:val="18"/>
                      <w:highlight w:val="none"/>
                    </w:rPr>
                    <w:t>厂房</w:t>
                  </w:r>
                  <w:r>
                    <w:rPr>
                      <w:rFonts w:hint="default" w:ascii="Times New Roman" w:hAnsi="Times New Roman" w:eastAsia="宋体" w:cs="Times New Roman"/>
                      <w:color w:val="auto"/>
                      <w:spacing w:val="-5"/>
                      <w:sz w:val="18"/>
                      <w:szCs w:val="18"/>
                      <w:highlight w:val="none"/>
                    </w:rPr>
                    <w:t>隔</w:t>
                  </w:r>
                  <w:r>
                    <w:rPr>
                      <w:rFonts w:hint="default" w:ascii="Times New Roman" w:hAnsi="Times New Roman" w:eastAsia="宋体" w:cs="Times New Roman"/>
                      <w:color w:val="auto"/>
                      <w:spacing w:val="-4"/>
                      <w:sz w:val="18"/>
                      <w:szCs w:val="18"/>
                      <w:highlight w:val="none"/>
                    </w:rPr>
                    <w:t>声</w:t>
                  </w: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22</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74</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12</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宋体" w:hAnsi="宋体" w:eastAsia="宋体" w:cs="宋体"/>
                      <w:sz w:val="18"/>
                      <w:szCs w:val="18"/>
                      <w:lang w:val="en-US" w:eastAsia="zh-CN"/>
                    </w:rPr>
                    <w:t>纸面处理机</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65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20</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59</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29</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13</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宋体" w:hAnsi="宋体" w:eastAsia="宋体" w:cs="宋体"/>
                      <w:sz w:val="18"/>
                      <w:szCs w:val="18"/>
                      <w:lang w:val="en-US" w:eastAsia="zh-CN"/>
                    </w:rPr>
                    <w:t>医用级电气</w:t>
                  </w:r>
                  <w:r>
                    <w:rPr>
                      <w:rFonts w:hint="eastAsia" w:ascii="宋体" w:hAnsi="宋体" w:cs="宋体"/>
                      <w:sz w:val="18"/>
                      <w:szCs w:val="18"/>
                      <w:lang w:val="en-US" w:eastAsia="zh-CN"/>
                    </w:rPr>
                    <w:t>两</w:t>
                  </w:r>
                  <w:r>
                    <w:rPr>
                      <w:rFonts w:hint="eastAsia" w:ascii="宋体" w:hAnsi="宋体" w:eastAsia="宋体" w:cs="宋体"/>
                      <w:sz w:val="18"/>
                      <w:szCs w:val="18"/>
                      <w:lang w:val="en-US" w:eastAsia="zh-CN"/>
                    </w:rPr>
                    <w:t>用蒸发器</w:t>
                  </w:r>
                </w:p>
              </w:tc>
              <w:tc>
                <w:tcPr>
                  <w:tcW w:w="3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3"/>
                      <w:sz w:val="18"/>
                      <w:szCs w:val="18"/>
                      <w:highlight w:val="none"/>
                      <w:lang w:val="en-US" w:eastAsia="zh-CN"/>
                    </w:rPr>
                  </w:pPr>
                  <w:r>
                    <w:rPr>
                      <w:rFonts w:hint="eastAsia" w:cs="Times New Roman"/>
                      <w:color w:val="auto"/>
                      <w:spacing w:val="-3"/>
                      <w:sz w:val="18"/>
                      <w:szCs w:val="18"/>
                      <w:highlight w:val="none"/>
                      <w:lang w:val="en-US" w:eastAsia="zh-CN"/>
                    </w:rPr>
                    <w:t>70</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31</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71</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64</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34</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p>
              </w:tc>
            </w:tr>
          </w:tbl>
          <w:p>
            <w:pPr>
              <w:spacing w:line="420" w:lineRule="exact"/>
              <w:ind w:firstLine="422" w:firstLineChars="200"/>
              <w:jc w:val="center"/>
              <w:rPr>
                <w:rFonts w:hint="eastAsia" w:eastAsia="宋体"/>
                <w:b/>
                <w:sz w:val="24"/>
                <w:szCs w:val="24"/>
                <w:highlight w:val="none"/>
                <w:lang w:eastAsia="zh-CN"/>
              </w:rPr>
            </w:pPr>
            <w:r>
              <w:rPr>
                <w:b/>
                <w:bCs/>
                <w:highlight w:val="none"/>
              </w:rPr>
              <w:t>表4-</w:t>
            </w:r>
            <w:r>
              <w:rPr>
                <w:rFonts w:hint="eastAsia"/>
                <w:b/>
                <w:bCs/>
                <w:highlight w:val="none"/>
              </w:rPr>
              <w:t>1</w:t>
            </w:r>
            <w:r>
              <w:rPr>
                <w:rFonts w:hint="eastAsia"/>
                <w:b/>
                <w:bCs/>
                <w:highlight w:val="none"/>
                <w:lang w:val="en-US" w:eastAsia="zh-CN"/>
              </w:rPr>
              <w:t>4</w:t>
            </w:r>
            <w:r>
              <w:rPr>
                <w:b/>
                <w:bCs/>
                <w:highlight w:val="none"/>
              </w:rPr>
              <w:t>本项目设备噪声产生情况</w:t>
            </w:r>
            <w:r>
              <w:rPr>
                <w:rFonts w:hint="eastAsia"/>
                <w:b/>
                <w:bCs/>
                <w:highlight w:val="none"/>
                <w:lang w:eastAsia="zh-CN"/>
              </w:rPr>
              <w:t>（室外声源）</w:t>
            </w:r>
          </w:p>
          <w:tbl>
            <w:tblPr>
              <w:tblStyle w:val="13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1162"/>
              <w:gridCol w:w="786"/>
              <w:gridCol w:w="777"/>
              <w:gridCol w:w="722"/>
              <w:gridCol w:w="653"/>
              <w:gridCol w:w="1439"/>
              <w:gridCol w:w="1439"/>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8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序号</w:t>
                  </w:r>
                </w:p>
              </w:tc>
              <w:tc>
                <w:tcPr>
                  <w:tcW w:w="69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源名称</w:t>
                  </w:r>
                </w:p>
              </w:tc>
              <w:tc>
                <w:tcPr>
                  <w:tcW w:w="46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型</w:t>
                  </w:r>
                  <w:r>
                    <w:rPr>
                      <w:rFonts w:hint="default" w:ascii="Times New Roman" w:hAnsi="Times New Roman" w:eastAsia="宋体" w:cs="Times New Roman"/>
                      <w:color w:val="auto"/>
                      <w:spacing w:val="-2"/>
                      <w:sz w:val="18"/>
                      <w:szCs w:val="18"/>
                      <w:highlight w:val="none"/>
                    </w:rPr>
                    <w:t>号</w:t>
                  </w:r>
                </w:p>
              </w:tc>
              <w:tc>
                <w:tcPr>
                  <w:tcW w:w="1285"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空间相对位</w:t>
                  </w:r>
                  <w:r>
                    <w:rPr>
                      <w:rFonts w:hint="default" w:ascii="Times New Roman" w:hAnsi="Times New Roman" w:eastAsia="宋体" w:cs="Times New Roman"/>
                      <w:color w:val="auto"/>
                      <w:sz w:val="18"/>
                      <w:szCs w:val="18"/>
                      <w:highlight w:val="none"/>
                    </w:rPr>
                    <w:t>置</w:t>
                  </w:r>
                  <w:r>
                    <w:rPr>
                      <w:rFonts w:hint="default" w:ascii="Times New Roman" w:hAnsi="Times New Roman" w:eastAsia="Times New Roman" w:cs="Times New Roman"/>
                      <w:b/>
                      <w:bCs/>
                      <w:color w:val="auto"/>
                      <w:sz w:val="18"/>
                      <w:szCs w:val="18"/>
                      <w:highlight w:val="none"/>
                    </w:rPr>
                    <w:t>/m</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源源强</w:t>
                  </w:r>
                </w:p>
              </w:tc>
              <w:tc>
                <w:tcPr>
                  <w:tcW w:w="85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eastAsia="zh-CN"/>
                    </w:rPr>
                  </w:pPr>
                  <w:r>
                    <w:rPr>
                      <w:rFonts w:hint="eastAsia" w:cs="Times New Roman"/>
                      <w:color w:val="auto"/>
                      <w:spacing w:val="-2"/>
                      <w:sz w:val="18"/>
                      <w:szCs w:val="18"/>
                      <w:highlight w:val="none"/>
                      <w:lang w:eastAsia="zh-CN"/>
                    </w:rPr>
                    <w:t>声源控制措施</w:t>
                  </w:r>
                </w:p>
              </w:tc>
              <w:tc>
                <w:tcPr>
                  <w:tcW w:w="55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eastAsia="zh-CN"/>
                    </w:rPr>
                  </w:pPr>
                  <w:r>
                    <w:rPr>
                      <w:rFonts w:hint="eastAsia" w:eastAsia="宋体" w:cs="Times New Roman"/>
                      <w:color w:val="auto"/>
                      <w:sz w:val="18"/>
                      <w:szCs w:val="18"/>
                      <w:highlight w:val="none"/>
                      <w:lang w:eastAsia="zh-CN"/>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28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69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6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8"/>
                      <w:sz w:val="18"/>
                      <w:szCs w:val="18"/>
                      <w:highlight w:val="none"/>
                    </w:rPr>
                    <w:t>X</w:t>
                  </w:r>
                </w:p>
              </w:tc>
              <w:tc>
                <w:tcPr>
                  <w:tcW w:w="43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
                      <w:sz w:val="18"/>
                      <w:szCs w:val="18"/>
                      <w:highlight w:val="none"/>
                    </w:rPr>
                    <w:t>Y</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16"/>
                      <w:sz w:val="18"/>
                      <w:szCs w:val="18"/>
                      <w:highlight w:val="none"/>
                    </w:rPr>
                    <w:t>Z</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功率级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85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5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bidi="ar-SA"/>
                    </w:rPr>
                  </w:pPr>
                  <w:r>
                    <w:rPr>
                      <w:rFonts w:hint="eastAsia" w:cs="Times New Roman"/>
                      <w:color w:val="auto"/>
                      <w:sz w:val="18"/>
                      <w:szCs w:val="18"/>
                      <w:highlight w:val="none"/>
                      <w:lang w:val="en-US" w:eastAsia="zh-CN" w:bidi="ar-SA"/>
                    </w:rPr>
                    <w:t>1</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风机</w:t>
                  </w:r>
                  <w:r>
                    <w:rPr>
                      <w:rFonts w:hint="eastAsia" w:cs="Times New Roman"/>
                      <w:i w:val="0"/>
                      <w:iCs w:val="0"/>
                      <w:color w:val="auto"/>
                      <w:kern w:val="0"/>
                      <w:sz w:val="18"/>
                      <w:szCs w:val="18"/>
                      <w:highlight w:val="none"/>
                      <w:u w:val="none"/>
                      <w:lang w:val="en-US" w:eastAsia="zh-CN" w:bidi="ar"/>
                    </w:rPr>
                    <w:t>1</w:t>
                  </w:r>
                </w:p>
              </w:tc>
              <w:tc>
                <w:tcPr>
                  <w:tcW w:w="4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2"/>
                      <w:sz w:val="18"/>
                      <w:szCs w:val="18"/>
                      <w:highlight w:val="none"/>
                      <w:lang w:val="en-US" w:eastAsia="zh-CN" w:bidi="ar-SA"/>
                    </w:rPr>
                  </w:pPr>
                  <w:r>
                    <w:rPr>
                      <w:rFonts w:hint="default" w:ascii="Times New Roman" w:hAnsi="Times New Roman" w:eastAsia="Times New Roman" w:cs="Times New Roman"/>
                      <w:color w:val="auto"/>
                      <w:sz w:val="18"/>
                      <w:szCs w:val="18"/>
                      <w:highlight w:val="none"/>
                      <w:lang w:val="en-US" w:eastAsia="zh-CN" w:bidi="ar-SA"/>
                    </w:rPr>
                    <w:t>/</w:t>
                  </w:r>
                </w:p>
              </w:tc>
              <w:tc>
                <w:tcPr>
                  <w:tcW w:w="464"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431" w:type="pct"/>
                  <w:noWrap w:val="0"/>
                  <w:vAlign w:val="center"/>
                </w:tcPr>
                <w:p>
                  <w:pPr>
                    <w:widowControl w:val="0"/>
                    <w:autoSpaceDE w:val="0"/>
                    <w:autoSpaceDN w:val="0"/>
                    <w:spacing w:line="360" w:lineRule="exact"/>
                    <w:jc w:val="center"/>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20</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90</w:t>
                  </w:r>
                </w:p>
              </w:tc>
              <w:tc>
                <w:tcPr>
                  <w:tcW w:w="85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default" w:ascii="Times New Roman" w:hAnsi="Times New Roman" w:eastAsia="宋体" w:cs="Times New Roman"/>
                      <w:color w:val="auto"/>
                      <w:spacing w:val="-1"/>
                      <w:sz w:val="18"/>
                      <w:szCs w:val="18"/>
                      <w:highlight w:val="none"/>
                    </w:rPr>
                    <w:t>减振、隔声罩、</w:t>
                  </w:r>
                  <w:r>
                    <w:rPr>
                      <w:rFonts w:hint="default" w:ascii="Times New Roman" w:hAnsi="Times New Roman" w:eastAsia="宋体" w:cs="Times New Roman"/>
                      <w:color w:val="auto"/>
                      <w:sz w:val="18"/>
                      <w:szCs w:val="18"/>
                      <w:highlight w:val="none"/>
                    </w:rPr>
                    <w:t>消声器</w:t>
                  </w:r>
                </w:p>
              </w:tc>
              <w:tc>
                <w:tcPr>
                  <w:tcW w:w="5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eastAsia" w:cs="Times New Roman"/>
                      <w:color w:val="auto"/>
                      <w:spacing w:val="-1"/>
                      <w:sz w:val="18"/>
                      <w:szCs w:val="18"/>
                      <w:highlight w:val="none"/>
                      <w:lang w:val="en-US" w:eastAsia="zh-CN"/>
                    </w:rPr>
                    <w:t>昼间8h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bidi="ar-SA"/>
                    </w:rPr>
                  </w:pPr>
                  <w:r>
                    <w:rPr>
                      <w:rFonts w:hint="eastAsia" w:cs="Times New Roman"/>
                      <w:color w:val="auto"/>
                      <w:sz w:val="18"/>
                      <w:szCs w:val="18"/>
                      <w:highlight w:val="none"/>
                      <w:lang w:val="en-US" w:eastAsia="zh-CN" w:bidi="ar-SA"/>
                    </w:rPr>
                    <w:t>2</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风机</w:t>
                  </w:r>
                  <w:r>
                    <w:rPr>
                      <w:rFonts w:hint="eastAsia" w:cs="Times New Roman"/>
                      <w:i w:val="0"/>
                      <w:iCs w:val="0"/>
                      <w:color w:val="auto"/>
                      <w:kern w:val="0"/>
                      <w:sz w:val="18"/>
                      <w:szCs w:val="18"/>
                      <w:highlight w:val="none"/>
                      <w:u w:val="none"/>
                      <w:lang w:val="en-US" w:eastAsia="zh-CN" w:bidi="ar"/>
                    </w:rPr>
                    <w:t>2</w:t>
                  </w:r>
                </w:p>
              </w:tc>
              <w:tc>
                <w:tcPr>
                  <w:tcW w:w="4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464"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13</w:t>
                  </w:r>
                </w:p>
              </w:tc>
              <w:tc>
                <w:tcPr>
                  <w:tcW w:w="431"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50</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90</w:t>
                  </w:r>
                </w:p>
              </w:tc>
              <w:tc>
                <w:tcPr>
                  <w:tcW w:w="85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rPr>
                  </w:pPr>
                </w:p>
              </w:tc>
              <w:tc>
                <w:tcPr>
                  <w:tcW w:w="5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昼间8h</w:t>
                  </w:r>
                </w:p>
              </w:tc>
            </w:tr>
          </w:tbl>
          <w:p>
            <w:pPr>
              <w:spacing w:line="420" w:lineRule="exact"/>
              <w:ind w:firstLine="422" w:firstLineChars="200"/>
              <w:rPr>
                <w:b/>
                <w:bCs/>
              </w:rPr>
            </w:pPr>
            <w:r>
              <w:rPr>
                <w:b/>
                <w:bCs/>
              </w:rPr>
              <w:t>2、达标分析</w:t>
            </w:r>
          </w:p>
          <w:p>
            <w:pPr>
              <w:spacing w:line="420" w:lineRule="exact"/>
              <w:ind w:firstLine="420" w:firstLineChars="200"/>
            </w:pPr>
            <w:r>
              <w:t>依据《环境工作手册-环境噪声控制卷》（高等教育出版社，2000年）可知，采取隔减振等措施均可达到10~25dB（A）的隔声（消声）量，墙壁可降低23~30 dB（A） 的噪声。</w:t>
            </w:r>
          </w:p>
          <w:p>
            <w:pPr>
              <w:spacing w:line="420" w:lineRule="exact"/>
              <w:ind w:firstLine="420" w:firstLineChars="200"/>
              <w:rPr>
                <w:bCs/>
              </w:rPr>
            </w:pPr>
            <w:r>
              <w:rPr>
                <w:bCs/>
              </w:rPr>
              <w:t>本项目采用《环境影响评价技术导则—声环境》（HJ2.4-2021）中推荐模式进行预测，噪声从声源发出后向外辐射，在传播过程中经距离衰减、地面构筑物屏蔽反射、空气吸收等阶段后到达受声点，本次评价采用A声级计算，模式如下：</w:t>
            </w:r>
          </w:p>
          <w:p>
            <w:pPr>
              <w:spacing w:line="420" w:lineRule="exact"/>
              <w:ind w:firstLine="420" w:firstLineChars="200"/>
              <w:rPr>
                <w:bCs/>
              </w:rPr>
            </w:pPr>
            <w:r>
              <w:rPr>
                <w:bCs/>
              </w:rPr>
              <w:t>①单个声源到达受声点的声压级</w:t>
            </w:r>
          </w:p>
          <w:p>
            <w:pPr>
              <w:spacing w:line="420" w:lineRule="exact"/>
              <w:ind w:firstLine="420" w:firstLineChars="200"/>
              <w:jc w:val="center"/>
              <w:rPr>
                <w:bCs/>
              </w:rPr>
            </w:pPr>
            <w:r>
              <w:rPr>
                <w:bCs/>
              </w:rPr>
              <w:t>L</w:t>
            </w:r>
            <w:r>
              <w:rPr>
                <w:bCs/>
                <w:vertAlign w:val="subscript"/>
              </w:rPr>
              <w:t>A</w:t>
            </w:r>
            <w:r>
              <w:rPr>
                <w:bCs/>
              </w:rPr>
              <w:t>（r）=L</w:t>
            </w:r>
            <w:r>
              <w:rPr>
                <w:bCs/>
                <w:vertAlign w:val="subscript"/>
              </w:rPr>
              <w:t>Aref</w:t>
            </w:r>
            <w:r>
              <w:rPr>
                <w:bCs/>
              </w:rPr>
              <w:t>（ro）-（A</w:t>
            </w:r>
            <w:r>
              <w:rPr>
                <w:bCs/>
                <w:vertAlign w:val="subscript"/>
              </w:rPr>
              <w:t>div</w:t>
            </w:r>
            <w:r>
              <w:rPr>
                <w:bCs/>
              </w:rPr>
              <w:t>+A</w:t>
            </w:r>
            <w:r>
              <w:rPr>
                <w:bCs/>
                <w:vertAlign w:val="subscript"/>
              </w:rPr>
              <w:t>bar</w:t>
            </w:r>
            <w:r>
              <w:rPr>
                <w:bCs/>
              </w:rPr>
              <w:t>+A</w:t>
            </w:r>
            <w:r>
              <w:rPr>
                <w:bCs/>
                <w:vertAlign w:val="subscript"/>
              </w:rPr>
              <w:t>atm</w:t>
            </w:r>
            <w:r>
              <w:rPr>
                <w:bCs/>
              </w:rPr>
              <w:t>+A</w:t>
            </w:r>
            <w:r>
              <w:rPr>
                <w:bCs/>
                <w:vertAlign w:val="subscript"/>
              </w:rPr>
              <w:t>exc</w:t>
            </w:r>
            <w:r>
              <w:rPr>
                <w:bCs/>
              </w:rPr>
              <w:t>）</w:t>
            </w:r>
          </w:p>
          <w:p>
            <w:pPr>
              <w:spacing w:line="420" w:lineRule="exact"/>
              <w:ind w:firstLine="420" w:firstLineChars="200"/>
              <w:rPr>
                <w:bCs/>
              </w:rPr>
            </w:pPr>
            <w:r>
              <w:rPr>
                <w:bCs/>
              </w:rPr>
              <w:t>式中：L</w:t>
            </w:r>
            <w:r>
              <w:rPr>
                <w:bCs/>
                <w:vertAlign w:val="subscript"/>
              </w:rPr>
              <w:t>A</w:t>
            </w:r>
            <w:r>
              <w:rPr>
                <w:bCs/>
              </w:rPr>
              <w:t>（r）——距声源r处的A声级，dB（A）；</w:t>
            </w:r>
          </w:p>
          <w:p>
            <w:pPr>
              <w:spacing w:line="420" w:lineRule="exact"/>
              <w:ind w:firstLine="420" w:firstLineChars="200"/>
              <w:rPr>
                <w:bCs/>
              </w:rPr>
            </w:pPr>
            <w:r>
              <w:rPr>
                <w:bCs/>
              </w:rPr>
              <w:t xml:space="preserve">          L</w:t>
            </w:r>
            <w:r>
              <w:rPr>
                <w:bCs/>
                <w:vertAlign w:val="subscript"/>
              </w:rPr>
              <w:t>Aref</w:t>
            </w:r>
            <w:r>
              <w:rPr>
                <w:bCs/>
              </w:rPr>
              <w:t>（ro）——参考位置ro处A声级，dB（A）；</w:t>
            </w:r>
          </w:p>
          <w:p>
            <w:pPr>
              <w:spacing w:line="420" w:lineRule="exact"/>
              <w:ind w:firstLine="420" w:firstLineChars="200"/>
              <w:rPr>
                <w:bCs/>
              </w:rPr>
            </w:pPr>
            <w:r>
              <w:rPr>
                <w:bCs/>
              </w:rPr>
              <w:t xml:space="preserve">          A</w:t>
            </w:r>
            <w:r>
              <w:rPr>
                <w:bCs/>
                <w:vertAlign w:val="subscript"/>
              </w:rPr>
              <w:t>div</w:t>
            </w:r>
            <w:r>
              <w:rPr>
                <w:bCs/>
              </w:rPr>
              <w:t>——声波几何发散引起的A声级衰减量，dB（A）；</w:t>
            </w:r>
          </w:p>
          <w:p>
            <w:pPr>
              <w:spacing w:line="420" w:lineRule="exact"/>
              <w:ind w:firstLine="420" w:firstLineChars="200"/>
              <w:rPr>
                <w:bCs/>
              </w:rPr>
            </w:pPr>
            <w:r>
              <w:rPr>
                <w:bCs/>
              </w:rPr>
              <w:t xml:space="preserve">          A</w:t>
            </w:r>
            <w:r>
              <w:rPr>
                <w:bCs/>
                <w:vertAlign w:val="subscript"/>
              </w:rPr>
              <w:t>bar</w:t>
            </w:r>
            <w:r>
              <w:rPr>
                <w:bCs/>
              </w:rPr>
              <w:t>——遮挡物引起的声级衰减量，dB（A）；</w:t>
            </w:r>
          </w:p>
          <w:p>
            <w:pPr>
              <w:spacing w:line="420" w:lineRule="exact"/>
              <w:ind w:firstLine="420" w:firstLineChars="200"/>
              <w:rPr>
                <w:bCs/>
              </w:rPr>
            </w:pPr>
            <w:r>
              <w:rPr>
                <w:bCs/>
              </w:rPr>
              <w:t xml:space="preserve">          A</w:t>
            </w:r>
            <w:r>
              <w:rPr>
                <w:bCs/>
                <w:vertAlign w:val="subscript"/>
              </w:rPr>
              <w:t>atm</w:t>
            </w:r>
            <w:r>
              <w:rPr>
                <w:bCs/>
              </w:rPr>
              <w:t>——空气吸收衰减量，dB（A）；</w:t>
            </w:r>
          </w:p>
          <w:p>
            <w:pPr>
              <w:spacing w:line="420" w:lineRule="exact"/>
              <w:ind w:firstLine="420" w:firstLineChars="200"/>
              <w:rPr>
                <w:bCs/>
              </w:rPr>
            </w:pPr>
            <w:r>
              <w:rPr>
                <w:bCs/>
              </w:rPr>
              <w:t xml:space="preserve">          A</w:t>
            </w:r>
            <w:r>
              <w:rPr>
                <w:bCs/>
                <w:vertAlign w:val="subscript"/>
              </w:rPr>
              <w:t>exc</w:t>
            </w:r>
            <w:r>
              <w:rPr>
                <w:bCs/>
              </w:rPr>
              <w:t>——附加衰减量，dB（A）。</w:t>
            </w:r>
          </w:p>
          <w:p>
            <w:pPr>
              <w:spacing w:line="420" w:lineRule="exact"/>
              <w:ind w:firstLine="420" w:firstLineChars="200"/>
              <w:rPr>
                <w:bCs/>
              </w:rPr>
            </w:pPr>
            <w:r>
              <w:rPr>
                <w:bCs/>
              </w:rPr>
              <w:t>②多个声源发出的噪声在同一受声点的共同影响，其公式为：</w:t>
            </w:r>
          </w:p>
          <w:p>
            <w:pPr>
              <w:spacing w:line="420" w:lineRule="exact"/>
              <w:ind w:firstLine="420" w:firstLineChars="200"/>
              <w:rPr>
                <w:bCs/>
              </w:rPr>
            </w:pPr>
          </w:p>
          <w:p>
            <w:pPr>
              <w:spacing w:line="420" w:lineRule="exact"/>
              <w:ind w:firstLine="420" w:firstLineChars="200"/>
              <w:rPr>
                <w:bCs/>
              </w:rPr>
            </w:pPr>
            <w:r>
              <w:drawing>
                <wp:anchor distT="0" distB="0" distL="114300" distR="114300" simplePos="0" relativeHeight="251659264" behindDoc="0" locked="0" layoutInCell="1" allowOverlap="1">
                  <wp:simplePos x="0" y="0"/>
                  <wp:positionH relativeFrom="column">
                    <wp:posOffset>1579880</wp:posOffset>
                  </wp:positionH>
                  <wp:positionV relativeFrom="paragraph">
                    <wp:posOffset>89535</wp:posOffset>
                  </wp:positionV>
                  <wp:extent cx="1438275" cy="466725"/>
                  <wp:effectExtent l="0" t="0" r="9525" b="9525"/>
                  <wp:wrapNone/>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pic:cNvPicPr>
                        </pic:nvPicPr>
                        <pic:blipFill>
                          <a:blip r:embed="rId16"/>
                          <a:stretch>
                            <a:fillRect/>
                          </a:stretch>
                        </pic:blipFill>
                        <pic:spPr>
                          <a:xfrm>
                            <a:off x="0" y="0"/>
                            <a:ext cx="1438275" cy="466725"/>
                          </a:xfrm>
                          <a:prstGeom prst="rect">
                            <a:avLst/>
                          </a:prstGeom>
                          <a:noFill/>
                          <a:ln>
                            <a:noFill/>
                          </a:ln>
                        </pic:spPr>
                      </pic:pic>
                    </a:graphicData>
                  </a:graphic>
                </wp:anchor>
              </w:drawing>
            </w:r>
          </w:p>
          <w:p>
            <w:pPr>
              <w:pStyle w:val="2"/>
              <w:rPr>
                <w:bCs/>
              </w:rPr>
            </w:pPr>
          </w:p>
          <w:p/>
          <w:p>
            <w:pPr>
              <w:spacing w:line="420" w:lineRule="exact"/>
              <w:ind w:firstLine="420" w:firstLineChars="200"/>
              <w:rPr>
                <w:bCs/>
              </w:rPr>
            </w:pPr>
            <w:r>
              <w:rPr>
                <w:bCs/>
              </w:rPr>
              <w:t>其中：Lp——预测点处的声级叠加值，dB（A）；</w:t>
            </w:r>
          </w:p>
          <w:p>
            <w:pPr>
              <w:spacing w:line="420" w:lineRule="exact"/>
              <w:ind w:firstLine="420" w:firstLineChars="200"/>
              <w:rPr>
                <w:bCs/>
              </w:rPr>
            </w:pPr>
            <w:r>
              <w:rPr>
                <w:bCs/>
                <w:color w:val="FF0000"/>
              </w:rPr>
              <w:t xml:space="preserve">    </w:t>
            </w:r>
            <w:r>
              <w:rPr>
                <w:bCs/>
              </w:rPr>
              <w:t xml:space="preserve">       n——噪声源个数。</w:t>
            </w:r>
          </w:p>
          <w:p>
            <w:pPr>
              <w:spacing w:line="420" w:lineRule="exact"/>
              <w:ind w:firstLine="420" w:firstLineChars="200"/>
              <w:rPr>
                <w:bCs/>
              </w:rPr>
            </w:pPr>
            <w:r>
              <w:rPr>
                <w:bCs/>
              </w:rPr>
              <w:t>参数确定：</w:t>
            </w:r>
          </w:p>
          <w:p>
            <w:pPr>
              <w:spacing w:line="420" w:lineRule="exact"/>
              <w:ind w:firstLine="420" w:firstLineChars="200"/>
              <w:rPr>
                <w:bCs/>
                <w:vertAlign w:val="subscript"/>
              </w:rPr>
            </w:pPr>
            <w:r>
              <w:drawing>
                <wp:anchor distT="0" distB="0" distL="114300" distR="114300" simplePos="0" relativeHeight="251660288" behindDoc="0" locked="0" layoutInCell="1" allowOverlap="1">
                  <wp:simplePos x="0" y="0"/>
                  <wp:positionH relativeFrom="column">
                    <wp:posOffset>1398905</wp:posOffset>
                  </wp:positionH>
                  <wp:positionV relativeFrom="paragraph">
                    <wp:posOffset>234315</wp:posOffset>
                  </wp:positionV>
                  <wp:extent cx="390525" cy="428625"/>
                  <wp:effectExtent l="0" t="0" r="9525" b="762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17"/>
                          <a:stretch>
                            <a:fillRect/>
                          </a:stretch>
                        </pic:blipFill>
                        <pic:spPr>
                          <a:xfrm>
                            <a:off x="0" y="0"/>
                            <a:ext cx="390525" cy="428625"/>
                          </a:xfrm>
                          <a:prstGeom prst="rect">
                            <a:avLst/>
                          </a:prstGeom>
                          <a:noFill/>
                          <a:ln>
                            <a:noFill/>
                          </a:ln>
                        </pic:spPr>
                      </pic:pic>
                    </a:graphicData>
                  </a:graphic>
                </wp:anchor>
              </w:drawing>
            </w:r>
            <w:r>
              <w:rPr>
                <w:bCs/>
              </w:rPr>
              <w:t>a. A</w:t>
            </w:r>
            <w:r>
              <w:rPr>
                <w:bCs/>
                <w:vertAlign w:val="subscript"/>
              </w:rPr>
              <w:t>div</w:t>
            </w:r>
          </w:p>
          <w:p>
            <w:pPr>
              <w:spacing w:after="240" w:line="420" w:lineRule="exact"/>
              <w:ind w:firstLine="420" w:firstLineChars="200"/>
              <w:rPr>
                <w:bCs/>
              </w:rPr>
            </w:pPr>
            <w:r>
              <w:rPr>
                <w:bCs/>
              </w:rPr>
              <w:t>对点声源   A</w:t>
            </w:r>
            <w:r>
              <w:rPr>
                <w:bCs/>
                <w:vertAlign w:val="subscript"/>
              </w:rPr>
              <w:t>div</w:t>
            </w:r>
            <w:r>
              <w:rPr>
                <w:bCs/>
              </w:rPr>
              <w:t xml:space="preserve"> = 20</w:t>
            </w:r>
          </w:p>
          <w:p>
            <w:pPr>
              <w:spacing w:line="420" w:lineRule="exact"/>
              <w:ind w:firstLine="420" w:firstLineChars="200"/>
              <w:rPr>
                <w:bCs/>
              </w:rPr>
            </w:pPr>
            <w:r>
              <w:rPr>
                <w:bCs/>
              </w:rPr>
              <w:t xml:space="preserve">    式中： r—声源到预测点的距离，m；</w:t>
            </w:r>
          </w:p>
          <w:p>
            <w:pPr>
              <w:spacing w:line="420" w:lineRule="exact"/>
              <w:ind w:firstLine="420" w:firstLineChars="200"/>
              <w:rPr>
                <w:bCs/>
              </w:rPr>
            </w:pPr>
            <w:r>
              <w:rPr>
                <w:bCs/>
              </w:rPr>
              <w:t xml:space="preserve">           r</w:t>
            </w:r>
            <w:r>
              <w:rPr>
                <w:bCs/>
                <w:vertAlign w:val="subscript"/>
              </w:rPr>
              <w:t>0</w:t>
            </w:r>
            <w:r>
              <w:rPr>
                <w:bCs/>
              </w:rPr>
              <w:t>—声源到参考点的距离，m。</w:t>
            </w:r>
          </w:p>
          <w:p>
            <w:pPr>
              <w:spacing w:line="420" w:lineRule="exact"/>
              <w:ind w:firstLine="420" w:firstLineChars="200"/>
              <w:rPr>
                <w:bCs/>
              </w:rPr>
            </w:pPr>
            <w:r>
              <w:rPr>
                <w:bCs/>
              </w:rPr>
              <w:t>b. A</w:t>
            </w:r>
            <w:r>
              <w:rPr>
                <w:bCs/>
                <w:vertAlign w:val="subscript"/>
              </w:rPr>
              <w:t>atm</w:t>
            </w:r>
          </w:p>
          <w:p>
            <w:pPr>
              <w:widowControl/>
              <w:jc w:val="center"/>
              <w:rPr>
                <w:kern w:val="0"/>
              </w:rPr>
            </w:pPr>
            <w:r>
              <w:rPr>
                <w:kern w:val="0"/>
              </w:rPr>
              <w:drawing>
                <wp:inline distT="0" distB="0" distL="114300" distR="114300">
                  <wp:extent cx="1009650" cy="400050"/>
                  <wp:effectExtent l="0" t="0" r="0" b="0"/>
                  <wp:docPr id="3" name="图片 9" descr="E:\韩晓龙\MobileFile\471847002\Image\C2C\9}A$]GUJ}L%HV}UNZ7TTV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E:\韩晓龙\MobileFile\471847002\Image\C2C\9}A$]GUJ}L%HV}UNZ7TTVHE.png"/>
                          <pic:cNvPicPr>
                            <a:picLocks noChangeAspect="1"/>
                          </pic:cNvPicPr>
                        </pic:nvPicPr>
                        <pic:blipFill>
                          <a:blip r:embed="rId18"/>
                          <a:stretch>
                            <a:fillRect/>
                          </a:stretch>
                        </pic:blipFill>
                        <pic:spPr>
                          <a:xfrm>
                            <a:off x="0" y="0"/>
                            <a:ext cx="1009650" cy="400050"/>
                          </a:xfrm>
                          <a:prstGeom prst="rect">
                            <a:avLst/>
                          </a:prstGeom>
                          <a:noFill/>
                          <a:ln>
                            <a:noFill/>
                          </a:ln>
                        </pic:spPr>
                      </pic:pic>
                    </a:graphicData>
                  </a:graphic>
                </wp:inline>
              </w:drawing>
            </w:r>
          </w:p>
          <w:p>
            <w:pPr>
              <w:spacing w:line="420" w:lineRule="exact"/>
              <w:ind w:firstLine="420" w:firstLineChars="200"/>
              <w:rPr>
                <w:bCs/>
              </w:rPr>
            </w:pPr>
            <w:r>
              <w:rPr>
                <w:bCs/>
              </w:rPr>
              <w:t>其中，a为空气吸声系数，其随频率的增大而增大。该厂噪声以中低频为主，空气吸收性衰减很小，预测时可忽略不计。</w:t>
            </w:r>
          </w:p>
          <w:p>
            <w:pPr>
              <w:spacing w:line="420" w:lineRule="exact"/>
              <w:ind w:firstLine="420" w:firstLineChars="200"/>
              <w:rPr>
                <w:bCs/>
              </w:rPr>
            </w:pPr>
            <w:r>
              <w:rPr>
                <w:bCs/>
              </w:rPr>
              <w:t>c. A</w:t>
            </w:r>
            <w:r>
              <w:rPr>
                <w:bCs/>
                <w:vertAlign w:val="subscript"/>
              </w:rPr>
              <w:t>bar</w:t>
            </w:r>
          </w:p>
          <w:p>
            <w:pPr>
              <w:spacing w:line="420" w:lineRule="exact"/>
              <w:ind w:firstLine="420" w:firstLineChars="200"/>
              <w:rPr>
                <w:bCs/>
              </w:rPr>
            </w:pPr>
            <w:r>
              <w:rPr>
                <w:bCs/>
              </w:rPr>
              <w:t>由于主要噪声设备均置于厂房内，噪声在向外传播过程中将受到厂房或其他车间的阻挡影响，从而引起声能量的衰减，具体衰减依据声级的不同传播途径而定。</w:t>
            </w:r>
          </w:p>
          <w:p>
            <w:pPr>
              <w:spacing w:line="420" w:lineRule="exact"/>
              <w:ind w:firstLine="420" w:firstLineChars="200"/>
              <w:rPr>
                <w:bCs/>
              </w:rPr>
            </w:pPr>
            <w:r>
              <w:rPr>
                <w:bCs/>
              </w:rPr>
              <w:t>d. A</w:t>
            </w:r>
            <w:r>
              <w:rPr>
                <w:bCs/>
                <w:vertAlign w:val="subscript"/>
              </w:rPr>
              <w:t>exc</w:t>
            </w:r>
          </w:p>
          <w:p>
            <w:pPr>
              <w:spacing w:line="420" w:lineRule="exact"/>
              <w:ind w:firstLine="420" w:firstLineChars="200"/>
              <w:rPr>
                <w:bCs/>
              </w:rPr>
            </w:pPr>
            <w:r>
              <w:rPr>
                <w:bCs/>
              </w:rPr>
              <w:t>主要考虑地面效应引起的附加衰减量，根据本工程厂区布置和噪声源强及外环境状况确定，取0～10dB（A）。</w:t>
            </w:r>
          </w:p>
          <w:p>
            <w:pPr>
              <w:spacing w:line="420" w:lineRule="exact"/>
              <w:ind w:firstLine="420" w:firstLineChars="200"/>
            </w:pPr>
            <w:r>
              <w:t>本次评价对建设项目的厂界和敏感干噪声进行预测。噪声影响评价选取4个厂界点位和</w:t>
            </w:r>
            <w:r>
              <w:rPr>
                <w:rFonts w:hint="eastAsia"/>
              </w:rPr>
              <w:t>周边敏感点</w:t>
            </w:r>
            <w:r>
              <w:t>作为此次本工程对环境的影响预测点，预测、评价工程噪声对环境的影响。利用以上预测模式和参数计算得出项目建成后，主要噪声设备对厂界和敏感点的噪声预测值。预测结果见下表。</w:t>
            </w:r>
          </w:p>
          <w:p>
            <w:pPr>
              <w:spacing w:line="420" w:lineRule="exact"/>
              <w:jc w:val="center"/>
              <w:rPr>
                <w:b/>
                <w:spacing w:val="8"/>
                <w:kern w:val="24"/>
              </w:rPr>
            </w:pPr>
            <w:r>
              <w:rPr>
                <w:b/>
                <w:spacing w:val="8"/>
                <w:kern w:val="24"/>
              </w:rPr>
              <w:t>表4-</w:t>
            </w:r>
            <w:r>
              <w:rPr>
                <w:rFonts w:hint="eastAsia"/>
                <w:b/>
                <w:spacing w:val="8"/>
                <w:kern w:val="24"/>
              </w:rPr>
              <w:t>19</w:t>
            </w:r>
            <w:r>
              <w:rPr>
                <w:b/>
                <w:spacing w:val="8"/>
                <w:kern w:val="24"/>
              </w:rPr>
              <w:t>项目建成后各厂界的声级预测值一览表  单位：dB（A）</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1598"/>
              <w:gridCol w:w="1411"/>
              <w:gridCol w:w="1585"/>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44" w:type="pct"/>
                  <w:vMerge w:val="restart"/>
                  <w:vAlign w:val="center"/>
                </w:tcPr>
                <w:p>
                  <w:pPr>
                    <w:adjustRightInd w:val="0"/>
                    <w:snapToGrid w:val="0"/>
                    <w:jc w:val="center"/>
                    <w:rPr>
                      <w:b/>
                      <w:bCs/>
                      <w:kern w:val="0"/>
                      <w:sz w:val="18"/>
                      <w:szCs w:val="18"/>
                    </w:rPr>
                  </w:pPr>
                  <w:r>
                    <w:rPr>
                      <w:b/>
                      <w:bCs/>
                      <w:kern w:val="0"/>
                      <w:sz w:val="18"/>
                      <w:szCs w:val="18"/>
                    </w:rPr>
                    <w:t>排放源</w:t>
                  </w:r>
                </w:p>
              </w:tc>
              <w:tc>
                <w:tcPr>
                  <w:tcW w:w="3655" w:type="pct"/>
                  <w:gridSpan w:val="4"/>
                  <w:vAlign w:val="center"/>
                </w:tcPr>
                <w:p>
                  <w:pPr>
                    <w:adjustRightInd w:val="0"/>
                    <w:snapToGrid w:val="0"/>
                    <w:jc w:val="center"/>
                    <w:rPr>
                      <w:b/>
                      <w:bCs/>
                      <w:kern w:val="0"/>
                      <w:sz w:val="18"/>
                      <w:szCs w:val="18"/>
                    </w:rPr>
                  </w:pPr>
                  <w:r>
                    <w:rPr>
                      <w:b/>
                      <w:bCs/>
                      <w:kern w:val="0"/>
                      <w:sz w:val="18"/>
                      <w:szCs w:val="18"/>
                    </w:rPr>
                    <w:t>对最近厂界的贡献值dB（A）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4" w:type="pct"/>
                  <w:vMerge w:val="continue"/>
                  <w:vAlign w:val="center"/>
                </w:tcPr>
                <w:p>
                  <w:pPr>
                    <w:adjustRightInd w:val="0"/>
                    <w:snapToGrid w:val="0"/>
                    <w:jc w:val="center"/>
                    <w:rPr>
                      <w:kern w:val="0"/>
                      <w:sz w:val="18"/>
                      <w:szCs w:val="18"/>
                    </w:rPr>
                  </w:pPr>
                </w:p>
              </w:tc>
              <w:tc>
                <w:tcPr>
                  <w:tcW w:w="955" w:type="pct"/>
                  <w:vAlign w:val="center"/>
                </w:tcPr>
                <w:p>
                  <w:pPr>
                    <w:adjustRightInd w:val="0"/>
                    <w:snapToGrid w:val="0"/>
                    <w:jc w:val="center"/>
                    <w:rPr>
                      <w:b/>
                      <w:bCs/>
                      <w:kern w:val="0"/>
                      <w:sz w:val="18"/>
                      <w:szCs w:val="18"/>
                    </w:rPr>
                  </w:pPr>
                  <w:r>
                    <w:rPr>
                      <w:b/>
                      <w:bCs/>
                      <w:kern w:val="0"/>
                      <w:sz w:val="18"/>
                      <w:szCs w:val="18"/>
                    </w:rPr>
                    <w:t>厂界东</w:t>
                  </w:r>
                </w:p>
              </w:tc>
              <w:tc>
                <w:tcPr>
                  <w:tcW w:w="843" w:type="pct"/>
                  <w:vAlign w:val="center"/>
                </w:tcPr>
                <w:p>
                  <w:pPr>
                    <w:adjustRightInd w:val="0"/>
                    <w:snapToGrid w:val="0"/>
                    <w:jc w:val="center"/>
                    <w:rPr>
                      <w:b/>
                      <w:bCs/>
                      <w:kern w:val="0"/>
                      <w:sz w:val="18"/>
                      <w:szCs w:val="18"/>
                    </w:rPr>
                  </w:pPr>
                  <w:r>
                    <w:rPr>
                      <w:b/>
                      <w:bCs/>
                      <w:kern w:val="0"/>
                      <w:sz w:val="18"/>
                      <w:szCs w:val="18"/>
                    </w:rPr>
                    <w:t>厂界南</w:t>
                  </w:r>
                </w:p>
              </w:tc>
              <w:tc>
                <w:tcPr>
                  <w:tcW w:w="947" w:type="pct"/>
                  <w:vAlign w:val="center"/>
                </w:tcPr>
                <w:p>
                  <w:pPr>
                    <w:adjustRightInd w:val="0"/>
                    <w:snapToGrid w:val="0"/>
                    <w:jc w:val="center"/>
                    <w:rPr>
                      <w:b/>
                      <w:bCs/>
                      <w:kern w:val="0"/>
                      <w:sz w:val="18"/>
                      <w:szCs w:val="18"/>
                    </w:rPr>
                  </w:pPr>
                  <w:r>
                    <w:rPr>
                      <w:b/>
                      <w:bCs/>
                      <w:kern w:val="0"/>
                      <w:sz w:val="18"/>
                      <w:szCs w:val="18"/>
                    </w:rPr>
                    <w:t>厂界西</w:t>
                  </w:r>
                </w:p>
              </w:tc>
              <w:tc>
                <w:tcPr>
                  <w:tcW w:w="908" w:type="pct"/>
                  <w:vAlign w:val="center"/>
                </w:tcPr>
                <w:p>
                  <w:pPr>
                    <w:adjustRightInd w:val="0"/>
                    <w:snapToGrid w:val="0"/>
                    <w:jc w:val="center"/>
                    <w:rPr>
                      <w:b/>
                      <w:bCs/>
                      <w:kern w:val="0"/>
                      <w:sz w:val="18"/>
                      <w:szCs w:val="18"/>
                    </w:rPr>
                  </w:pPr>
                  <w:r>
                    <w:rPr>
                      <w:b/>
                      <w:bCs/>
                      <w:kern w:val="0"/>
                      <w:sz w:val="18"/>
                      <w:szCs w:val="18"/>
                    </w:rPr>
                    <w:t>厂界北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344" w:type="pct"/>
                  <w:vAlign w:val="center"/>
                </w:tcPr>
                <w:p>
                  <w:pPr>
                    <w:adjustRightInd w:val="0"/>
                    <w:snapToGrid w:val="0"/>
                    <w:jc w:val="center"/>
                    <w:rPr>
                      <w:kern w:val="0"/>
                      <w:sz w:val="18"/>
                      <w:szCs w:val="18"/>
                    </w:rPr>
                  </w:pPr>
                  <w:r>
                    <w:rPr>
                      <w:kern w:val="0"/>
                      <w:sz w:val="18"/>
                      <w:szCs w:val="18"/>
                    </w:rPr>
                    <w:t>车间设备</w:t>
                  </w:r>
                </w:p>
              </w:tc>
              <w:tc>
                <w:tcPr>
                  <w:tcW w:w="955" w:type="pct"/>
                  <w:vAlign w:val="center"/>
                </w:tcPr>
                <w:p>
                  <w:pPr>
                    <w:adjustRightInd w:val="0"/>
                    <w:snapToGrid w:val="0"/>
                    <w:jc w:val="center"/>
                    <w:rPr>
                      <w:rFonts w:hint="default" w:eastAsia="宋体"/>
                      <w:kern w:val="0"/>
                      <w:sz w:val="18"/>
                      <w:szCs w:val="18"/>
                      <w:highlight w:val="none"/>
                      <w:lang w:val="en-US" w:eastAsia="zh-CN"/>
                    </w:rPr>
                  </w:pPr>
                  <w:r>
                    <w:rPr>
                      <w:rFonts w:hint="eastAsia"/>
                      <w:kern w:val="0"/>
                      <w:sz w:val="18"/>
                      <w:szCs w:val="18"/>
                      <w:highlight w:val="none"/>
                    </w:rPr>
                    <w:t>4</w:t>
                  </w:r>
                  <w:r>
                    <w:rPr>
                      <w:rFonts w:hint="eastAsia"/>
                      <w:kern w:val="0"/>
                      <w:sz w:val="18"/>
                      <w:szCs w:val="18"/>
                      <w:highlight w:val="none"/>
                      <w:lang w:val="en-US" w:eastAsia="zh-CN"/>
                    </w:rPr>
                    <w:t>0.77</w:t>
                  </w:r>
                </w:p>
              </w:tc>
              <w:tc>
                <w:tcPr>
                  <w:tcW w:w="843" w:type="pct"/>
                  <w:vAlign w:val="center"/>
                </w:tcPr>
                <w:p>
                  <w:pPr>
                    <w:adjustRightInd w:val="0"/>
                    <w:snapToGrid w:val="0"/>
                    <w:jc w:val="center"/>
                    <w:rPr>
                      <w:rFonts w:hint="default" w:eastAsia="宋体"/>
                      <w:kern w:val="0"/>
                      <w:sz w:val="18"/>
                      <w:szCs w:val="18"/>
                      <w:highlight w:val="none"/>
                      <w:lang w:val="en-US" w:eastAsia="zh-CN"/>
                    </w:rPr>
                  </w:pPr>
                  <w:r>
                    <w:rPr>
                      <w:rFonts w:hint="eastAsia"/>
                      <w:kern w:val="0"/>
                      <w:sz w:val="18"/>
                      <w:szCs w:val="18"/>
                      <w:highlight w:val="none"/>
                      <w:lang w:val="en-US" w:eastAsia="zh-CN"/>
                    </w:rPr>
                    <w:t>28.72</w:t>
                  </w:r>
                </w:p>
              </w:tc>
              <w:tc>
                <w:tcPr>
                  <w:tcW w:w="947" w:type="pct"/>
                  <w:vAlign w:val="center"/>
                </w:tcPr>
                <w:p>
                  <w:pPr>
                    <w:adjustRightInd w:val="0"/>
                    <w:snapToGrid w:val="0"/>
                    <w:jc w:val="center"/>
                    <w:rPr>
                      <w:rFonts w:hint="default" w:eastAsia="宋体"/>
                      <w:kern w:val="0"/>
                      <w:sz w:val="18"/>
                      <w:szCs w:val="18"/>
                      <w:highlight w:val="none"/>
                      <w:lang w:val="en-US" w:eastAsia="zh-CN"/>
                    </w:rPr>
                  </w:pPr>
                  <w:r>
                    <w:rPr>
                      <w:rFonts w:hint="eastAsia"/>
                      <w:kern w:val="0"/>
                      <w:sz w:val="18"/>
                      <w:szCs w:val="18"/>
                      <w:highlight w:val="none"/>
                      <w:lang w:val="en-US" w:eastAsia="zh-CN"/>
                    </w:rPr>
                    <w:t>34.53</w:t>
                  </w:r>
                </w:p>
              </w:tc>
              <w:tc>
                <w:tcPr>
                  <w:tcW w:w="908" w:type="pct"/>
                  <w:vAlign w:val="center"/>
                </w:tcPr>
                <w:p>
                  <w:pPr>
                    <w:adjustRightInd w:val="0"/>
                    <w:snapToGrid w:val="0"/>
                    <w:jc w:val="center"/>
                    <w:rPr>
                      <w:rFonts w:hint="default" w:eastAsia="宋体"/>
                      <w:kern w:val="0"/>
                      <w:sz w:val="18"/>
                      <w:szCs w:val="18"/>
                      <w:highlight w:val="none"/>
                      <w:lang w:val="en-US" w:eastAsia="zh-CN"/>
                    </w:rPr>
                  </w:pPr>
                  <w:r>
                    <w:rPr>
                      <w:rFonts w:hint="eastAsia"/>
                      <w:kern w:val="0"/>
                      <w:sz w:val="18"/>
                      <w:szCs w:val="18"/>
                      <w:highlight w:val="none"/>
                      <w:lang w:val="en-US" w:eastAsia="zh-CN"/>
                    </w:rPr>
                    <w:t>31.2</w:t>
                  </w:r>
                </w:p>
              </w:tc>
            </w:tr>
          </w:tbl>
          <w:p>
            <w:pPr>
              <w:spacing w:line="420" w:lineRule="exact"/>
              <w:ind w:firstLine="420" w:firstLineChars="200"/>
            </w:pPr>
            <w:r>
              <w:t>由上表可知项目运营后夜间不生产，厂界昼间噪声能满足《工业企业厂界环境噪声排放标准》（GB12348-2008）中2类标准（昼间60dB（A））。</w:t>
            </w:r>
          </w:p>
          <w:p>
            <w:pPr>
              <w:spacing w:line="420" w:lineRule="exact"/>
              <w:rPr>
                <w:b/>
                <w:bCs/>
                <w:szCs w:val="18"/>
              </w:rPr>
            </w:pPr>
            <w:r>
              <w:rPr>
                <w:b/>
                <w:bCs/>
                <w:szCs w:val="18"/>
              </w:rPr>
              <w:t>3、监测要求</w:t>
            </w:r>
          </w:p>
          <w:p>
            <w:pPr>
              <w:spacing w:line="420" w:lineRule="exact"/>
              <w:ind w:firstLine="420" w:firstLineChars="200"/>
            </w:pPr>
            <w:r>
              <w:t>依据《排污单位自行监测技术指南 总则》（HJ819-2017）</w:t>
            </w:r>
            <w:r>
              <w:rPr>
                <w:rFonts w:hint="eastAsia"/>
                <w:lang w:eastAsia="zh-CN"/>
              </w:rPr>
              <w:t>、</w:t>
            </w:r>
            <w:r>
              <w:t xml:space="preserve">《排污单位自行监测技术指南 </w:t>
            </w:r>
            <w:r>
              <w:rPr>
                <w:rFonts w:hint="eastAsia"/>
                <w:lang w:eastAsia="zh-CN"/>
              </w:rPr>
              <w:t>造纸工业</w:t>
            </w:r>
            <w:r>
              <w:t>》（HJ8</w:t>
            </w:r>
            <w:r>
              <w:rPr>
                <w:rFonts w:hint="eastAsia"/>
                <w:lang w:val="en-US" w:eastAsia="zh-CN"/>
              </w:rPr>
              <w:t>21</w:t>
            </w:r>
            <w:r>
              <w:t>-2017）和本项目情况，对本项目噪声的日常监测要求见下表：</w:t>
            </w:r>
          </w:p>
          <w:p>
            <w:pPr>
              <w:spacing w:line="420" w:lineRule="exact"/>
              <w:ind w:firstLine="25" w:firstLineChars="12"/>
              <w:jc w:val="center"/>
              <w:rPr>
                <w:b/>
                <w:bCs/>
              </w:rPr>
            </w:pPr>
            <w:r>
              <w:rPr>
                <w:b/>
                <w:bCs/>
              </w:rPr>
              <w:t>表4-2</w:t>
            </w:r>
            <w:r>
              <w:rPr>
                <w:rFonts w:hint="eastAsia"/>
                <w:b/>
                <w:bCs/>
              </w:rPr>
              <w:t>1</w:t>
            </w:r>
            <w:r>
              <w:rPr>
                <w:b/>
                <w:bCs/>
              </w:rPr>
              <w:t>噪声监测要求</w:t>
            </w:r>
          </w:p>
          <w:tbl>
            <w:tblPr>
              <w:tblStyle w:val="8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5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603" w:type="pct"/>
                  <w:vAlign w:val="center"/>
                </w:tcPr>
                <w:p>
                  <w:pPr>
                    <w:pStyle w:val="379"/>
                    <w:spacing w:line="420" w:lineRule="exact"/>
                    <w:ind w:firstLine="0" w:firstLineChars="0"/>
                    <w:jc w:val="center"/>
                    <w:rPr>
                      <w:b/>
                      <w:bCs/>
                      <w:sz w:val="18"/>
                      <w:szCs w:val="18"/>
                    </w:rPr>
                  </w:pPr>
                  <w:r>
                    <w:rPr>
                      <w:b/>
                      <w:bCs/>
                      <w:sz w:val="18"/>
                      <w:szCs w:val="18"/>
                    </w:rPr>
                    <w:t>监测点位</w:t>
                  </w:r>
                </w:p>
              </w:tc>
              <w:tc>
                <w:tcPr>
                  <w:tcW w:w="3396" w:type="pct"/>
                  <w:vAlign w:val="center"/>
                </w:tcPr>
                <w:p>
                  <w:pPr>
                    <w:pStyle w:val="379"/>
                    <w:spacing w:line="420" w:lineRule="exact"/>
                    <w:ind w:firstLine="0" w:firstLineChars="0"/>
                    <w:jc w:val="center"/>
                    <w:rPr>
                      <w:sz w:val="18"/>
                      <w:szCs w:val="18"/>
                    </w:rPr>
                  </w:pPr>
                  <w:r>
                    <w:rPr>
                      <w:sz w:val="18"/>
                      <w:szCs w:val="18"/>
                    </w:rPr>
                    <w:t>厂界外1m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3" w:type="pct"/>
                  <w:vAlign w:val="center"/>
                </w:tcPr>
                <w:p>
                  <w:pPr>
                    <w:pStyle w:val="379"/>
                    <w:spacing w:line="420" w:lineRule="exact"/>
                    <w:ind w:firstLine="0" w:firstLineChars="0"/>
                    <w:jc w:val="center"/>
                    <w:rPr>
                      <w:b/>
                      <w:bCs/>
                      <w:sz w:val="18"/>
                      <w:szCs w:val="18"/>
                    </w:rPr>
                  </w:pPr>
                  <w:r>
                    <w:rPr>
                      <w:b/>
                      <w:bCs/>
                      <w:sz w:val="18"/>
                      <w:szCs w:val="18"/>
                    </w:rPr>
                    <w:t>监测频次</w:t>
                  </w:r>
                </w:p>
              </w:tc>
              <w:tc>
                <w:tcPr>
                  <w:tcW w:w="3396" w:type="pct"/>
                  <w:vAlign w:val="center"/>
                </w:tcPr>
                <w:p>
                  <w:pPr>
                    <w:pStyle w:val="379"/>
                    <w:spacing w:line="420" w:lineRule="exact"/>
                    <w:ind w:firstLine="0" w:firstLineChars="0"/>
                    <w:jc w:val="center"/>
                    <w:rPr>
                      <w:sz w:val="18"/>
                      <w:szCs w:val="18"/>
                      <w:lang w:val="en-US"/>
                    </w:rPr>
                  </w:pPr>
                  <w:r>
                    <w:rPr>
                      <w:sz w:val="18"/>
                      <w:szCs w:val="18"/>
                      <w:lang w:val="en-US"/>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3" w:type="pct"/>
                  <w:vAlign w:val="center"/>
                </w:tcPr>
                <w:p>
                  <w:pPr>
                    <w:pStyle w:val="379"/>
                    <w:spacing w:line="420" w:lineRule="exact"/>
                    <w:ind w:firstLine="0" w:firstLineChars="0"/>
                    <w:jc w:val="center"/>
                    <w:rPr>
                      <w:b/>
                      <w:bCs/>
                      <w:sz w:val="18"/>
                      <w:szCs w:val="18"/>
                    </w:rPr>
                  </w:pPr>
                  <w:r>
                    <w:rPr>
                      <w:b/>
                      <w:bCs/>
                      <w:sz w:val="18"/>
                      <w:szCs w:val="18"/>
                    </w:rPr>
                    <w:t>执行标准</w:t>
                  </w:r>
                </w:p>
              </w:tc>
              <w:tc>
                <w:tcPr>
                  <w:tcW w:w="3396" w:type="pct"/>
                  <w:vAlign w:val="center"/>
                </w:tcPr>
                <w:p>
                  <w:pPr>
                    <w:pStyle w:val="379"/>
                    <w:spacing w:line="420" w:lineRule="exact"/>
                    <w:ind w:firstLine="0" w:firstLineChars="0"/>
                    <w:jc w:val="center"/>
                    <w:rPr>
                      <w:sz w:val="18"/>
                      <w:szCs w:val="18"/>
                    </w:rPr>
                  </w:pPr>
                  <w:r>
                    <w:rPr>
                      <w:sz w:val="18"/>
                      <w:szCs w:val="18"/>
                    </w:rPr>
                    <w:t>《工业企业厂界环境噪声排放标准》（GB12348-2008）2类区标准</w:t>
                  </w:r>
                </w:p>
              </w:tc>
            </w:tr>
          </w:tbl>
          <w:p>
            <w:pPr>
              <w:adjustRightInd w:val="0"/>
              <w:snapToGrid w:val="0"/>
              <w:spacing w:line="360" w:lineRule="auto"/>
              <w:ind w:firstLine="422" w:firstLineChars="200"/>
              <w:rPr>
                <w:b/>
                <w:bCs/>
              </w:rPr>
            </w:pPr>
            <w:r>
              <w:rPr>
                <w:b/>
                <w:bCs/>
              </w:rPr>
              <w:t>四、固体废物</w:t>
            </w:r>
          </w:p>
          <w:p>
            <w:pPr>
              <w:adjustRightInd w:val="0"/>
              <w:snapToGrid w:val="0"/>
              <w:spacing w:line="360" w:lineRule="auto"/>
              <w:ind w:firstLine="422" w:firstLineChars="200"/>
              <w:rPr>
                <w:b/>
                <w:bCs/>
              </w:rPr>
            </w:pPr>
            <w:r>
              <w:rPr>
                <w:b/>
                <w:bCs/>
              </w:rPr>
              <w:t>1、固体废弃物产生环节及处置</w:t>
            </w:r>
          </w:p>
          <w:p>
            <w:pPr>
              <w:autoSpaceDE w:val="0"/>
              <w:autoSpaceDN w:val="0"/>
              <w:adjustRightInd w:val="0"/>
              <w:snapToGrid w:val="0"/>
              <w:spacing w:line="360" w:lineRule="auto"/>
              <w:ind w:firstLine="420" w:firstLineChars="200"/>
              <w:rPr>
                <w:rFonts w:hint="eastAsia"/>
                <w:szCs w:val="21"/>
              </w:rPr>
            </w:pPr>
            <w:r>
              <w:rPr>
                <w:rFonts w:hint="eastAsia"/>
                <w:szCs w:val="21"/>
              </w:rPr>
              <w:t>本项目生产过程胶桶量产生量约为</w:t>
            </w:r>
            <w:r>
              <w:rPr>
                <w:szCs w:val="21"/>
              </w:rPr>
              <w:t>1.8t/a</w:t>
            </w:r>
            <w:r>
              <w:rPr>
                <w:rFonts w:hint="eastAsia"/>
                <w:szCs w:val="21"/>
              </w:rPr>
              <w:t>，由生产厂家回收用于下次包装生产。根据《固体废物鉴别标准通则》（</w:t>
            </w:r>
            <w:r>
              <w:rPr>
                <w:szCs w:val="21"/>
              </w:rPr>
              <w:t>GB34330-2017</w:t>
            </w:r>
            <w:r>
              <w:rPr>
                <w:rFonts w:hint="eastAsia"/>
                <w:szCs w:val="21"/>
              </w:rPr>
              <w:t>）第</w:t>
            </w:r>
            <w:r>
              <w:rPr>
                <w:szCs w:val="21"/>
              </w:rPr>
              <w:t>6</w:t>
            </w:r>
            <w:r>
              <w:rPr>
                <w:rFonts w:hint="eastAsia"/>
                <w:szCs w:val="21"/>
              </w:rPr>
              <w:t>条</w:t>
            </w:r>
            <w:r>
              <w:rPr>
                <w:szCs w:val="21"/>
              </w:rPr>
              <w:t>6.1</w:t>
            </w:r>
            <w:r>
              <w:rPr>
                <w:rFonts w:hint="eastAsia"/>
                <w:szCs w:val="21"/>
              </w:rPr>
              <w:t>的要求</w:t>
            </w:r>
            <w:r>
              <w:rPr>
                <w:szCs w:val="21"/>
              </w:rPr>
              <w:t>“</w:t>
            </w:r>
            <w:r>
              <w:rPr>
                <w:rFonts w:hint="eastAsia"/>
                <w:szCs w:val="21"/>
              </w:rPr>
              <w:t>任何不需要修复和加工即可用于其原始用途的物质，或者在产生点经过修复和加工后满足国家、地方制定或行业通行的产品质量标准并且用于原始用途的物质，不作为固体废物管理</w:t>
            </w:r>
            <w:r>
              <w:rPr>
                <w:szCs w:val="21"/>
              </w:rPr>
              <w:t>”</w:t>
            </w:r>
            <w:r>
              <w:rPr>
                <w:rFonts w:hint="eastAsia"/>
                <w:szCs w:val="21"/>
              </w:rPr>
              <w:t>。本项目胶桶由生产厂家回收用于下次包装生产，所以不作为固体废物管理。</w:t>
            </w:r>
          </w:p>
          <w:p>
            <w:pPr>
              <w:autoSpaceDE w:val="0"/>
              <w:autoSpaceDN w:val="0"/>
              <w:adjustRightInd w:val="0"/>
              <w:snapToGrid w:val="0"/>
              <w:spacing w:line="360" w:lineRule="auto"/>
              <w:ind w:firstLine="420" w:firstLineChars="200"/>
              <w:rPr>
                <w:color w:val="auto"/>
              </w:rPr>
            </w:pPr>
            <w:r>
              <w:rPr>
                <w:bCs/>
              </w:rPr>
              <w:t>项目产生的固体废物</w:t>
            </w:r>
            <w:r>
              <w:rPr>
                <w:rFonts w:hint="eastAsia"/>
                <w:bCs/>
                <w:lang w:eastAsia="zh-CN"/>
              </w:rPr>
              <w:t>主要</w:t>
            </w:r>
            <w:r>
              <w:rPr>
                <w:bCs/>
              </w:rPr>
              <w:t>为</w:t>
            </w:r>
            <w:r>
              <w:rPr>
                <w:rFonts w:hint="eastAsia"/>
                <w:lang w:eastAsia="zh-CN"/>
              </w:rPr>
              <w:t>废纸</w:t>
            </w:r>
            <w:r>
              <w:rPr>
                <w:rFonts w:hint="eastAsia" w:ascii="Times New Roman"/>
                <w:color w:val="auto"/>
                <w:sz w:val="21"/>
                <w:szCs w:val="21"/>
                <w:lang w:eastAsia="zh-CN"/>
              </w:rPr>
              <w:t>下脚料</w:t>
            </w:r>
            <w:r>
              <w:rPr>
                <w:color w:val="auto"/>
              </w:rPr>
              <w:t>、废活性炭</w:t>
            </w:r>
            <w:r>
              <w:rPr>
                <w:rFonts w:hint="eastAsia"/>
                <w:color w:val="auto"/>
                <w:lang w:eastAsia="zh-CN"/>
              </w:rPr>
              <w:t>及员工</w:t>
            </w:r>
            <w:r>
              <w:rPr>
                <w:color w:val="auto"/>
              </w:rPr>
              <w:t>生活垃圾。</w:t>
            </w:r>
          </w:p>
          <w:p>
            <w:pPr>
              <w:autoSpaceDE w:val="0"/>
              <w:autoSpaceDN w:val="0"/>
              <w:adjustRightInd w:val="0"/>
              <w:snapToGrid w:val="0"/>
              <w:spacing w:line="360" w:lineRule="auto"/>
              <w:ind w:firstLine="420" w:firstLineChars="200"/>
              <w:rPr>
                <w:color w:val="auto"/>
              </w:rPr>
            </w:pPr>
            <w:r>
              <w:rPr>
                <w:color w:val="auto"/>
              </w:rPr>
              <w:t>（1）废</w:t>
            </w:r>
            <w:r>
              <w:rPr>
                <w:rFonts w:hint="eastAsia"/>
                <w:color w:val="auto"/>
                <w:lang w:eastAsia="zh-CN"/>
              </w:rPr>
              <w:t>纸</w:t>
            </w:r>
            <w:r>
              <w:rPr>
                <w:rFonts w:hint="eastAsia" w:ascii="Times New Roman"/>
                <w:color w:val="auto"/>
                <w:sz w:val="21"/>
                <w:szCs w:val="21"/>
                <w:lang w:eastAsia="zh-CN"/>
              </w:rPr>
              <w:t>下脚料</w:t>
            </w:r>
            <w:r>
              <w:rPr>
                <w:color w:val="auto"/>
              </w:rPr>
              <w:t>：</w:t>
            </w:r>
            <w:r>
              <w:rPr>
                <w:rFonts w:hint="eastAsia"/>
                <w:color w:val="auto"/>
                <w:lang w:eastAsia="zh-CN"/>
              </w:rPr>
              <w:t>纸张</w:t>
            </w:r>
            <w:r>
              <w:rPr>
                <w:color w:val="auto"/>
              </w:rPr>
              <w:t>裁切过程中会产生废</w:t>
            </w:r>
            <w:r>
              <w:rPr>
                <w:rFonts w:hint="eastAsia"/>
                <w:color w:val="auto"/>
                <w:lang w:eastAsia="zh-CN"/>
              </w:rPr>
              <w:t>纸下脚料</w:t>
            </w:r>
            <w:r>
              <w:rPr>
                <w:color w:val="auto"/>
              </w:rPr>
              <w:t>，产生量为</w:t>
            </w:r>
            <w:r>
              <w:rPr>
                <w:rFonts w:hint="eastAsia"/>
                <w:color w:val="auto"/>
                <w:lang w:val="en-US" w:eastAsia="zh-CN"/>
              </w:rPr>
              <w:t>50</w:t>
            </w:r>
            <w:r>
              <w:rPr>
                <w:color w:val="auto"/>
              </w:rPr>
              <w:t>t/a，集中收集后暂存在一般固废暂存处，定期外卖</w:t>
            </w:r>
            <w:r>
              <w:rPr>
                <w:rFonts w:hint="eastAsia"/>
                <w:color w:val="auto"/>
                <w:lang w:eastAsia="zh-CN"/>
              </w:rPr>
              <w:t>处理</w:t>
            </w:r>
            <w:r>
              <w:rPr>
                <w:color w:val="auto"/>
              </w:rPr>
              <w:t>。</w:t>
            </w:r>
          </w:p>
          <w:p>
            <w:pPr>
              <w:autoSpaceDE w:val="0"/>
              <w:autoSpaceDN w:val="0"/>
              <w:adjustRightInd w:val="0"/>
              <w:snapToGrid w:val="0"/>
              <w:spacing w:line="360" w:lineRule="auto"/>
              <w:ind w:firstLine="420" w:firstLineChars="200"/>
            </w:pPr>
            <w:r>
              <w:rPr>
                <w:color w:val="auto"/>
              </w:rPr>
              <w:t>（2）</w:t>
            </w:r>
            <w:r>
              <w:t>废活性炭：</w:t>
            </w:r>
            <w:r>
              <w:rPr>
                <w:rFonts w:hint="eastAsia"/>
              </w:rPr>
              <w:t>本项目使用的活性炭碘值为650mg/g，</w:t>
            </w:r>
            <w:r>
              <w:t>每个活性炭吸附柜尺寸</w:t>
            </w:r>
            <w:r>
              <w:rPr>
                <w:rFonts w:hint="eastAsia"/>
              </w:rPr>
              <w:t>0.8</w:t>
            </w:r>
            <w:r>
              <w:rPr>
                <w:rFonts w:hint="eastAsia"/>
                <w:lang w:val="en-US" w:eastAsia="zh-CN"/>
              </w:rPr>
              <w:t>5</w:t>
            </w:r>
            <w:r>
              <w:t>m×</w:t>
            </w:r>
            <w:r>
              <w:rPr>
                <w:rFonts w:hint="eastAsia"/>
              </w:rPr>
              <w:t>0.</w:t>
            </w:r>
            <w:r>
              <w:rPr>
                <w:rFonts w:hint="eastAsia"/>
                <w:lang w:val="en-US" w:eastAsia="zh-CN"/>
              </w:rPr>
              <w:t>85</w:t>
            </w:r>
            <w:r>
              <w:t>m×</w:t>
            </w:r>
            <w:r>
              <w:rPr>
                <w:rFonts w:hint="eastAsia"/>
              </w:rPr>
              <w:t>0.4</w:t>
            </w:r>
            <w:r>
              <w:t>m，蜂窝状活性炭密度约为400kg/m</w:t>
            </w:r>
            <w:r>
              <w:rPr>
                <w:vertAlign w:val="superscript"/>
              </w:rPr>
              <w:t>3</w:t>
            </w:r>
            <w:r>
              <w:t>，每个活性炭吸附柜活性炭装填量可达</w:t>
            </w:r>
            <w:r>
              <w:rPr>
                <w:rFonts w:hint="eastAsia"/>
              </w:rPr>
              <w:t>0.</w:t>
            </w:r>
            <w:r>
              <w:rPr>
                <w:rFonts w:hint="eastAsia"/>
                <w:lang w:val="en-US" w:eastAsia="zh-CN"/>
              </w:rPr>
              <w:t>1156</w:t>
            </w:r>
            <w:r>
              <w:t>t。因此，“</w:t>
            </w:r>
            <w:r>
              <w:rPr>
                <w:rFonts w:hint="eastAsia"/>
                <w:lang w:eastAsia="zh-CN"/>
              </w:rPr>
              <w:t>两</w:t>
            </w:r>
            <w:r>
              <w:t>级活性炭吸附”装置，新鲜活性炭单次更换量为</w:t>
            </w:r>
            <w:r>
              <w:rPr>
                <w:rFonts w:hint="eastAsia"/>
              </w:rPr>
              <w:t>0.</w:t>
            </w:r>
            <w:r>
              <w:rPr>
                <w:rFonts w:hint="eastAsia"/>
                <w:lang w:val="en-US" w:eastAsia="zh-CN"/>
              </w:rPr>
              <w:t>2312t</w:t>
            </w:r>
            <w:r>
              <w:t>/次。</w:t>
            </w:r>
            <w:r>
              <w:rPr>
                <w:rFonts w:hint="eastAsia"/>
              </w:rPr>
              <w:t>VOCs产生总量为0.</w:t>
            </w:r>
            <w:r>
              <w:rPr>
                <w:rFonts w:hint="eastAsia"/>
                <w:lang w:val="en-US" w:eastAsia="zh-CN"/>
              </w:rPr>
              <w:t>4</w:t>
            </w:r>
            <w:r>
              <w:rPr>
                <w:rFonts w:hint="eastAsia"/>
                <w:bCs/>
              </w:rPr>
              <w:t>t/a，集气罩收集效率约为90%，</w:t>
            </w:r>
            <w:r>
              <w:rPr>
                <w:rFonts w:hint="eastAsia"/>
                <w:lang w:eastAsia="zh-CN"/>
              </w:rPr>
              <w:t>两</w:t>
            </w:r>
            <w:r>
              <w:rPr>
                <w:rFonts w:hint="eastAsia"/>
              </w:rPr>
              <w:t>级活性炭吸附装置处理效率约为</w:t>
            </w:r>
            <w:r>
              <w:rPr>
                <w:rFonts w:hint="eastAsia"/>
                <w:lang w:val="en-US" w:eastAsia="zh-CN"/>
              </w:rPr>
              <w:t>7</w:t>
            </w:r>
            <w:r>
              <w:rPr>
                <w:rFonts w:hint="eastAsia"/>
              </w:rPr>
              <w:t>0%，</w:t>
            </w:r>
            <w:r>
              <w:rPr>
                <w:rFonts w:hint="eastAsia"/>
                <w:lang w:eastAsia="zh-CN"/>
              </w:rPr>
              <w:t>有组织</w:t>
            </w:r>
            <w:r>
              <w:rPr>
                <w:rFonts w:hint="eastAsia"/>
                <w:lang w:val="en-US" w:eastAsia="zh-CN"/>
              </w:rPr>
              <w:t>VOCs</w:t>
            </w:r>
            <w:r>
              <w:rPr>
                <w:rFonts w:hint="eastAsia"/>
                <w:lang w:eastAsia="zh-CN"/>
              </w:rPr>
              <w:t>排放量为</w:t>
            </w:r>
            <w:r>
              <w:rPr>
                <w:rFonts w:hint="eastAsia"/>
                <w:lang w:val="en-US" w:eastAsia="zh-CN"/>
              </w:rPr>
              <w:t>0.108t/a，</w:t>
            </w:r>
            <w:r>
              <w:rPr>
                <w:rFonts w:hint="eastAsia"/>
              </w:rPr>
              <w:t>则</w:t>
            </w:r>
            <w:r>
              <w:t>活性炭吸附有机废气约为</w:t>
            </w:r>
            <w:r>
              <w:rPr>
                <w:rFonts w:hint="eastAsia"/>
              </w:rPr>
              <w:t>0.</w:t>
            </w:r>
            <w:r>
              <w:rPr>
                <w:rFonts w:hint="eastAsia"/>
                <w:lang w:val="en-US" w:eastAsia="zh-CN"/>
              </w:rPr>
              <w:t>252</w:t>
            </w:r>
            <w:r>
              <w:rPr>
                <w:rFonts w:hint="eastAsia"/>
              </w:rPr>
              <w:t>t</w:t>
            </w:r>
            <w:r>
              <w:t>/a，</w:t>
            </w:r>
            <w:r>
              <w:rPr>
                <w:rFonts w:hint="eastAsia"/>
                <w:lang w:val="en-US" w:eastAsia="zh-CN"/>
              </w:rPr>
              <w:t>本项目</w:t>
            </w:r>
            <w:r>
              <w:rPr>
                <w:rFonts w:hint="eastAsia"/>
              </w:rPr>
              <w:t>0.</w:t>
            </w:r>
            <w:r>
              <w:rPr>
                <w:rFonts w:hint="eastAsia"/>
                <w:lang w:val="en-US" w:eastAsia="zh-CN"/>
              </w:rPr>
              <w:t>2312</w:t>
            </w:r>
            <w:r>
              <w:t>t</w:t>
            </w:r>
            <w:r>
              <w:rPr>
                <w:rFonts w:hint="eastAsia"/>
                <w:lang w:val="en-US" w:eastAsia="zh-CN"/>
              </w:rPr>
              <w:t>活性炭最大可吸附能力为0.0578tVOCs，</w:t>
            </w:r>
            <w:r>
              <w:rPr>
                <w:rFonts w:hint="eastAsia"/>
              </w:rPr>
              <w:t>因此，</w:t>
            </w:r>
            <w:r>
              <w:rPr>
                <w:rFonts w:hint="eastAsia"/>
                <w:lang w:eastAsia="zh-CN"/>
              </w:rPr>
              <w:t>本项目活性炭年更换量约</w:t>
            </w:r>
            <w:r>
              <w:rPr>
                <w:rFonts w:hint="eastAsia"/>
                <w:lang w:val="en-US" w:eastAsia="zh-CN"/>
              </w:rPr>
              <w:t>5次，</w:t>
            </w:r>
            <w:r>
              <w:t>废活性炭的产生量约为</w:t>
            </w:r>
            <w:r>
              <w:rPr>
                <w:rFonts w:hint="eastAsia"/>
                <w:lang w:val="en-US" w:eastAsia="zh-CN"/>
              </w:rPr>
              <w:t>1.408</w:t>
            </w:r>
            <w:r>
              <w:t>t/a</w:t>
            </w:r>
            <w:r>
              <w:rPr>
                <w:rFonts w:hint="eastAsia"/>
                <w:lang w:eastAsia="zh-CN"/>
              </w:rPr>
              <w:t>。</w:t>
            </w:r>
            <w:r>
              <w:t>属于 HW49 类危险废物，废物代码为900-039-49，收集后</w:t>
            </w:r>
            <w:r>
              <w:rPr>
                <w:rFonts w:hint="eastAsia"/>
              </w:rPr>
              <w:t>暂存在危废暂存间，</w:t>
            </w:r>
            <w:r>
              <w:t>委托有资质的单位处置</w:t>
            </w:r>
            <w:r>
              <w:rPr>
                <w:rFonts w:hint="eastAsia"/>
              </w:rPr>
              <w:t>。</w:t>
            </w:r>
          </w:p>
          <w:p>
            <w:pPr>
              <w:autoSpaceDE w:val="0"/>
              <w:autoSpaceDN w:val="0"/>
              <w:adjustRightInd w:val="0"/>
              <w:snapToGrid w:val="0"/>
              <w:spacing w:line="360" w:lineRule="auto"/>
              <w:ind w:firstLine="420" w:firstLineChars="200"/>
            </w:pPr>
            <w:r>
              <w:t>（</w:t>
            </w:r>
            <w:r>
              <w:rPr>
                <w:rFonts w:hint="eastAsia"/>
                <w:lang w:val="en-US" w:eastAsia="zh-CN"/>
              </w:rPr>
              <w:t>2</w:t>
            </w:r>
            <w:r>
              <w:t>）生活垃圾：生活垃圾以0.5kg/d·人计，项目职工定员为</w:t>
            </w:r>
            <w:r>
              <w:rPr>
                <w:rFonts w:hint="eastAsia"/>
                <w:lang w:val="en-US" w:eastAsia="zh-CN"/>
              </w:rPr>
              <w:t>2</w:t>
            </w:r>
            <w:r>
              <w:t>0人，年运营</w:t>
            </w:r>
            <w:r>
              <w:rPr>
                <w:rFonts w:hint="eastAsia"/>
                <w:lang w:val="en-US" w:eastAsia="zh-CN"/>
              </w:rPr>
              <w:t>30</w:t>
            </w:r>
            <w:r>
              <w:t>0天，则生活垃圾产生量为</w:t>
            </w:r>
            <w:r>
              <w:rPr>
                <w:rFonts w:hint="eastAsia"/>
                <w:lang w:val="en-US" w:eastAsia="zh-CN"/>
              </w:rPr>
              <w:t>3</w:t>
            </w:r>
            <w:r>
              <w:t>t/a</w:t>
            </w:r>
            <w:r>
              <w:rPr>
                <w:rFonts w:hint="eastAsia"/>
                <w:lang w:eastAsia="zh-CN"/>
              </w:rPr>
              <w:t>，</w:t>
            </w:r>
            <w:r>
              <w:t>全部</w:t>
            </w:r>
            <w:r>
              <w:rPr>
                <w:rFonts w:hint="eastAsia"/>
                <w:lang w:eastAsia="zh-CN"/>
              </w:rPr>
              <w:t>收集后由</w:t>
            </w:r>
            <w:r>
              <w:t xml:space="preserve">环卫部门统一收集处理。 </w:t>
            </w:r>
          </w:p>
          <w:p>
            <w:pPr>
              <w:autoSpaceDE w:val="0"/>
              <w:autoSpaceDN w:val="0"/>
              <w:adjustRightInd w:val="0"/>
              <w:snapToGrid w:val="0"/>
              <w:spacing w:line="360" w:lineRule="auto"/>
              <w:ind w:firstLine="420" w:firstLineChars="200"/>
            </w:pPr>
            <w:r>
              <w:t>根据《建设项目危险废物环境影响评价指南》（环保部公告[2017]43号）、《固体废物鉴别标准通则》（GB 34330-2017）。项目产生的固废为一般固废</w:t>
            </w:r>
            <w:r>
              <w:rPr>
                <w:rFonts w:hint="eastAsia"/>
                <w:lang w:eastAsia="zh-CN"/>
              </w:rPr>
              <w:t>及危险废物</w:t>
            </w:r>
            <w:r>
              <w:t>，一般固废</w:t>
            </w:r>
            <w:r>
              <w:rPr>
                <w:rFonts w:hint="eastAsia"/>
                <w:lang w:eastAsia="zh-CN"/>
              </w:rPr>
              <w:t>、危险废物</w:t>
            </w:r>
            <w:r>
              <w:t>产生情况分别如下所示：</w:t>
            </w:r>
          </w:p>
          <w:p>
            <w:pPr>
              <w:spacing w:line="420" w:lineRule="exact"/>
              <w:ind w:firstLine="25" w:firstLineChars="12"/>
              <w:jc w:val="center"/>
              <w:rPr>
                <w:b/>
                <w:bCs/>
              </w:rPr>
            </w:pPr>
            <w:r>
              <w:rPr>
                <w:b/>
                <w:bCs/>
              </w:rPr>
              <w:t>表4-2</w:t>
            </w:r>
            <w:r>
              <w:rPr>
                <w:rFonts w:hint="eastAsia"/>
                <w:b/>
                <w:bCs/>
              </w:rPr>
              <w:t>2</w:t>
            </w:r>
            <w:r>
              <w:rPr>
                <w:b/>
                <w:bCs/>
              </w:rPr>
              <w:t>一般固废废弃物产生情况表</w:t>
            </w:r>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407"/>
              <w:gridCol w:w="905"/>
              <w:gridCol w:w="1029"/>
              <w:gridCol w:w="1536"/>
              <w:gridCol w:w="1107"/>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300" w:lineRule="exact"/>
                    <w:jc w:val="center"/>
                    <w:rPr>
                      <w:b/>
                      <w:bCs/>
                      <w:sz w:val="18"/>
                      <w:szCs w:val="18"/>
                    </w:rPr>
                  </w:pPr>
                  <w:r>
                    <w:rPr>
                      <w:b/>
                      <w:bCs/>
                      <w:sz w:val="18"/>
                      <w:szCs w:val="18"/>
                    </w:rPr>
                    <w:t>产生环节</w:t>
                  </w:r>
                </w:p>
              </w:tc>
              <w:tc>
                <w:tcPr>
                  <w:tcW w:w="841" w:type="pct"/>
                  <w:vAlign w:val="center"/>
                </w:tcPr>
                <w:p>
                  <w:pPr>
                    <w:autoSpaceDE w:val="0"/>
                    <w:autoSpaceDN w:val="0"/>
                    <w:adjustRightInd w:val="0"/>
                    <w:spacing w:line="300" w:lineRule="exact"/>
                    <w:jc w:val="center"/>
                    <w:rPr>
                      <w:b/>
                      <w:bCs/>
                      <w:sz w:val="18"/>
                      <w:szCs w:val="18"/>
                    </w:rPr>
                  </w:pPr>
                  <w:r>
                    <w:rPr>
                      <w:b/>
                      <w:bCs/>
                      <w:sz w:val="18"/>
                      <w:szCs w:val="18"/>
                    </w:rPr>
                    <w:t>名称</w:t>
                  </w:r>
                </w:p>
              </w:tc>
              <w:tc>
                <w:tcPr>
                  <w:tcW w:w="541" w:type="pct"/>
                  <w:vAlign w:val="center"/>
                </w:tcPr>
                <w:p>
                  <w:pPr>
                    <w:autoSpaceDE w:val="0"/>
                    <w:autoSpaceDN w:val="0"/>
                    <w:adjustRightInd w:val="0"/>
                    <w:spacing w:line="300" w:lineRule="exact"/>
                    <w:jc w:val="center"/>
                    <w:rPr>
                      <w:b/>
                      <w:bCs/>
                      <w:sz w:val="18"/>
                      <w:szCs w:val="18"/>
                    </w:rPr>
                  </w:pPr>
                  <w:r>
                    <w:rPr>
                      <w:b/>
                      <w:bCs/>
                      <w:sz w:val="18"/>
                      <w:szCs w:val="18"/>
                    </w:rPr>
                    <w:t>性状</w:t>
                  </w:r>
                </w:p>
              </w:tc>
              <w:tc>
                <w:tcPr>
                  <w:tcW w:w="615" w:type="pct"/>
                  <w:vAlign w:val="center"/>
                </w:tcPr>
                <w:p>
                  <w:pPr>
                    <w:autoSpaceDE w:val="0"/>
                    <w:autoSpaceDN w:val="0"/>
                    <w:adjustRightInd w:val="0"/>
                    <w:spacing w:line="300" w:lineRule="exact"/>
                    <w:jc w:val="center"/>
                    <w:rPr>
                      <w:b/>
                      <w:bCs/>
                      <w:sz w:val="18"/>
                      <w:szCs w:val="18"/>
                    </w:rPr>
                  </w:pPr>
                  <w:r>
                    <w:rPr>
                      <w:b/>
                      <w:bCs/>
                      <w:sz w:val="18"/>
                      <w:szCs w:val="18"/>
                    </w:rPr>
                    <w:t>产生量t/a</w:t>
                  </w:r>
                </w:p>
              </w:tc>
              <w:tc>
                <w:tcPr>
                  <w:tcW w:w="918" w:type="pct"/>
                  <w:vAlign w:val="center"/>
                </w:tcPr>
                <w:p>
                  <w:pPr>
                    <w:autoSpaceDE w:val="0"/>
                    <w:autoSpaceDN w:val="0"/>
                    <w:adjustRightInd w:val="0"/>
                    <w:spacing w:line="300" w:lineRule="exact"/>
                    <w:jc w:val="center"/>
                    <w:rPr>
                      <w:b/>
                      <w:bCs/>
                      <w:sz w:val="18"/>
                      <w:szCs w:val="18"/>
                    </w:rPr>
                  </w:pPr>
                  <w:r>
                    <w:rPr>
                      <w:b/>
                      <w:bCs/>
                      <w:sz w:val="18"/>
                      <w:szCs w:val="18"/>
                    </w:rPr>
                    <w:t>储存方式</w:t>
                  </w:r>
                </w:p>
              </w:tc>
              <w:tc>
                <w:tcPr>
                  <w:tcW w:w="661" w:type="pct"/>
                  <w:vAlign w:val="center"/>
                </w:tcPr>
                <w:p>
                  <w:pPr>
                    <w:autoSpaceDE w:val="0"/>
                    <w:autoSpaceDN w:val="0"/>
                    <w:adjustRightInd w:val="0"/>
                    <w:spacing w:line="300" w:lineRule="exact"/>
                    <w:jc w:val="center"/>
                    <w:rPr>
                      <w:b/>
                      <w:bCs/>
                      <w:sz w:val="18"/>
                      <w:szCs w:val="18"/>
                    </w:rPr>
                  </w:pPr>
                  <w:r>
                    <w:rPr>
                      <w:b/>
                      <w:bCs/>
                      <w:sz w:val="18"/>
                      <w:szCs w:val="18"/>
                    </w:rPr>
                    <w:t>处置方式</w:t>
                  </w:r>
                </w:p>
              </w:tc>
              <w:tc>
                <w:tcPr>
                  <w:tcW w:w="707" w:type="pct"/>
                  <w:vAlign w:val="center"/>
                </w:tcPr>
                <w:p>
                  <w:pPr>
                    <w:autoSpaceDE w:val="0"/>
                    <w:autoSpaceDN w:val="0"/>
                    <w:adjustRightInd w:val="0"/>
                    <w:spacing w:line="300" w:lineRule="exact"/>
                    <w:jc w:val="center"/>
                    <w:rPr>
                      <w:b/>
                      <w:bCs/>
                      <w:sz w:val="18"/>
                      <w:szCs w:val="18"/>
                    </w:rPr>
                  </w:pPr>
                  <w:r>
                    <w:rPr>
                      <w:b/>
                      <w:bCs/>
                      <w:sz w:val="18"/>
                      <w:szCs w:val="18"/>
                    </w:rPr>
                    <w:t>处置量t/a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裁切</w:t>
                  </w:r>
                </w:p>
              </w:tc>
              <w:tc>
                <w:tcPr>
                  <w:tcW w:w="841"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废纸</w:t>
                  </w:r>
                  <w:r>
                    <w:rPr>
                      <w:rFonts w:hint="eastAsia" w:ascii="Times New Roman"/>
                      <w:color w:val="auto"/>
                      <w:sz w:val="18"/>
                      <w:szCs w:val="18"/>
                      <w:lang w:eastAsia="zh-CN"/>
                    </w:rPr>
                    <w:t>下脚料</w:t>
                  </w:r>
                </w:p>
              </w:tc>
              <w:tc>
                <w:tcPr>
                  <w:tcW w:w="541" w:type="pct"/>
                  <w:vAlign w:val="center"/>
                </w:tcPr>
                <w:p>
                  <w:pPr>
                    <w:autoSpaceDE w:val="0"/>
                    <w:autoSpaceDN w:val="0"/>
                    <w:adjustRightInd w:val="0"/>
                    <w:spacing w:line="300" w:lineRule="exact"/>
                    <w:jc w:val="center"/>
                    <w:rPr>
                      <w:sz w:val="18"/>
                      <w:szCs w:val="18"/>
                    </w:rPr>
                  </w:pPr>
                  <w:r>
                    <w:rPr>
                      <w:sz w:val="18"/>
                      <w:szCs w:val="18"/>
                    </w:rPr>
                    <w:t>固体</w:t>
                  </w:r>
                </w:p>
              </w:tc>
              <w:tc>
                <w:tcPr>
                  <w:tcW w:w="615" w:type="pct"/>
                  <w:vAlign w:val="center"/>
                </w:tcPr>
                <w:p>
                  <w:pPr>
                    <w:autoSpaceDE w:val="0"/>
                    <w:autoSpaceDN w:val="0"/>
                    <w:adjustRightInd w:val="0"/>
                    <w:spacing w:line="300" w:lineRule="exact"/>
                    <w:jc w:val="center"/>
                    <w:rPr>
                      <w:rFonts w:hint="default" w:eastAsia="宋体"/>
                      <w:sz w:val="18"/>
                      <w:szCs w:val="18"/>
                      <w:lang w:val="en-US" w:eastAsia="zh-CN"/>
                    </w:rPr>
                  </w:pPr>
                  <w:r>
                    <w:rPr>
                      <w:rFonts w:hint="eastAsia"/>
                      <w:sz w:val="18"/>
                      <w:szCs w:val="18"/>
                      <w:lang w:val="en-US" w:eastAsia="zh-CN"/>
                    </w:rPr>
                    <w:t>50</w:t>
                  </w:r>
                </w:p>
              </w:tc>
              <w:tc>
                <w:tcPr>
                  <w:tcW w:w="918" w:type="pct"/>
                  <w:vAlign w:val="center"/>
                </w:tcPr>
                <w:p>
                  <w:pPr>
                    <w:autoSpaceDE w:val="0"/>
                    <w:autoSpaceDN w:val="0"/>
                    <w:adjustRightInd w:val="0"/>
                    <w:spacing w:line="300" w:lineRule="exact"/>
                    <w:jc w:val="center"/>
                    <w:rPr>
                      <w:sz w:val="18"/>
                      <w:szCs w:val="18"/>
                    </w:rPr>
                  </w:pPr>
                  <w:r>
                    <w:rPr>
                      <w:sz w:val="18"/>
                      <w:szCs w:val="18"/>
                    </w:rPr>
                    <w:t>一般固废暂存处</w:t>
                  </w:r>
                </w:p>
              </w:tc>
              <w:tc>
                <w:tcPr>
                  <w:tcW w:w="661" w:type="pct"/>
                  <w:vAlign w:val="center"/>
                </w:tcPr>
                <w:p>
                  <w:pPr>
                    <w:autoSpaceDE w:val="0"/>
                    <w:autoSpaceDN w:val="0"/>
                    <w:adjustRightInd w:val="0"/>
                    <w:spacing w:line="300" w:lineRule="exact"/>
                    <w:jc w:val="center"/>
                    <w:rPr>
                      <w:sz w:val="18"/>
                      <w:szCs w:val="18"/>
                    </w:rPr>
                  </w:pPr>
                  <w:r>
                    <w:rPr>
                      <w:sz w:val="18"/>
                      <w:szCs w:val="18"/>
                    </w:rPr>
                    <w:t>外卖</w:t>
                  </w:r>
                </w:p>
              </w:tc>
              <w:tc>
                <w:tcPr>
                  <w:tcW w:w="707" w:type="pct"/>
                  <w:vAlign w:val="center"/>
                </w:tcPr>
                <w:p>
                  <w:pPr>
                    <w:autoSpaceDE w:val="0"/>
                    <w:autoSpaceDN w:val="0"/>
                    <w:adjustRightInd w:val="0"/>
                    <w:spacing w:line="300" w:lineRule="exact"/>
                    <w:jc w:val="center"/>
                    <w:rPr>
                      <w:rFonts w:hint="default" w:eastAsia="宋体"/>
                      <w:sz w:val="18"/>
                      <w:szCs w:val="18"/>
                      <w:lang w:val="en-US" w:eastAsia="zh-CN"/>
                    </w:rPr>
                  </w:pPr>
                  <w:r>
                    <w:rPr>
                      <w:rFonts w:hint="eastAsia"/>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pct"/>
                  <w:vAlign w:val="center"/>
                </w:tcPr>
                <w:p>
                  <w:pPr>
                    <w:autoSpaceDE w:val="0"/>
                    <w:autoSpaceDN w:val="0"/>
                    <w:adjustRightInd w:val="0"/>
                    <w:spacing w:line="300" w:lineRule="exact"/>
                    <w:jc w:val="center"/>
                    <w:rPr>
                      <w:rFonts w:hint="eastAsia"/>
                      <w:sz w:val="18"/>
                      <w:szCs w:val="18"/>
                      <w:lang w:eastAsia="zh-CN"/>
                    </w:rPr>
                  </w:pPr>
                  <w:r>
                    <w:rPr>
                      <w:rFonts w:hint="eastAsia"/>
                      <w:sz w:val="18"/>
                      <w:szCs w:val="18"/>
                      <w:lang w:eastAsia="zh-CN"/>
                    </w:rPr>
                    <w:t>员工生活</w:t>
                  </w:r>
                </w:p>
              </w:tc>
              <w:tc>
                <w:tcPr>
                  <w:tcW w:w="841" w:type="pct"/>
                  <w:vAlign w:val="center"/>
                </w:tcPr>
                <w:p>
                  <w:pPr>
                    <w:autoSpaceDE w:val="0"/>
                    <w:autoSpaceDN w:val="0"/>
                    <w:adjustRightInd w:val="0"/>
                    <w:spacing w:line="300" w:lineRule="exact"/>
                    <w:jc w:val="center"/>
                    <w:rPr>
                      <w:rFonts w:hint="eastAsia"/>
                      <w:sz w:val="18"/>
                      <w:szCs w:val="18"/>
                      <w:lang w:eastAsia="zh-CN"/>
                    </w:rPr>
                  </w:pPr>
                  <w:r>
                    <w:rPr>
                      <w:rFonts w:hint="eastAsia"/>
                      <w:sz w:val="18"/>
                      <w:szCs w:val="18"/>
                      <w:lang w:eastAsia="zh-CN"/>
                    </w:rPr>
                    <w:t>生活垃圾</w:t>
                  </w:r>
                </w:p>
              </w:tc>
              <w:tc>
                <w:tcPr>
                  <w:tcW w:w="541"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固体</w:t>
                  </w:r>
                </w:p>
              </w:tc>
              <w:tc>
                <w:tcPr>
                  <w:tcW w:w="615" w:type="pct"/>
                  <w:vAlign w:val="center"/>
                </w:tcPr>
                <w:p>
                  <w:pPr>
                    <w:autoSpaceDE w:val="0"/>
                    <w:autoSpaceDN w:val="0"/>
                    <w:adjustRightInd w:val="0"/>
                    <w:spacing w:line="300" w:lineRule="exact"/>
                    <w:jc w:val="center"/>
                    <w:rPr>
                      <w:rFonts w:hint="default"/>
                      <w:sz w:val="18"/>
                      <w:szCs w:val="18"/>
                      <w:lang w:val="en-US" w:eastAsia="zh-CN"/>
                    </w:rPr>
                  </w:pPr>
                  <w:r>
                    <w:rPr>
                      <w:rFonts w:hint="eastAsia"/>
                      <w:sz w:val="18"/>
                      <w:szCs w:val="18"/>
                      <w:lang w:val="en-US" w:eastAsia="zh-CN"/>
                    </w:rPr>
                    <w:t>3</w:t>
                  </w:r>
                </w:p>
              </w:tc>
              <w:tc>
                <w:tcPr>
                  <w:tcW w:w="918"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垃圾桶</w:t>
                  </w:r>
                </w:p>
              </w:tc>
              <w:tc>
                <w:tcPr>
                  <w:tcW w:w="661" w:type="pct"/>
                  <w:vAlign w:val="center"/>
                </w:tcPr>
                <w:p>
                  <w:pPr>
                    <w:autoSpaceDE w:val="0"/>
                    <w:autoSpaceDN w:val="0"/>
                    <w:adjustRightInd w:val="0"/>
                    <w:spacing w:line="300" w:lineRule="exact"/>
                    <w:jc w:val="center"/>
                    <w:rPr>
                      <w:rFonts w:hint="eastAsia" w:eastAsia="宋体"/>
                      <w:sz w:val="18"/>
                      <w:szCs w:val="18"/>
                      <w:lang w:eastAsia="zh-CN"/>
                    </w:rPr>
                  </w:pPr>
                  <w:r>
                    <w:rPr>
                      <w:rFonts w:hint="eastAsia"/>
                      <w:sz w:val="18"/>
                      <w:szCs w:val="18"/>
                      <w:lang w:eastAsia="zh-CN"/>
                    </w:rPr>
                    <w:t>环卫清运</w:t>
                  </w:r>
                </w:p>
              </w:tc>
              <w:tc>
                <w:tcPr>
                  <w:tcW w:w="707" w:type="pct"/>
                  <w:vAlign w:val="center"/>
                </w:tcPr>
                <w:p>
                  <w:pPr>
                    <w:autoSpaceDE w:val="0"/>
                    <w:autoSpaceDN w:val="0"/>
                    <w:adjustRightInd w:val="0"/>
                    <w:spacing w:line="300" w:lineRule="exact"/>
                    <w:jc w:val="center"/>
                    <w:rPr>
                      <w:rFonts w:hint="default"/>
                      <w:sz w:val="18"/>
                      <w:szCs w:val="18"/>
                      <w:lang w:val="en-US" w:eastAsia="zh-CN"/>
                    </w:rPr>
                  </w:pPr>
                  <w:r>
                    <w:rPr>
                      <w:rFonts w:hint="eastAsia"/>
                      <w:sz w:val="18"/>
                      <w:szCs w:val="18"/>
                      <w:lang w:val="en-US" w:eastAsia="zh-CN"/>
                    </w:rPr>
                    <w:t>3</w:t>
                  </w:r>
                </w:p>
              </w:tc>
            </w:tr>
          </w:tbl>
          <w:p>
            <w:pPr>
              <w:spacing w:line="420" w:lineRule="exact"/>
              <w:ind w:firstLine="25" w:firstLineChars="12"/>
              <w:jc w:val="center"/>
              <w:rPr>
                <w:b/>
                <w:bCs/>
              </w:rPr>
            </w:pPr>
            <w:r>
              <w:rPr>
                <w:b/>
                <w:bCs/>
              </w:rPr>
              <w:t>表4-1</w:t>
            </w:r>
            <w:r>
              <w:rPr>
                <w:rFonts w:hint="eastAsia"/>
                <w:b/>
                <w:bCs/>
              </w:rPr>
              <w:t>3</w:t>
            </w:r>
            <w:r>
              <w:rPr>
                <w:b/>
                <w:bCs/>
              </w:rPr>
              <w:t>项目危险废物产生情况</w:t>
            </w:r>
          </w:p>
          <w:tbl>
            <w:tblPr>
              <w:tblStyle w:val="8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964"/>
              <w:gridCol w:w="843"/>
              <w:gridCol w:w="1064"/>
              <w:gridCol w:w="662"/>
              <w:gridCol w:w="626"/>
              <w:gridCol w:w="597"/>
              <w:gridCol w:w="757"/>
              <w:gridCol w:w="695"/>
              <w:gridCol w:w="64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285" w:type="pct"/>
                  <w:vAlign w:val="center"/>
                </w:tcPr>
                <w:p>
                  <w:pPr>
                    <w:spacing w:before="120" w:beforeLines="50"/>
                    <w:ind w:left="-143" w:leftChars="-68" w:right="-124" w:rightChars="-59"/>
                    <w:jc w:val="center"/>
                    <w:rPr>
                      <w:b/>
                      <w:sz w:val="18"/>
                      <w:szCs w:val="18"/>
                    </w:rPr>
                  </w:pPr>
                  <w:r>
                    <w:rPr>
                      <w:b/>
                      <w:sz w:val="18"/>
                      <w:szCs w:val="18"/>
                    </w:rPr>
                    <w:t>序号</w:t>
                  </w:r>
                </w:p>
              </w:tc>
              <w:tc>
                <w:tcPr>
                  <w:tcW w:w="576" w:type="pct"/>
                  <w:vAlign w:val="center"/>
                </w:tcPr>
                <w:p>
                  <w:pPr>
                    <w:jc w:val="center"/>
                    <w:rPr>
                      <w:b/>
                      <w:sz w:val="18"/>
                      <w:szCs w:val="18"/>
                    </w:rPr>
                  </w:pPr>
                  <w:r>
                    <w:rPr>
                      <w:b/>
                      <w:sz w:val="18"/>
                      <w:szCs w:val="18"/>
                    </w:rPr>
                    <w:t>危废</w:t>
                  </w:r>
                </w:p>
                <w:p>
                  <w:pPr>
                    <w:jc w:val="center"/>
                    <w:rPr>
                      <w:b/>
                      <w:sz w:val="18"/>
                      <w:szCs w:val="18"/>
                    </w:rPr>
                  </w:pPr>
                  <w:r>
                    <w:rPr>
                      <w:b/>
                      <w:sz w:val="18"/>
                      <w:szCs w:val="18"/>
                    </w:rPr>
                    <w:t>名称</w:t>
                  </w:r>
                </w:p>
              </w:tc>
              <w:tc>
                <w:tcPr>
                  <w:tcW w:w="504" w:type="pct"/>
                  <w:vAlign w:val="center"/>
                </w:tcPr>
                <w:p>
                  <w:pPr>
                    <w:jc w:val="center"/>
                    <w:rPr>
                      <w:b/>
                      <w:sz w:val="18"/>
                      <w:szCs w:val="18"/>
                    </w:rPr>
                  </w:pPr>
                  <w:r>
                    <w:rPr>
                      <w:b/>
                      <w:sz w:val="18"/>
                      <w:szCs w:val="18"/>
                    </w:rPr>
                    <w:t>危废</w:t>
                  </w:r>
                </w:p>
                <w:p>
                  <w:pPr>
                    <w:jc w:val="center"/>
                    <w:rPr>
                      <w:b/>
                      <w:sz w:val="18"/>
                      <w:szCs w:val="18"/>
                    </w:rPr>
                  </w:pPr>
                  <w:r>
                    <w:rPr>
                      <w:b/>
                      <w:sz w:val="18"/>
                      <w:szCs w:val="18"/>
                    </w:rPr>
                    <w:t>类别</w:t>
                  </w:r>
                </w:p>
              </w:tc>
              <w:tc>
                <w:tcPr>
                  <w:tcW w:w="636" w:type="pct"/>
                  <w:vAlign w:val="center"/>
                </w:tcPr>
                <w:p>
                  <w:pPr>
                    <w:jc w:val="center"/>
                    <w:rPr>
                      <w:b/>
                      <w:sz w:val="18"/>
                      <w:szCs w:val="18"/>
                    </w:rPr>
                  </w:pPr>
                  <w:r>
                    <w:rPr>
                      <w:b/>
                      <w:sz w:val="18"/>
                      <w:szCs w:val="18"/>
                    </w:rPr>
                    <w:t>危废</w:t>
                  </w:r>
                </w:p>
                <w:p>
                  <w:pPr>
                    <w:jc w:val="center"/>
                    <w:rPr>
                      <w:b/>
                      <w:sz w:val="18"/>
                      <w:szCs w:val="18"/>
                    </w:rPr>
                  </w:pPr>
                  <w:r>
                    <w:rPr>
                      <w:b/>
                      <w:sz w:val="18"/>
                      <w:szCs w:val="18"/>
                    </w:rPr>
                    <w:t>代码</w:t>
                  </w:r>
                </w:p>
              </w:tc>
              <w:tc>
                <w:tcPr>
                  <w:tcW w:w="395" w:type="pct"/>
                  <w:vAlign w:val="center"/>
                </w:tcPr>
                <w:p>
                  <w:pPr>
                    <w:ind w:left="-155" w:leftChars="-74" w:right="-63" w:rightChars="-30"/>
                    <w:jc w:val="center"/>
                    <w:rPr>
                      <w:b/>
                      <w:sz w:val="18"/>
                      <w:szCs w:val="18"/>
                    </w:rPr>
                  </w:pPr>
                  <w:r>
                    <w:rPr>
                      <w:b/>
                      <w:sz w:val="18"/>
                      <w:szCs w:val="18"/>
                    </w:rPr>
                    <w:t>产生量</w:t>
                  </w:r>
                </w:p>
                <w:p>
                  <w:pPr>
                    <w:ind w:left="-155" w:leftChars="-74" w:right="-63" w:rightChars="-30"/>
                    <w:jc w:val="center"/>
                    <w:rPr>
                      <w:b/>
                      <w:sz w:val="18"/>
                      <w:szCs w:val="18"/>
                    </w:rPr>
                  </w:pPr>
                  <w:r>
                    <w:rPr>
                      <w:b/>
                      <w:sz w:val="18"/>
                      <w:szCs w:val="18"/>
                    </w:rPr>
                    <w:t>t/a</w:t>
                  </w:r>
                </w:p>
              </w:tc>
              <w:tc>
                <w:tcPr>
                  <w:tcW w:w="374" w:type="pct"/>
                  <w:vAlign w:val="center"/>
                </w:tcPr>
                <w:p>
                  <w:pPr>
                    <w:ind w:left="-155" w:leftChars="-74" w:right="-170" w:rightChars="-81"/>
                    <w:jc w:val="center"/>
                    <w:rPr>
                      <w:b/>
                      <w:sz w:val="18"/>
                      <w:szCs w:val="18"/>
                    </w:rPr>
                  </w:pPr>
                  <w:r>
                    <w:rPr>
                      <w:b/>
                      <w:sz w:val="18"/>
                      <w:szCs w:val="18"/>
                    </w:rPr>
                    <w:t>产生</w:t>
                  </w:r>
                </w:p>
                <w:p>
                  <w:pPr>
                    <w:ind w:left="-155" w:leftChars="-74" w:right="-170" w:rightChars="-81"/>
                    <w:jc w:val="center"/>
                    <w:rPr>
                      <w:b/>
                      <w:sz w:val="18"/>
                      <w:szCs w:val="18"/>
                    </w:rPr>
                  </w:pPr>
                  <w:r>
                    <w:rPr>
                      <w:b/>
                      <w:sz w:val="18"/>
                      <w:szCs w:val="18"/>
                    </w:rPr>
                    <w:t>工序</w:t>
                  </w:r>
                </w:p>
              </w:tc>
              <w:tc>
                <w:tcPr>
                  <w:tcW w:w="357" w:type="pct"/>
                  <w:vAlign w:val="center"/>
                </w:tcPr>
                <w:p>
                  <w:pPr>
                    <w:spacing w:before="120" w:beforeLines="50"/>
                    <w:ind w:left="-57" w:leftChars="-27" w:right="-13" w:rightChars="-6"/>
                    <w:jc w:val="center"/>
                    <w:rPr>
                      <w:b/>
                      <w:sz w:val="18"/>
                      <w:szCs w:val="18"/>
                    </w:rPr>
                  </w:pPr>
                  <w:r>
                    <w:rPr>
                      <w:b/>
                      <w:sz w:val="18"/>
                      <w:szCs w:val="18"/>
                    </w:rPr>
                    <w:t>形态</w:t>
                  </w:r>
                </w:p>
              </w:tc>
              <w:tc>
                <w:tcPr>
                  <w:tcW w:w="452" w:type="pct"/>
                  <w:vAlign w:val="center"/>
                </w:tcPr>
                <w:p>
                  <w:pPr>
                    <w:ind w:left="-80" w:leftChars="-38" w:right="-8" w:rightChars="-4"/>
                    <w:jc w:val="center"/>
                    <w:rPr>
                      <w:b/>
                      <w:sz w:val="18"/>
                      <w:szCs w:val="18"/>
                    </w:rPr>
                  </w:pPr>
                  <w:r>
                    <w:rPr>
                      <w:b/>
                      <w:sz w:val="18"/>
                      <w:szCs w:val="18"/>
                    </w:rPr>
                    <w:t>有害</w:t>
                  </w:r>
                </w:p>
                <w:p>
                  <w:pPr>
                    <w:ind w:left="-80" w:leftChars="-38" w:right="-8" w:rightChars="-4"/>
                    <w:jc w:val="center"/>
                    <w:rPr>
                      <w:b/>
                      <w:sz w:val="18"/>
                      <w:szCs w:val="18"/>
                    </w:rPr>
                  </w:pPr>
                  <w:r>
                    <w:rPr>
                      <w:b/>
                      <w:sz w:val="18"/>
                      <w:szCs w:val="18"/>
                    </w:rPr>
                    <w:t>成分</w:t>
                  </w:r>
                </w:p>
              </w:tc>
              <w:tc>
                <w:tcPr>
                  <w:tcW w:w="415" w:type="pct"/>
                  <w:vAlign w:val="center"/>
                </w:tcPr>
                <w:p>
                  <w:pPr>
                    <w:ind w:left="-113" w:leftChars="-54" w:right="-103" w:rightChars="-49"/>
                    <w:jc w:val="center"/>
                    <w:rPr>
                      <w:b/>
                      <w:sz w:val="18"/>
                      <w:szCs w:val="18"/>
                    </w:rPr>
                  </w:pPr>
                  <w:r>
                    <w:rPr>
                      <w:b/>
                      <w:sz w:val="18"/>
                      <w:szCs w:val="18"/>
                    </w:rPr>
                    <w:t>处置量</w:t>
                  </w:r>
                </w:p>
                <w:p>
                  <w:pPr>
                    <w:ind w:left="-113" w:leftChars="-54" w:right="-103" w:rightChars="-49" w:firstLine="98" w:firstLineChars="54"/>
                    <w:jc w:val="center"/>
                    <w:rPr>
                      <w:b/>
                      <w:sz w:val="18"/>
                      <w:szCs w:val="18"/>
                    </w:rPr>
                  </w:pPr>
                  <w:r>
                    <w:rPr>
                      <w:b/>
                      <w:sz w:val="18"/>
                      <w:szCs w:val="18"/>
                    </w:rPr>
                    <w:t>t/a</w:t>
                  </w:r>
                </w:p>
              </w:tc>
              <w:tc>
                <w:tcPr>
                  <w:tcW w:w="383" w:type="pct"/>
                  <w:vAlign w:val="center"/>
                </w:tcPr>
                <w:p>
                  <w:pPr>
                    <w:jc w:val="center"/>
                    <w:rPr>
                      <w:b/>
                      <w:sz w:val="18"/>
                      <w:szCs w:val="18"/>
                    </w:rPr>
                  </w:pPr>
                  <w:r>
                    <w:rPr>
                      <w:b/>
                      <w:sz w:val="18"/>
                      <w:szCs w:val="18"/>
                    </w:rPr>
                    <w:t>危险</w:t>
                  </w:r>
                </w:p>
                <w:p>
                  <w:pPr>
                    <w:jc w:val="center"/>
                    <w:rPr>
                      <w:b/>
                      <w:sz w:val="18"/>
                      <w:szCs w:val="18"/>
                    </w:rPr>
                  </w:pPr>
                  <w:r>
                    <w:rPr>
                      <w:b/>
                      <w:sz w:val="18"/>
                      <w:szCs w:val="18"/>
                    </w:rPr>
                    <w:t>特性</w:t>
                  </w:r>
                </w:p>
              </w:tc>
              <w:tc>
                <w:tcPr>
                  <w:tcW w:w="618" w:type="pct"/>
                  <w:vAlign w:val="center"/>
                </w:tcPr>
                <w:p>
                  <w:pPr>
                    <w:ind w:left="-105" w:leftChars="-50" w:right="-46" w:rightChars="-22"/>
                    <w:jc w:val="center"/>
                    <w:rPr>
                      <w:b/>
                      <w:sz w:val="18"/>
                      <w:szCs w:val="18"/>
                    </w:rPr>
                  </w:pPr>
                  <w:r>
                    <w:rPr>
                      <w:b/>
                      <w:sz w:val="18"/>
                      <w:szCs w:val="18"/>
                    </w:rPr>
                    <w:t>储存及处置措施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5" w:type="pct"/>
                  <w:vAlign w:val="center"/>
                </w:tcPr>
                <w:p>
                  <w:pPr>
                    <w:pStyle w:val="1040"/>
                    <w:numPr>
                      <w:ilvl w:val="0"/>
                      <w:numId w:val="21"/>
                    </w:numPr>
                    <w:spacing w:before="120" w:beforeLines="50"/>
                    <w:ind w:firstLineChars="0"/>
                    <w:jc w:val="center"/>
                    <w:rPr>
                      <w:sz w:val="18"/>
                      <w:szCs w:val="18"/>
                    </w:rPr>
                  </w:pPr>
                </w:p>
              </w:tc>
              <w:tc>
                <w:tcPr>
                  <w:tcW w:w="576" w:type="pct"/>
                  <w:vAlign w:val="center"/>
                </w:tcPr>
                <w:p>
                  <w:pPr>
                    <w:autoSpaceDE w:val="0"/>
                    <w:autoSpaceDN w:val="0"/>
                    <w:adjustRightInd w:val="0"/>
                    <w:spacing w:line="300" w:lineRule="exact"/>
                    <w:jc w:val="center"/>
                    <w:rPr>
                      <w:rFonts w:ascii="Times New Roman" w:hAnsi="Times New Roman" w:eastAsia="宋体" w:cs="Times New Roman"/>
                      <w:kern w:val="2"/>
                      <w:sz w:val="18"/>
                      <w:szCs w:val="18"/>
                      <w:lang w:val="en-US" w:eastAsia="zh-CN" w:bidi="ar-SA"/>
                    </w:rPr>
                  </w:pPr>
                  <w:r>
                    <w:rPr>
                      <w:sz w:val="18"/>
                      <w:szCs w:val="18"/>
                    </w:rPr>
                    <w:t>废活性炭</w:t>
                  </w:r>
                </w:p>
              </w:tc>
              <w:tc>
                <w:tcPr>
                  <w:tcW w:w="504" w:type="pct"/>
                  <w:vAlign w:val="center"/>
                </w:tcPr>
                <w:p>
                  <w:pPr>
                    <w:jc w:val="center"/>
                    <w:rPr>
                      <w:rFonts w:ascii="Times New Roman" w:hAnsi="Times New Roman" w:eastAsia="宋体" w:cs="Times New Roman"/>
                      <w:kern w:val="2"/>
                      <w:sz w:val="18"/>
                      <w:szCs w:val="18"/>
                      <w:lang w:val="en-US" w:eastAsia="zh-CN" w:bidi="ar-SA"/>
                    </w:rPr>
                  </w:pPr>
                  <w:r>
                    <w:rPr>
                      <w:sz w:val="18"/>
                      <w:szCs w:val="18"/>
                    </w:rPr>
                    <w:t>HW49</w:t>
                  </w:r>
                </w:p>
              </w:tc>
              <w:tc>
                <w:tcPr>
                  <w:tcW w:w="636" w:type="pct"/>
                  <w:vAlign w:val="center"/>
                </w:tcPr>
                <w:p>
                  <w:pPr>
                    <w:autoSpaceDE w:val="0"/>
                    <w:autoSpaceDN w:val="0"/>
                    <w:adjustRightInd w:val="0"/>
                    <w:spacing w:line="300" w:lineRule="exact"/>
                    <w:jc w:val="center"/>
                    <w:rPr>
                      <w:rFonts w:ascii="Times New Roman" w:hAnsi="Times New Roman" w:eastAsia="宋体" w:cs="Times New Roman"/>
                      <w:kern w:val="2"/>
                      <w:sz w:val="18"/>
                      <w:szCs w:val="18"/>
                      <w:lang w:val="en-US" w:eastAsia="zh-CN" w:bidi="ar-SA"/>
                    </w:rPr>
                  </w:pPr>
                  <w:r>
                    <w:rPr>
                      <w:sz w:val="18"/>
                      <w:szCs w:val="18"/>
                    </w:rPr>
                    <w:t>900-039-49</w:t>
                  </w:r>
                </w:p>
              </w:tc>
              <w:tc>
                <w:tcPr>
                  <w:tcW w:w="395" w:type="pct"/>
                  <w:vAlign w:val="center"/>
                </w:tcPr>
                <w:p>
                  <w:pPr>
                    <w:autoSpaceDE w:val="0"/>
                    <w:autoSpaceDN w:val="0"/>
                    <w:adjustRightInd w:val="0"/>
                    <w:spacing w:line="300" w:lineRule="exac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1.408</w:t>
                  </w:r>
                </w:p>
              </w:tc>
              <w:tc>
                <w:tcPr>
                  <w:tcW w:w="374" w:type="pct"/>
                  <w:vAlign w:val="center"/>
                </w:tcPr>
                <w:p>
                  <w:pPr>
                    <w:jc w:val="center"/>
                    <w:rPr>
                      <w:rFonts w:ascii="Times New Roman" w:hAnsi="Times New Roman" w:eastAsia="宋体" w:cs="Times New Roman"/>
                      <w:kern w:val="2"/>
                      <w:sz w:val="18"/>
                      <w:szCs w:val="18"/>
                      <w:lang w:val="en-US" w:eastAsia="zh-CN" w:bidi="ar-SA"/>
                    </w:rPr>
                  </w:pPr>
                  <w:r>
                    <w:rPr>
                      <w:sz w:val="18"/>
                      <w:szCs w:val="18"/>
                    </w:rPr>
                    <w:t>吸附</w:t>
                  </w:r>
                </w:p>
              </w:tc>
              <w:tc>
                <w:tcPr>
                  <w:tcW w:w="357" w:type="pct"/>
                  <w:vAlign w:val="center"/>
                </w:tcPr>
                <w:p>
                  <w:pPr>
                    <w:autoSpaceDE w:val="0"/>
                    <w:autoSpaceDN w:val="0"/>
                    <w:adjustRightInd w:val="0"/>
                    <w:spacing w:line="300" w:lineRule="exact"/>
                    <w:jc w:val="center"/>
                    <w:rPr>
                      <w:rFonts w:ascii="Times New Roman" w:hAnsi="Times New Roman" w:eastAsia="宋体" w:cs="Times New Roman"/>
                      <w:kern w:val="2"/>
                      <w:sz w:val="18"/>
                      <w:szCs w:val="18"/>
                      <w:lang w:val="en-US" w:eastAsia="zh-CN" w:bidi="ar-SA"/>
                    </w:rPr>
                  </w:pPr>
                  <w:r>
                    <w:rPr>
                      <w:sz w:val="18"/>
                      <w:szCs w:val="18"/>
                    </w:rPr>
                    <w:t>固体</w:t>
                  </w:r>
                </w:p>
              </w:tc>
              <w:tc>
                <w:tcPr>
                  <w:tcW w:w="452" w:type="pct"/>
                  <w:vAlign w:val="center"/>
                </w:tcPr>
                <w:p>
                  <w:pPr>
                    <w:autoSpaceDE w:val="0"/>
                    <w:autoSpaceDN w:val="0"/>
                    <w:adjustRightInd w:val="0"/>
                    <w:spacing w:line="300" w:lineRule="exac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VOCs</w:t>
                  </w:r>
                </w:p>
              </w:tc>
              <w:tc>
                <w:tcPr>
                  <w:tcW w:w="415" w:type="pct"/>
                  <w:vAlign w:val="center"/>
                </w:tcPr>
                <w:p>
                  <w:pPr>
                    <w:autoSpaceDE w:val="0"/>
                    <w:autoSpaceDN w:val="0"/>
                    <w:adjustRightInd w:val="0"/>
                    <w:spacing w:line="300" w:lineRule="exac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1.408</w:t>
                  </w:r>
                </w:p>
              </w:tc>
              <w:tc>
                <w:tcPr>
                  <w:tcW w:w="383" w:type="pct"/>
                  <w:vAlign w:val="center"/>
                </w:tcPr>
                <w:p>
                  <w:pPr>
                    <w:autoSpaceDE w:val="0"/>
                    <w:autoSpaceDN w:val="0"/>
                    <w:adjustRightInd w:val="0"/>
                    <w:spacing w:line="300" w:lineRule="exact"/>
                    <w:jc w:val="center"/>
                    <w:rPr>
                      <w:rFonts w:ascii="Times New Roman" w:hAnsi="Times New Roman" w:eastAsia="宋体" w:cs="Times New Roman"/>
                      <w:kern w:val="2"/>
                      <w:sz w:val="18"/>
                      <w:szCs w:val="18"/>
                      <w:lang w:val="en-US" w:eastAsia="zh-CN" w:bidi="ar-SA"/>
                    </w:rPr>
                  </w:pPr>
                  <w:r>
                    <w:rPr>
                      <w:sz w:val="18"/>
                      <w:szCs w:val="18"/>
                    </w:rPr>
                    <w:t>T</w:t>
                  </w:r>
                </w:p>
              </w:tc>
              <w:tc>
                <w:tcPr>
                  <w:tcW w:w="618" w:type="pct"/>
                  <w:vAlign w:val="center"/>
                </w:tcPr>
                <w:p>
                  <w:pPr>
                    <w:ind w:left="-99" w:leftChars="-47" w:right="-34" w:rightChars="-16"/>
                    <w:jc w:val="center"/>
                    <w:rPr>
                      <w:sz w:val="18"/>
                      <w:szCs w:val="18"/>
                    </w:rPr>
                  </w:pPr>
                  <w:r>
                    <w:rPr>
                      <w:sz w:val="18"/>
                      <w:szCs w:val="18"/>
                    </w:rPr>
                    <w:t>妥善收集后暂存于危废暂存间定期交由具有相应处理资质的单位处理</w:t>
                  </w:r>
                </w:p>
              </w:tc>
            </w:tr>
          </w:tbl>
          <w:p>
            <w:pPr>
              <w:spacing w:line="360" w:lineRule="auto"/>
              <w:ind w:firstLine="420" w:firstLineChars="200"/>
              <w:rPr>
                <w:rFonts w:hint="default" w:ascii="Times New Roman" w:hAnsi="Times New Roman" w:eastAsia="黑体" w:cs="Times New Roman"/>
                <w:szCs w:val="21"/>
              </w:rPr>
            </w:pPr>
            <w:r>
              <w:rPr>
                <w:rFonts w:hint="default" w:ascii="Times New Roman" w:hAnsi="Times New Roman" w:eastAsia="黑体" w:cs="Times New Roman"/>
                <w:szCs w:val="21"/>
              </w:rPr>
              <w:t>2、环境管理要求</w:t>
            </w:r>
          </w:p>
          <w:p>
            <w:pPr>
              <w:autoSpaceDE w:val="0"/>
              <w:autoSpaceDN w:val="0"/>
              <w:adjustRightInd w:val="0"/>
              <w:snapToGrid w:val="0"/>
              <w:spacing w:line="360" w:lineRule="auto"/>
              <w:ind w:firstLine="420" w:firstLineChars="200"/>
            </w:pPr>
            <w:r>
              <w:t>一般工业固废仓库的建设应满足</w:t>
            </w:r>
            <w:r>
              <w:rPr>
                <w:rFonts w:hint="default" w:ascii="Times New Roman" w:hAnsi="Times New Roman" w:cs="Times New Roman"/>
                <w:szCs w:val="21"/>
              </w:rPr>
              <w:t>《中华人民共和国固体废物污染环境防治法》相关要求，采取防扬散、防流失、防渗漏或者其他防止污染环境的措施</w:t>
            </w:r>
            <w:r>
              <w:t>；各类固废应分类收集；贮存区按照《环境保护图形标志——固体废物贮存（处置）场》（GB15562.2）的要求设置环保图形标志；指定专人进行日常管理。</w:t>
            </w:r>
          </w:p>
          <w:p>
            <w:pPr>
              <w:spacing w:line="360" w:lineRule="auto"/>
              <w:ind w:firstLine="420" w:firstLineChars="200"/>
              <w:rPr>
                <w:color w:val="000000"/>
                <w:szCs w:val="21"/>
              </w:rPr>
            </w:pPr>
            <w:r>
              <w:rPr>
                <w:color w:val="000000"/>
                <w:szCs w:val="21"/>
              </w:rPr>
              <w:t>项目危险废物在存储过程中严格按照《危险废物贮存污染控制标准》（GB18597</w:t>
            </w:r>
            <w:r>
              <w:rPr>
                <w:rFonts w:hint="eastAsia"/>
                <w:color w:val="000000"/>
                <w:szCs w:val="21"/>
                <w:lang w:val="en-US" w:eastAsia="zh-CN"/>
              </w:rPr>
              <w:t>-2023</w:t>
            </w:r>
            <w:r>
              <w:rPr>
                <w:color w:val="000000"/>
                <w:szCs w:val="21"/>
              </w:rPr>
              <w:t>）及修改单要求。</w:t>
            </w:r>
          </w:p>
          <w:p>
            <w:pPr>
              <w:spacing w:line="360" w:lineRule="auto"/>
              <w:ind w:firstLine="420" w:firstLineChars="200"/>
              <w:rPr>
                <w:color w:val="000000"/>
                <w:szCs w:val="21"/>
              </w:rPr>
            </w:pPr>
            <w:r>
              <w:rPr>
                <w:rFonts w:hint="eastAsia"/>
                <w:szCs w:val="21"/>
                <w:lang w:eastAsia="zh-CN"/>
              </w:rPr>
              <w:t>拟建项目厂区</w:t>
            </w:r>
            <w:r>
              <w:rPr>
                <w:rFonts w:hint="eastAsia"/>
                <w:szCs w:val="21"/>
              </w:rPr>
              <w:t>内</w:t>
            </w:r>
            <w:r>
              <w:rPr>
                <w:rFonts w:hint="eastAsia"/>
                <w:szCs w:val="21"/>
                <w:lang w:eastAsia="zh-CN"/>
              </w:rPr>
              <w:t>建</w:t>
            </w:r>
            <w:r>
              <w:rPr>
                <w:rFonts w:hint="eastAsia"/>
                <w:szCs w:val="21"/>
                <w:highlight w:val="none"/>
                <w:lang w:eastAsia="zh-CN"/>
              </w:rPr>
              <w:t>设</w:t>
            </w:r>
            <w:r>
              <w:rPr>
                <w:rFonts w:hint="eastAsia"/>
                <w:szCs w:val="21"/>
                <w:highlight w:val="none"/>
                <w:lang w:val="en-US" w:eastAsia="zh-CN"/>
              </w:rPr>
              <w:t>8</w:t>
            </w:r>
            <w:r>
              <w:rPr>
                <w:rFonts w:hint="eastAsia"/>
                <w:szCs w:val="21"/>
                <w:highlight w:val="none"/>
              </w:rPr>
              <w:t>m</w:t>
            </w:r>
            <w:r>
              <w:rPr>
                <w:rFonts w:hint="eastAsia"/>
                <w:szCs w:val="21"/>
                <w:highlight w:val="none"/>
                <w:vertAlign w:val="superscript"/>
              </w:rPr>
              <w:t>2</w:t>
            </w:r>
            <w:r>
              <w:rPr>
                <w:szCs w:val="21"/>
                <w:highlight w:val="none"/>
              </w:rPr>
              <w:t>危废</w:t>
            </w:r>
            <w:r>
              <w:rPr>
                <w:rFonts w:hint="eastAsia"/>
                <w:szCs w:val="21"/>
                <w:highlight w:val="none"/>
                <w:lang w:eastAsia="zh-CN"/>
              </w:rPr>
              <w:t>仓库</w:t>
            </w:r>
            <w:r>
              <w:rPr>
                <w:szCs w:val="21"/>
                <w:highlight w:val="none"/>
              </w:rPr>
              <w:t>1</w:t>
            </w:r>
            <w:r>
              <w:rPr>
                <w:rFonts w:hint="eastAsia"/>
                <w:szCs w:val="21"/>
                <w:lang w:eastAsia="zh-CN"/>
              </w:rPr>
              <w:t>间，</w:t>
            </w:r>
            <w:r>
              <w:rPr>
                <w:rFonts w:hint="eastAsia"/>
                <w:szCs w:val="21"/>
                <w:highlight w:val="none"/>
                <w:lang w:eastAsia="zh-CN"/>
              </w:rPr>
              <w:t>高约</w:t>
            </w:r>
            <w:r>
              <w:rPr>
                <w:rFonts w:hint="eastAsia"/>
                <w:szCs w:val="21"/>
                <w:highlight w:val="none"/>
                <w:lang w:val="en-US" w:eastAsia="zh-CN"/>
              </w:rPr>
              <w:t>3m</w:t>
            </w:r>
            <w:r>
              <w:rPr>
                <w:rFonts w:hint="eastAsia"/>
                <w:szCs w:val="21"/>
                <w:highlight w:val="none"/>
              </w:rPr>
              <w:t>，</w:t>
            </w:r>
            <w:r>
              <w:rPr>
                <w:rFonts w:hint="eastAsia"/>
                <w:szCs w:val="21"/>
              </w:rPr>
              <w:t>位于</w:t>
            </w:r>
            <w:r>
              <w:rPr>
                <w:rFonts w:hint="eastAsia"/>
                <w:szCs w:val="21"/>
                <w:highlight w:val="none"/>
                <w:lang w:eastAsia="zh-CN"/>
              </w:rPr>
              <w:t>厂区中间</w:t>
            </w:r>
            <w:r>
              <w:rPr>
                <w:rFonts w:hint="eastAsia"/>
                <w:szCs w:val="21"/>
              </w:rPr>
              <w:t>，该危废间用于存放</w:t>
            </w:r>
            <w:r>
              <w:rPr>
                <w:rFonts w:hint="eastAsia"/>
                <w:szCs w:val="21"/>
                <w:lang w:eastAsia="zh-CN"/>
              </w:rPr>
              <w:t>项目</w:t>
            </w:r>
            <w:r>
              <w:rPr>
                <w:rFonts w:hint="eastAsia"/>
                <w:szCs w:val="21"/>
              </w:rPr>
              <w:t>产生的危</w:t>
            </w:r>
            <w:r>
              <w:rPr>
                <w:rFonts w:hint="eastAsia"/>
                <w:szCs w:val="21"/>
                <w:highlight w:val="none"/>
              </w:rPr>
              <w:t>险废物</w:t>
            </w:r>
            <w:r>
              <w:rPr>
                <w:rFonts w:hint="eastAsia"/>
                <w:bCs/>
                <w:sz w:val="21"/>
                <w:szCs w:val="21"/>
                <w:highlight w:val="none"/>
                <w:lang w:val="en-US" w:eastAsia="zh-CN"/>
              </w:rPr>
              <w:t>，其中，废活性炭产生量为1.408t/a，</w:t>
            </w:r>
            <w:r>
              <w:rPr>
                <w:rFonts w:hint="eastAsia"/>
                <w:color w:val="000000"/>
                <w:sz w:val="21"/>
                <w:szCs w:val="21"/>
                <w:highlight w:val="none"/>
                <w:lang w:eastAsia="zh-CN"/>
              </w:rPr>
              <w:t>蜂窝活性炭密度约</w:t>
            </w:r>
            <w:r>
              <w:rPr>
                <w:rFonts w:hint="eastAsia"/>
                <w:color w:val="000000"/>
                <w:sz w:val="21"/>
                <w:szCs w:val="21"/>
                <w:highlight w:val="none"/>
                <w:lang w:val="en-US" w:eastAsia="zh-CN"/>
              </w:rPr>
              <w:t>0.4g/cm</w:t>
            </w:r>
            <w:r>
              <w:rPr>
                <w:rFonts w:hint="eastAsia"/>
                <w:color w:val="000000"/>
                <w:sz w:val="21"/>
                <w:szCs w:val="21"/>
                <w:highlight w:val="none"/>
                <w:vertAlign w:val="superscript"/>
                <w:lang w:val="en-US" w:eastAsia="zh-CN"/>
              </w:rPr>
              <w:t>3</w:t>
            </w:r>
            <w:r>
              <w:rPr>
                <w:rFonts w:hint="eastAsia"/>
                <w:bCs/>
                <w:highlight w:val="none"/>
                <w:lang w:val="en-US" w:eastAsia="zh-CN"/>
              </w:rPr>
              <w:t>，所占空间约3.52m</w:t>
            </w:r>
            <w:r>
              <w:rPr>
                <w:rFonts w:hint="eastAsia"/>
                <w:bCs/>
                <w:highlight w:val="none"/>
                <w:vertAlign w:val="superscript"/>
                <w:lang w:val="en-US" w:eastAsia="zh-CN"/>
              </w:rPr>
              <w:t>3</w:t>
            </w:r>
            <w:r>
              <w:rPr>
                <w:rFonts w:hint="eastAsia"/>
                <w:bCs/>
                <w:highlight w:val="none"/>
                <w:vertAlign w:val="baseline"/>
                <w:lang w:val="en-US" w:eastAsia="zh-CN"/>
              </w:rPr>
              <w:t>，</w:t>
            </w:r>
            <w:r>
              <w:rPr>
                <w:rFonts w:hint="eastAsia"/>
                <w:bCs/>
                <w:highlight w:val="none"/>
                <w:lang w:val="en-US" w:eastAsia="zh-CN"/>
              </w:rPr>
              <w:t>占地约4m</w:t>
            </w:r>
            <w:r>
              <w:rPr>
                <w:rFonts w:hint="eastAsia"/>
                <w:bCs/>
                <w:highlight w:val="none"/>
                <w:vertAlign w:val="superscript"/>
                <w:lang w:val="en-US" w:eastAsia="zh-CN"/>
              </w:rPr>
              <w:t>2</w:t>
            </w:r>
            <w:r>
              <w:rPr>
                <w:rFonts w:hint="eastAsia"/>
                <w:bCs/>
                <w:highlight w:val="none"/>
                <w:vertAlign w:val="baseline"/>
                <w:lang w:val="en-US" w:eastAsia="zh-CN"/>
              </w:rPr>
              <w:t>，</w:t>
            </w:r>
            <w:r>
              <w:rPr>
                <w:szCs w:val="21"/>
              </w:rPr>
              <w:t>危废暂存间</w:t>
            </w:r>
            <w:r>
              <w:rPr>
                <w:rFonts w:hint="eastAsia"/>
                <w:szCs w:val="21"/>
              </w:rPr>
              <w:t>可以满足存放要求。</w:t>
            </w:r>
            <w:r>
              <w:rPr>
                <w:color w:val="000000"/>
                <w:szCs w:val="21"/>
              </w:rPr>
              <w:t>危险废物储存在该危险废物暂存间中，分类储存，严谨烟火和外人出入。</w:t>
            </w:r>
            <w:r>
              <w:rPr>
                <w:szCs w:val="21"/>
              </w:rPr>
              <w:t>危废</w:t>
            </w:r>
            <w:r>
              <w:rPr>
                <w:rFonts w:hint="eastAsia"/>
                <w:szCs w:val="21"/>
                <w:lang w:eastAsia="zh-CN"/>
              </w:rPr>
              <w:t>仓库</w:t>
            </w:r>
            <w:r>
              <w:rPr>
                <w:color w:val="000000"/>
                <w:szCs w:val="21"/>
              </w:rPr>
              <w:t>地面做硬化处理，设置围堰，不同种类的危险废物分类存放。危废暂存间设置相应的环境保护图形标志。</w:t>
            </w:r>
          </w:p>
          <w:p>
            <w:pPr>
              <w:autoSpaceDE w:val="0"/>
              <w:autoSpaceDN w:val="0"/>
              <w:adjustRightInd w:val="0"/>
              <w:spacing w:line="420" w:lineRule="exact"/>
              <w:ind w:firstLine="25" w:firstLineChars="12"/>
              <w:jc w:val="center"/>
              <w:rPr>
                <w:rFonts w:hint="default" w:ascii="Times New Roman" w:hAnsi="Times New Roman" w:eastAsia="黑体" w:cs="Times New Roman"/>
                <w:szCs w:val="21"/>
              </w:rPr>
            </w:pPr>
            <w:r>
              <w:rPr>
                <w:rFonts w:hint="default" w:ascii="Times New Roman" w:hAnsi="Times New Roman" w:eastAsia="黑体" w:cs="Times New Roman"/>
                <w:szCs w:val="21"/>
              </w:rPr>
              <w:t>表4-</w:t>
            </w:r>
            <w:r>
              <w:rPr>
                <w:rFonts w:hint="eastAsia" w:eastAsia="黑体" w:cs="Times New Roman"/>
                <w:szCs w:val="21"/>
                <w:lang w:val="en-US" w:eastAsia="zh-CN"/>
              </w:rPr>
              <w:t>19</w:t>
            </w:r>
            <w:r>
              <w:rPr>
                <w:rFonts w:hint="default" w:ascii="Times New Roman" w:hAnsi="Times New Roman" w:eastAsia="黑体" w:cs="Times New Roman"/>
                <w:szCs w:val="21"/>
              </w:rPr>
              <w:t xml:space="preserve"> 项目危险废物贮存场所（设施）基本情况表</w:t>
            </w:r>
          </w:p>
          <w:tbl>
            <w:tblPr>
              <w:tblStyle w:val="85"/>
              <w:tblW w:w="494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32"/>
              <w:gridCol w:w="1035"/>
              <w:gridCol w:w="1140"/>
              <w:gridCol w:w="765"/>
              <w:gridCol w:w="1385"/>
              <w:gridCol w:w="799"/>
              <w:gridCol w:w="651"/>
              <w:gridCol w:w="1249"/>
              <w:gridCol w:w="8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32"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序号</w:t>
                  </w:r>
                </w:p>
              </w:tc>
              <w:tc>
                <w:tcPr>
                  <w:tcW w:w="1035"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贮存场所</w:t>
                  </w:r>
                </w:p>
                <w:p>
                  <w:pPr>
                    <w:jc w:val="center"/>
                    <w:rPr>
                      <w:rFonts w:hint="default" w:ascii="Times New Roman" w:hAnsi="Times New Roman" w:cs="Times New Roman"/>
                      <w:sz w:val="18"/>
                      <w:szCs w:val="18"/>
                    </w:rPr>
                  </w:pPr>
                  <w:r>
                    <w:rPr>
                      <w:rFonts w:hint="default" w:ascii="Times New Roman" w:hAnsi="Times New Roman" w:cs="Times New Roman"/>
                      <w:b/>
                      <w:bCs/>
                      <w:sz w:val="18"/>
                      <w:szCs w:val="18"/>
                    </w:rPr>
                    <w:t>名称</w:t>
                  </w:r>
                </w:p>
              </w:tc>
              <w:tc>
                <w:tcPr>
                  <w:tcW w:w="1140"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危险废物名称</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危险废物类别</w:t>
                  </w:r>
                </w:p>
              </w:tc>
              <w:tc>
                <w:tcPr>
                  <w:tcW w:w="1385"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sz w:val="18"/>
                      <w:szCs w:val="18"/>
                    </w:rPr>
                  </w:pPr>
                  <w:r>
                    <w:rPr>
                      <w:rFonts w:hint="default" w:ascii="Times New Roman" w:hAnsi="Times New Roman" w:cs="Times New Roman"/>
                      <w:b/>
                      <w:bCs/>
                      <w:sz w:val="18"/>
                      <w:szCs w:val="18"/>
                    </w:rPr>
                    <w:t>危险废物代码</w:t>
                  </w:r>
                </w:p>
              </w:tc>
              <w:tc>
                <w:tcPr>
                  <w:tcW w:w="799"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位置</w:t>
                  </w:r>
                </w:p>
              </w:tc>
              <w:tc>
                <w:tcPr>
                  <w:tcW w:w="65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占地</w:t>
                  </w: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sz w:val="18"/>
                      <w:szCs w:val="18"/>
                    </w:rPr>
                  </w:pPr>
                  <w:r>
                    <w:rPr>
                      <w:rFonts w:hint="default" w:ascii="Times New Roman" w:hAnsi="Times New Roman" w:cs="Times New Roman"/>
                      <w:b/>
                      <w:sz w:val="18"/>
                      <w:szCs w:val="18"/>
                    </w:rPr>
                    <w:t>面积</w:t>
                  </w:r>
                </w:p>
              </w:tc>
              <w:tc>
                <w:tcPr>
                  <w:tcW w:w="1249"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贮存方式</w:t>
                  </w:r>
                </w:p>
              </w:tc>
              <w:tc>
                <w:tcPr>
                  <w:tcW w:w="832"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贮存</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周期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32" w:type="dxa"/>
                  <w:tcBorders>
                    <w:top w:val="single" w:color="auto" w:sz="2" w:space="0"/>
                    <w:left w:val="single" w:color="auto" w:sz="2" w:space="0"/>
                    <w:bottom w:val="single" w:color="auto" w:sz="2" w:space="0"/>
                    <w:right w:val="single" w:color="auto" w:sz="2" w:space="0"/>
                  </w:tcBorders>
                  <w:vAlign w:val="center"/>
                </w:tcPr>
                <w:p>
                  <w:pPr>
                    <w:pStyle w:val="1040"/>
                    <w:numPr>
                      <w:ilvl w:val="0"/>
                      <w:numId w:val="22"/>
                    </w:numPr>
                    <w:spacing w:beforeLines="50"/>
                    <w:ind w:right="-124" w:rightChars="-59" w:firstLine="0" w:firstLineChars="0"/>
                    <w:jc w:val="center"/>
                    <w:rPr>
                      <w:rStyle w:val="225"/>
                      <w:rFonts w:hint="default" w:ascii="Times New Roman" w:hAnsi="Times New Roman" w:cs="Times New Roman"/>
                      <w:sz w:val="18"/>
                      <w:szCs w:val="18"/>
                    </w:rPr>
                  </w:pPr>
                </w:p>
              </w:tc>
              <w:tc>
                <w:tcPr>
                  <w:tcW w:w="1035" w:type="dxa"/>
                  <w:tcBorders>
                    <w:top w:val="single" w:color="auto" w:sz="2" w:space="0"/>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危废暂存间</w:t>
                  </w:r>
                </w:p>
              </w:tc>
              <w:tc>
                <w:tcPr>
                  <w:tcW w:w="1140"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废</w:t>
                  </w:r>
                  <w:r>
                    <w:rPr>
                      <w:rFonts w:hint="eastAsia" w:cs="Times New Roman"/>
                      <w:sz w:val="18"/>
                      <w:szCs w:val="18"/>
                      <w:lang w:eastAsia="zh-CN"/>
                    </w:rPr>
                    <w:t>活性炭</w:t>
                  </w:r>
                </w:p>
              </w:tc>
              <w:tc>
                <w:tcPr>
                  <w:tcW w:w="76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HW</w:t>
                  </w:r>
                  <w:r>
                    <w:rPr>
                      <w:rFonts w:hint="eastAsia" w:cs="Times New Roman"/>
                      <w:sz w:val="18"/>
                      <w:szCs w:val="18"/>
                      <w:lang w:val="en-US" w:eastAsia="zh-CN"/>
                    </w:rPr>
                    <w:t>49</w:t>
                  </w:r>
                </w:p>
              </w:tc>
              <w:tc>
                <w:tcPr>
                  <w:tcW w:w="138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900-</w:t>
                  </w:r>
                  <w:r>
                    <w:rPr>
                      <w:rFonts w:hint="eastAsia" w:cs="Times New Roman"/>
                      <w:sz w:val="18"/>
                      <w:szCs w:val="18"/>
                      <w:lang w:val="en-US" w:eastAsia="zh-CN"/>
                    </w:rPr>
                    <w:t>39</w:t>
                  </w:r>
                  <w:r>
                    <w:rPr>
                      <w:rFonts w:hint="default" w:ascii="Times New Roman" w:hAnsi="Times New Roman" w:cs="Times New Roman"/>
                      <w:sz w:val="18"/>
                      <w:szCs w:val="18"/>
                    </w:rPr>
                    <w:t>-</w:t>
                  </w:r>
                  <w:r>
                    <w:rPr>
                      <w:rFonts w:hint="eastAsia" w:cs="Times New Roman"/>
                      <w:sz w:val="18"/>
                      <w:szCs w:val="18"/>
                      <w:lang w:val="en-US" w:eastAsia="zh-CN"/>
                    </w:rPr>
                    <w:t>49</w:t>
                  </w:r>
                </w:p>
              </w:tc>
              <w:tc>
                <w:tcPr>
                  <w:tcW w:w="799" w:type="dxa"/>
                  <w:tcBorders>
                    <w:top w:val="single" w:color="auto" w:sz="2" w:space="0"/>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eastAsia="zh-CN"/>
                    </w:rPr>
                    <w:t>厂区西侧</w:t>
                  </w:r>
                </w:p>
              </w:tc>
              <w:tc>
                <w:tcPr>
                  <w:tcW w:w="651"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r>
                    <w:rPr>
                      <w:rFonts w:hint="eastAsia" w:cs="Times New Roman"/>
                      <w:sz w:val="18"/>
                      <w:szCs w:val="18"/>
                      <w:lang w:val="en-US" w:eastAsia="zh-CN"/>
                    </w:rPr>
                    <w:t>4</w:t>
                  </w:r>
                  <w:r>
                    <w:rPr>
                      <w:rFonts w:hint="default" w:ascii="Times New Roman" w:hAnsi="Times New Roman" w:cs="Times New Roman"/>
                      <w:sz w:val="18"/>
                      <w:szCs w:val="18"/>
                    </w:rPr>
                    <w:t>m</w:t>
                  </w:r>
                  <w:r>
                    <w:rPr>
                      <w:rFonts w:hint="default" w:ascii="Times New Roman" w:hAnsi="Times New Roman" w:cs="Times New Roman"/>
                      <w:sz w:val="18"/>
                      <w:szCs w:val="18"/>
                      <w:vertAlign w:val="superscript"/>
                    </w:rPr>
                    <w:t>2</w:t>
                  </w:r>
                </w:p>
              </w:tc>
              <w:tc>
                <w:tcPr>
                  <w:tcW w:w="1249"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eastAsia" w:ascii="Times New Roman" w:hAnsi="Times New Roman" w:eastAsia="宋体" w:cs="Times New Roman"/>
                      <w:sz w:val="18"/>
                      <w:szCs w:val="18"/>
                      <w:lang w:eastAsia="zh-CN"/>
                    </w:rPr>
                  </w:pPr>
                  <w:r>
                    <w:rPr>
                      <w:rFonts w:hint="eastAsia" w:cs="Times New Roman"/>
                      <w:sz w:val="18"/>
                      <w:szCs w:val="18"/>
                      <w:lang w:eastAsia="zh-CN"/>
                    </w:rPr>
                    <w:t>箱装密闭保存</w:t>
                  </w:r>
                </w:p>
              </w:tc>
              <w:tc>
                <w:tcPr>
                  <w:tcW w:w="832"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1年</w:t>
                  </w:r>
                </w:p>
              </w:tc>
            </w:tr>
          </w:tbl>
          <w:p>
            <w:pPr>
              <w:autoSpaceDE w:val="0"/>
              <w:autoSpaceDN w:val="0"/>
              <w:adjustRightInd w:val="0"/>
              <w:snapToGrid w:val="0"/>
              <w:spacing w:line="360" w:lineRule="auto"/>
              <w:ind w:firstLine="420" w:firstLineChars="200"/>
            </w:pPr>
            <w:r>
              <w:t>危险废物仓库建设应满足《危险废物贮存污染控制标准》（GB18597-20</w:t>
            </w:r>
            <w:r>
              <w:rPr>
                <w:rFonts w:hint="eastAsia"/>
                <w:lang w:val="en-US" w:eastAsia="zh-CN"/>
              </w:rPr>
              <w:t>23</w:t>
            </w:r>
            <w:r>
              <w:t>）相关要求，主要包括：</w:t>
            </w:r>
          </w:p>
          <w:p>
            <w:pPr>
              <w:keepNext w:val="0"/>
              <w:keepLines w:val="0"/>
              <w:widowControl/>
              <w:suppressLineNumbers w:val="0"/>
              <w:spacing w:line="360" w:lineRule="auto"/>
              <w:ind w:firstLine="420" w:firstLineChars="200"/>
              <w:jc w:val="both"/>
              <w:rPr>
                <w:sz w:val="21"/>
                <w:szCs w:val="21"/>
              </w:rPr>
            </w:pPr>
            <w:r>
              <w:rPr>
                <w:sz w:val="21"/>
                <w:szCs w:val="21"/>
              </w:rPr>
              <w:t>①</w:t>
            </w:r>
            <w:r>
              <w:rPr>
                <w:rFonts w:hint="eastAsia" w:ascii="宋体" w:hAnsi="宋体" w:eastAsia="宋体" w:cs="宋体"/>
                <w:color w:val="000000"/>
                <w:kern w:val="0"/>
                <w:sz w:val="21"/>
                <w:szCs w:val="21"/>
                <w:lang w:val="en-US" w:eastAsia="zh-CN" w:bidi="ar"/>
              </w:rPr>
              <w:t>贮存设施应根据危险废物的形态、物理化学性质、包装形式和污染物迁移途径，采取必要的防风、防晒、防雨、防漏、防渗、防腐以及其他环境污染防治措施，不应露天堆放危险废物</w:t>
            </w:r>
            <w:r>
              <w:rPr>
                <w:sz w:val="21"/>
                <w:szCs w:val="21"/>
              </w:rPr>
              <w:t>；</w:t>
            </w:r>
          </w:p>
          <w:p>
            <w:pPr>
              <w:keepNext w:val="0"/>
              <w:keepLines w:val="0"/>
              <w:widowControl/>
              <w:suppressLineNumbers w:val="0"/>
              <w:spacing w:line="360" w:lineRule="auto"/>
              <w:ind w:firstLine="420" w:firstLineChars="200"/>
              <w:jc w:val="both"/>
              <w:rPr>
                <w:sz w:val="21"/>
                <w:szCs w:val="21"/>
              </w:rPr>
            </w:pPr>
            <w:r>
              <w:rPr>
                <w:sz w:val="21"/>
                <w:szCs w:val="21"/>
              </w:rPr>
              <w:t>②</w:t>
            </w:r>
            <w:r>
              <w:rPr>
                <w:rFonts w:hint="eastAsia" w:ascii="宋体" w:hAnsi="宋体" w:eastAsia="宋体" w:cs="宋体"/>
                <w:color w:val="000000"/>
                <w:kern w:val="0"/>
                <w:sz w:val="21"/>
                <w:szCs w:val="21"/>
                <w:lang w:val="en-US" w:eastAsia="zh-CN" w:bidi="ar"/>
              </w:rPr>
              <w:t>贮存设施应根据危险废物的类别、数量、形态、物理化学性质和污染防治等要求设置必要的贮存分区，避免不相容的危险废物接触、混合</w:t>
            </w:r>
            <w:r>
              <w:rPr>
                <w:sz w:val="21"/>
                <w:szCs w:val="21"/>
              </w:rPr>
              <w:t>；</w:t>
            </w:r>
          </w:p>
          <w:p>
            <w:pPr>
              <w:keepNext w:val="0"/>
              <w:keepLines w:val="0"/>
              <w:widowControl/>
              <w:suppressLineNumbers w:val="0"/>
              <w:spacing w:line="360" w:lineRule="auto"/>
              <w:ind w:firstLine="420" w:firstLineChars="200"/>
              <w:jc w:val="both"/>
              <w:rPr>
                <w:sz w:val="21"/>
                <w:szCs w:val="21"/>
              </w:rPr>
            </w:pPr>
            <w:r>
              <w:rPr>
                <w:sz w:val="21"/>
                <w:szCs w:val="21"/>
              </w:rPr>
              <w:t>③</w:t>
            </w:r>
            <w:r>
              <w:rPr>
                <w:rFonts w:hint="eastAsia" w:ascii="宋体" w:hAnsi="宋体" w:eastAsia="宋体" w:cs="宋体"/>
                <w:color w:val="000000"/>
                <w:kern w:val="0"/>
                <w:sz w:val="21"/>
                <w:szCs w:val="21"/>
                <w:lang w:val="en-US" w:eastAsia="zh-CN" w:bidi="ar"/>
              </w:rPr>
              <w:t>贮存设施或贮存分区内地面、墙面裙脚、堵截泄漏的围堰、接触危险废物的隔板和墙体等应采用坚固的材料建造，表面无裂缝</w:t>
            </w:r>
            <w:r>
              <w:rPr>
                <w:sz w:val="21"/>
                <w:szCs w:val="21"/>
              </w:rPr>
              <w:t>；</w:t>
            </w:r>
          </w:p>
          <w:p>
            <w:pPr>
              <w:keepNext w:val="0"/>
              <w:keepLines w:val="0"/>
              <w:widowControl/>
              <w:suppressLineNumbers w:val="0"/>
              <w:spacing w:line="360" w:lineRule="auto"/>
              <w:ind w:firstLine="420" w:firstLineChars="200"/>
              <w:jc w:val="both"/>
              <w:rPr>
                <w:sz w:val="21"/>
                <w:szCs w:val="21"/>
              </w:rPr>
            </w:pPr>
            <w:r>
              <w:rPr>
                <w:sz w:val="21"/>
                <w:szCs w:val="21"/>
              </w:rPr>
              <w:t>④</w:t>
            </w:r>
            <w:r>
              <w:rPr>
                <w:rFonts w:hint="eastAsia" w:ascii="宋体" w:hAnsi="宋体" w:eastAsia="宋体" w:cs="宋体"/>
                <w:color w:val="000000"/>
                <w:kern w:val="0"/>
                <w:sz w:val="21"/>
                <w:szCs w:val="21"/>
                <w:lang w:val="en-US" w:eastAsia="zh-CN" w:bidi="ar"/>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default" w:ascii="Times New Roman" w:hAnsi="Times New Roman" w:eastAsia="宋体" w:cs="Times New Roman"/>
                <w:color w:val="000000"/>
                <w:kern w:val="0"/>
                <w:sz w:val="21"/>
                <w:szCs w:val="21"/>
                <w:lang w:val="en-US" w:eastAsia="zh-CN" w:bidi="ar"/>
              </w:rPr>
              <w:t xml:space="preserve">1m </w:t>
            </w:r>
            <w:r>
              <w:rPr>
                <w:rFonts w:hint="eastAsia" w:ascii="宋体" w:hAnsi="宋体" w:eastAsia="宋体" w:cs="宋体"/>
                <w:color w:val="000000"/>
                <w:kern w:val="0"/>
                <w:sz w:val="21"/>
                <w:szCs w:val="21"/>
                <w:lang w:val="en-US" w:eastAsia="zh-CN" w:bidi="ar"/>
              </w:rPr>
              <w:t>厚黏土层（渗透系数不大于</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-7</w:t>
            </w:r>
            <w:r>
              <w:rPr>
                <w:rFonts w:hint="default" w:ascii="Times New Roman" w:hAnsi="Times New Roman" w:eastAsia="宋体" w:cs="Times New Roman"/>
                <w:color w:val="000000"/>
                <w:kern w:val="0"/>
                <w:sz w:val="21"/>
                <w:szCs w:val="21"/>
                <w:lang w:val="en-US" w:eastAsia="zh-CN" w:bidi="ar"/>
              </w:rPr>
              <w:t>cm/s</w:t>
            </w:r>
            <w:r>
              <w:rPr>
                <w:rFonts w:hint="eastAsia" w:ascii="宋体" w:hAnsi="宋体" w:eastAsia="宋体" w:cs="宋体"/>
                <w:color w:val="000000"/>
                <w:kern w:val="0"/>
                <w:sz w:val="21"/>
                <w:szCs w:val="21"/>
                <w:lang w:val="en-US" w:eastAsia="zh-CN" w:bidi="ar"/>
              </w:rPr>
              <w:t>），或至少</w:t>
            </w:r>
            <w:r>
              <w:rPr>
                <w:rFonts w:hint="default" w:ascii="Times New Roman" w:hAnsi="Times New Roman" w:eastAsia="宋体" w:cs="Times New Roman"/>
                <w:color w:val="000000"/>
                <w:kern w:val="0"/>
                <w:sz w:val="21"/>
                <w:szCs w:val="21"/>
                <w:lang w:val="en-US" w:eastAsia="zh-CN" w:bidi="ar"/>
              </w:rPr>
              <w:t xml:space="preserve">2mm </w:t>
            </w:r>
            <w:r>
              <w:rPr>
                <w:rFonts w:hint="eastAsia" w:ascii="宋体" w:hAnsi="宋体" w:eastAsia="宋体" w:cs="宋体"/>
                <w:color w:val="000000"/>
                <w:kern w:val="0"/>
                <w:sz w:val="21"/>
                <w:szCs w:val="21"/>
                <w:lang w:val="en-US" w:eastAsia="zh-CN" w:bidi="ar"/>
              </w:rPr>
              <w:t>厚高密度聚乙烯膜等人工防渗材料（渗透系数不大于</w:t>
            </w:r>
            <w:r>
              <w:rPr>
                <w:rFonts w:hint="default"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vertAlign w:val="superscript"/>
                <w:lang w:val="en-US" w:eastAsia="zh-CN" w:bidi="ar"/>
              </w:rPr>
              <w:t>-10</w:t>
            </w:r>
            <w:r>
              <w:rPr>
                <w:rFonts w:hint="default" w:ascii="Times New Roman" w:hAnsi="Times New Roman" w:eastAsia="宋体" w:cs="Times New Roman"/>
                <w:color w:val="000000"/>
                <w:kern w:val="0"/>
                <w:sz w:val="21"/>
                <w:szCs w:val="21"/>
                <w:lang w:val="en-US" w:eastAsia="zh-CN" w:bidi="ar"/>
              </w:rPr>
              <w:t>cm/s</w:t>
            </w:r>
            <w:r>
              <w:rPr>
                <w:rFonts w:hint="eastAsia" w:ascii="宋体" w:hAnsi="宋体" w:eastAsia="宋体" w:cs="宋体"/>
                <w:color w:val="000000"/>
                <w:kern w:val="0"/>
                <w:sz w:val="21"/>
                <w:szCs w:val="21"/>
                <w:lang w:val="en-US" w:eastAsia="zh-CN" w:bidi="ar"/>
              </w:rPr>
              <w:t>），或其他防渗性能等效的材料</w:t>
            </w:r>
            <w:r>
              <w:rPr>
                <w:sz w:val="21"/>
                <w:szCs w:val="21"/>
              </w:rPr>
              <w:t>；</w:t>
            </w:r>
          </w:p>
          <w:p>
            <w:pPr>
              <w:keepNext w:val="0"/>
              <w:keepLines w:val="0"/>
              <w:widowControl/>
              <w:suppressLineNumbers w:val="0"/>
              <w:spacing w:line="360" w:lineRule="auto"/>
              <w:ind w:firstLine="420" w:firstLineChars="200"/>
              <w:jc w:val="both"/>
              <w:rPr>
                <w:sz w:val="21"/>
                <w:szCs w:val="21"/>
              </w:rPr>
            </w:pPr>
            <w:r>
              <w:rPr>
                <w:sz w:val="21"/>
                <w:szCs w:val="21"/>
              </w:rPr>
              <w:t>⑤</w:t>
            </w:r>
            <w:r>
              <w:rPr>
                <w:rFonts w:hint="eastAsia" w:ascii="宋体" w:hAnsi="宋体" w:eastAsia="宋体" w:cs="宋体"/>
                <w:color w:val="000000"/>
                <w:kern w:val="0"/>
                <w:sz w:val="21"/>
                <w:szCs w:val="21"/>
                <w:lang w:val="en-US" w:eastAsia="zh-CN" w:bidi="ar"/>
              </w:rPr>
              <w:t>同一贮存设施宜采用相同的防渗、防腐工艺（包括防渗、防腐结构或材料），防渗、防腐材料应覆盖所有可能与废物及其渗滤液、渗漏液等接触的构筑物表面；采用不同防渗、防腐工艺应分别建设贮存分区</w:t>
            </w:r>
            <w:r>
              <w:rPr>
                <w:sz w:val="21"/>
                <w:szCs w:val="21"/>
              </w:rPr>
              <w:t>；</w:t>
            </w:r>
          </w:p>
          <w:p>
            <w:pPr>
              <w:keepNext w:val="0"/>
              <w:keepLines w:val="0"/>
              <w:widowControl/>
              <w:suppressLineNumbers w:val="0"/>
              <w:spacing w:line="360" w:lineRule="auto"/>
              <w:ind w:firstLine="420" w:firstLineChars="200"/>
              <w:jc w:val="left"/>
              <w:rPr>
                <w:sz w:val="21"/>
                <w:szCs w:val="21"/>
              </w:rPr>
            </w:pPr>
            <w:r>
              <w:rPr>
                <w:sz w:val="21"/>
                <w:szCs w:val="21"/>
              </w:rPr>
              <w:t>⑥</w:t>
            </w:r>
            <w:r>
              <w:rPr>
                <w:rFonts w:hint="eastAsia" w:ascii="宋体" w:hAnsi="宋体" w:eastAsia="宋体" w:cs="宋体"/>
                <w:color w:val="000000"/>
                <w:kern w:val="0"/>
                <w:sz w:val="21"/>
                <w:szCs w:val="21"/>
                <w:lang w:val="en-US" w:eastAsia="zh-CN" w:bidi="ar"/>
              </w:rPr>
              <w:t>贮存设施应采取技术和管理措施防止无关人员进入</w:t>
            </w:r>
            <w:r>
              <w:rPr>
                <w:sz w:val="21"/>
                <w:szCs w:val="21"/>
              </w:rPr>
              <w:t>；</w:t>
            </w:r>
          </w:p>
          <w:p>
            <w:pPr>
              <w:autoSpaceDE w:val="0"/>
              <w:autoSpaceDN w:val="0"/>
              <w:adjustRightInd w:val="0"/>
              <w:snapToGrid w:val="0"/>
              <w:spacing w:line="360" w:lineRule="auto"/>
              <w:ind w:firstLine="420" w:firstLineChars="200"/>
            </w:pPr>
            <w:r>
              <w:t>危废存储转运作好危险废物情况的记录，记录上注明危险废物的名称、来源、数量、特性和包装容器的类别、入库日期、存放库位、废物出库日期及接收单位名称；危险废物的记录和货单在危险废物</w:t>
            </w:r>
            <w:r>
              <w:rPr>
                <w:rFonts w:hint="eastAsia"/>
                <w:lang w:eastAsia="zh-CN"/>
              </w:rPr>
              <w:t>处置</w:t>
            </w:r>
            <w:r>
              <w:t>后应继续保留</w:t>
            </w:r>
            <w:r>
              <w:rPr>
                <w:rFonts w:hint="eastAsia"/>
                <w:lang w:eastAsia="zh-CN"/>
              </w:rPr>
              <w:t>五</w:t>
            </w:r>
            <w:r>
              <w:t>年。</w:t>
            </w:r>
          </w:p>
          <w:p>
            <w:pPr>
              <w:adjustRightInd w:val="0"/>
              <w:snapToGrid w:val="0"/>
              <w:spacing w:line="360" w:lineRule="auto"/>
              <w:ind w:firstLine="422" w:firstLineChars="200"/>
              <w:rPr>
                <w:b/>
              </w:rPr>
            </w:pPr>
            <w:r>
              <w:rPr>
                <w:b/>
              </w:rPr>
              <w:t>五、地下水</w:t>
            </w:r>
          </w:p>
          <w:p>
            <w:pPr>
              <w:adjustRightInd w:val="0"/>
              <w:snapToGrid w:val="0"/>
              <w:spacing w:line="360" w:lineRule="auto"/>
              <w:ind w:firstLine="420" w:firstLineChars="200"/>
              <w:rPr>
                <w:bCs/>
              </w:rPr>
            </w:pPr>
            <w:r>
              <w:rPr>
                <w:bCs/>
              </w:rPr>
              <w:t>1、污染途径、类型</w:t>
            </w:r>
          </w:p>
          <w:p>
            <w:pPr>
              <w:adjustRightInd w:val="0"/>
              <w:snapToGrid w:val="0"/>
              <w:spacing w:line="360" w:lineRule="auto"/>
              <w:ind w:firstLine="420" w:firstLineChars="200"/>
            </w:pPr>
            <w:r>
              <w:t>本项目污染源主要为危废间、化粪池。主要污染因子为COD、氨氮等。由于危废间、化粪池进行相应的防渗和硬化处理，即使上述污染源发生泄漏在防渗层完好的情况下也不会发生垂直入渗现象。故而本项目对地下水几乎无影响途径。</w:t>
            </w:r>
          </w:p>
          <w:p>
            <w:pPr>
              <w:adjustRightInd w:val="0"/>
              <w:snapToGrid w:val="0"/>
              <w:spacing w:line="360" w:lineRule="auto"/>
              <w:ind w:firstLine="420" w:firstLineChars="200"/>
              <w:rPr>
                <w:bCs/>
              </w:rPr>
            </w:pPr>
            <w:r>
              <w:rPr>
                <w:bCs/>
              </w:rPr>
              <w:t>2、采取保护措施</w:t>
            </w:r>
          </w:p>
          <w:p>
            <w:pPr>
              <w:adjustRightInd w:val="0"/>
              <w:snapToGrid w:val="0"/>
              <w:spacing w:line="360" w:lineRule="auto"/>
              <w:ind w:firstLine="420" w:firstLineChars="200"/>
              <w:rPr>
                <w:bCs/>
              </w:rPr>
            </w:pPr>
            <w:r>
              <w:rPr>
                <w:bCs/>
              </w:rPr>
              <w:t>本项目</w:t>
            </w:r>
            <w:r>
              <w:t>危废间、化粪池</w:t>
            </w:r>
            <w:r>
              <w:rPr>
                <w:bCs/>
              </w:rPr>
              <w:t>进行硬化，同时进行重点防渗处理。分区防渗措施见表4-</w:t>
            </w:r>
            <w:r>
              <w:rPr>
                <w:rFonts w:hint="eastAsia"/>
                <w:bCs/>
              </w:rPr>
              <w:t>24</w:t>
            </w:r>
            <w:r>
              <w:rPr>
                <w:bCs/>
              </w:rPr>
              <w:t>。企业定期对地面进行检查维护，防止防渗层的破坏，在采取相应的措施后，即使发生泄漏，由于进行防渗处理，废液也无法进行下渗，本项目的运营几乎没有影响途径，对地下水影响较小。</w:t>
            </w:r>
          </w:p>
          <w:p>
            <w:pPr>
              <w:adjustRightInd w:val="0"/>
              <w:snapToGrid w:val="0"/>
              <w:spacing w:line="360" w:lineRule="auto"/>
              <w:ind w:firstLine="422" w:firstLineChars="200"/>
              <w:jc w:val="center"/>
              <w:rPr>
                <w:b/>
              </w:rPr>
            </w:pPr>
            <w:r>
              <w:rPr>
                <w:b/>
              </w:rPr>
              <w:t>表4-2</w:t>
            </w:r>
            <w:r>
              <w:rPr>
                <w:rFonts w:hint="eastAsia"/>
                <w:b/>
              </w:rPr>
              <w:t>4</w:t>
            </w:r>
            <w:r>
              <w:rPr>
                <w:b/>
              </w:rPr>
              <w:t>本项目拟采取的防腐、防渗措施</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75"/>
              <w:gridCol w:w="2127"/>
              <w:gridCol w:w="3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adjustRightInd w:val="0"/>
                    <w:snapToGrid w:val="0"/>
                    <w:spacing w:line="300" w:lineRule="exact"/>
                    <w:jc w:val="center"/>
                    <w:rPr>
                      <w:b/>
                      <w:bCs/>
                      <w:sz w:val="18"/>
                      <w:szCs w:val="18"/>
                    </w:rPr>
                  </w:pPr>
                  <w:r>
                    <w:rPr>
                      <w:b/>
                      <w:bCs/>
                      <w:sz w:val="18"/>
                      <w:szCs w:val="18"/>
                    </w:rPr>
                    <w:t>序号</w:t>
                  </w:r>
                </w:p>
              </w:tc>
              <w:tc>
                <w:tcPr>
                  <w:tcW w:w="1275" w:type="dxa"/>
                  <w:vAlign w:val="center"/>
                </w:tcPr>
                <w:p>
                  <w:pPr>
                    <w:adjustRightInd w:val="0"/>
                    <w:snapToGrid w:val="0"/>
                    <w:spacing w:line="300" w:lineRule="exact"/>
                    <w:jc w:val="center"/>
                    <w:rPr>
                      <w:b/>
                      <w:bCs/>
                      <w:sz w:val="18"/>
                      <w:szCs w:val="18"/>
                    </w:rPr>
                  </w:pPr>
                  <w:r>
                    <w:rPr>
                      <w:b/>
                      <w:bCs/>
                      <w:sz w:val="18"/>
                      <w:szCs w:val="18"/>
                    </w:rPr>
                    <w:t>分区</w:t>
                  </w:r>
                </w:p>
              </w:tc>
              <w:tc>
                <w:tcPr>
                  <w:tcW w:w="2127" w:type="dxa"/>
                  <w:vAlign w:val="center"/>
                </w:tcPr>
                <w:p>
                  <w:pPr>
                    <w:adjustRightInd w:val="0"/>
                    <w:snapToGrid w:val="0"/>
                    <w:spacing w:line="300" w:lineRule="exact"/>
                    <w:jc w:val="center"/>
                    <w:rPr>
                      <w:b/>
                      <w:bCs/>
                      <w:sz w:val="18"/>
                      <w:szCs w:val="18"/>
                    </w:rPr>
                  </w:pPr>
                  <w:r>
                    <w:rPr>
                      <w:b/>
                      <w:bCs/>
                      <w:sz w:val="18"/>
                      <w:szCs w:val="18"/>
                    </w:rPr>
                    <w:t>名称</w:t>
                  </w:r>
                </w:p>
              </w:tc>
              <w:tc>
                <w:tcPr>
                  <w:tcW w:w="3862" w:type="dxa"/>
                  <w:vAlign w:val="center"/>
                </w:tcPr>
                <w:p>
                  <w:pPr>
                    <w:adjustRightInd w:val="0"/>
                    <w:snapToGrid w:val="0"/>
                    <w:spacing w:line="300" w:lineRule="exact"/>
                    <w:jc w:val="center"/>
                    <w:rPr>
                      <w:b/>
                      <w:bCs/>
                      <w:sz w:val="18"/>
                      <w:szCs w:val="18"/>
                    </w:rPr>
                  </w:pPr>
                  <w:r>
                    <w:rPr>
                      <w:b/>
                      <w:bCs/>
                      <w:sz w:val="18"/>
                      <w:szCs w:val="18"/>
                    </w:rPr>
                    <w:t>防渗要求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adjustRightInd w:val="0"/>
                    <w:snapToGrid w:val="0"/>
                    <w:spacing w:line="300" w:lineRule="exact"/>
                    <w:jc w:val="center"/>
                    <w:rPr>
                      <w:sz w:val="18"/>
                      <w:szCs w:val="18"/>
                    </w:rPr>
                  </w:pPr>
                  <w:r>
                    <w:rPr>
                      <w:sz w:val="18"/>
                      <w:szCs w:val="18"/>
                    </w:rPr>
                    <w:t>1</w:t>
                  </w:r>
                </w:p>
              </w:tc>
              <w:tc>
                <w:tcPr>
                  <w:tcW w:w="1275" w:type="dxa"/>
                  <w:vAlign w:val="center"/>
                </w:tcPr>
                <w:p>
                  <w:pPr>
                    <w:adjustRightInd w:val="0"/>
                    <w:snapToGrid w:val="0"/>
                    <w:spacing w:line="300" w:lineRule="exact"/>
                    <w:jc w:val="center"/>
                    <w:rPr>
                      <w:sz w:val="18"/>
                      <w:szCs w:val="18"/>
                    </w:rPr>
                  </w:pPr>
                  <w:r>
                    <w:rPr>
                      <w:sz w:val="18"/>
                      <w:szCs w:val="18"/>
                    </w:rPr>
                    <w:t>重点防渗区</w:t>
                  </w:r>
                </w:p>
              </w:tc>
              <w:tc>
                <w:tcPr>
                  <w:tcW w:w="2127" w:type="dxa"/>
                  <w:vAlign w:val="center"/>
                </w:tcPr>
                <w:p>
                  <w:pPr>
                    <w:adjustRightInd w:val="0"/>
                    <w:snapToGrid w:val="0"/>
                    <w:spacing w:line="300" w:lineRule="exact"/>
                    <w:jc w:val="center"/>
                    <w:rPr>
                      <w:sz w:val="18"/>
                      <w:szCs w:val="18"/>
                    </w:rPr>
                  </w:pPr>
                  <w:r>
                    <w:rPr>
                      <w:sz w:val="18"/>
                      <w:szCs w:val="18"/>
                    </w:rPr>
                    <w:t>危废间、化粪池</w:t>
                  </w:r>
                </w:p>
              </w:tc>
              <w:tc>
                <w:tcPr>
                  <w:tcW w:w="3862" w:type="dxa"/>
                  <w:vAlign w:val="center"/>
                </w:tcPr>
                <w:p>
                  <w:pPr>
                    <w:adjustRightInd w:val="0"/>
                    <w:snapToGrid w:val="0"/>
                    <w:spacing w:line="300" w:lineRule="exact"/>
                    <w:jc w:val="center"/>
                    <w:rPr>
                      <w:sz w:val="18"/>
                      <w:szCs w:val="18"/>
                    </w:rPr>
                  </w:pPr>
                  <w:r>
                    <w:rPr>
                      <w:sz w:val="18"/>
                      <w:szCs w:val="18"/>
                    </w:rPr>
                    <w:t>等效黏土防渗层Mb≥6.0m，K≤1×10</w:t>
                  </w:r>
                  <w:r>
                    <w:rPr>
                      <w:sz w:val="18"/>
                      <w:szCs w:val="18"/>
                      <w:vertAlign w:val="superscript"/>
                    </w:rPr>
                    <w:t>-7</w:t>
                  </w:r>
                  <w:r>
                    <w:rPr>
                      <w:sz w:val="18"/>
                      <w:szCs w:val="18"/>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adjustRightInd w:val="0"/>
                    <w:snapToGrid w:val="0"/>
                    <w:spacing w:line="300" w:lineRule="exact"/>
                    <w:jc w:val="center"/>
                    <w:rPr>
                      <w:sz w:val="18"/>
                      <w:szCs w:val="18"/>
                    </w:rPr>
                  </w:pPr>
                  <w:r>
                    <w:rPr>
                      <w:sz w:val="18"/>
                      <w:szCs w:val="18"/>
                    </w:rPr>
                    <w:t>2</w:t>
                  </w:r>
                </w:p>
              </w:tc>
              <w:tc>
                <w:tcPr>
                  <w:tcW w:w="1275" w:type="dxa"/>
                  <w:vAlign w:val="center"/>
                </w:tcPr>
                <w:p>
                  <w:pPr>
                    <w:adjustRightInd w:val="0"/>
                    <w:snapToGrid w:val="0"/>
                    <w:spacing w:line="300" w:lineRule="exact"/>
                    <w:jc w:val="center"/>
                    <w:rPr>
                      <w:sz w:val="18"/>
                      <w:szCs w:val="18"/>
                    </w:rPr>
                  </w:pPr>
                  <w:r>
                    <w:rPr>
                      <w:sz w:val="18"/>
                      <w:szCs w:val="18"/>
                    </w:rPr>
                    <w:t>一般防渗区</w:t>
                  </w:r>
                </w:p>
              </w:tc>
              <w:tc>
                <w:tcPr>
                  <w:tcW w:w="2127" w:type="dxa"/>
                  <w:vAlign w:val="center"/>
                </w:tcPr>
                <w:p>
                  <w:pPr>
                    <w:adjustRightInd w:val="0"/>
                    <w:snapToGrid w:val="0"/>
                    <w:spacing w:line="300" w:lineRule="exact"/>
                    <w:jc w:val="center"/>
                    <w:rPr>
                      <w:sz w:val="18"/>
                      <w:szCs w:val="18"/>
                    </w:rPr>
                  </w:pPr>
                  <w:r>
                    <w:rPr>
                      <w:sz w:val="18"/>
                      <w:szCs w:val="18"/>
                    </w:rPr>
                    <w:t>一般固体暂存处、生产车间、办公室</w:t>
                  </w:r>
                </w:p>
              </w:tc>
              <w:tc>
                <w:tcPr>
                  <w:tcW w:w="3862" w:type="dxa"/>
                  <w:vAlign w:val="center"/>
                </w:tcPr>
                <w:p>
                  <w:pPr>
                    <w:adjustRightInd w:val="0"/>
                    <w:snapToGrid w:val="0"/>
                    <w:spacing w:line="300" w:lineRule="exact"/>
                    <w:jc w:val="center"/>
                    <w:rPr>
                      <w:sz w:val="18"/>
                      <w:szCs w:val="18"/>
                    </w:rPr>
                  </w:pPr>
                  <w:r>
                    <w:rPr>
                      <w:sz w:val="18"/>
                      <w:szCs w:val="18"/>
                    </w:rPr>
                    <w:t>等效黏土防渗层Mb≥1.5m，K≤1×10</w:t>
                  </w:r>
                  <w:r>
                    <w:rPr>
                      <w:sz w:val="18"/>
                      <w:szCs w:val="18"/>
                      <w:vertAlign w:val="superscript"/>
                    </w:rPr>
                    <w:t>-7</w:t>
                  </w:r>
                  <w:r>
                    <w:rPr>
                      <w:sz w:val="18"/>
                      <w:szCs w:val="18"/>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0" w:type="dxa"/>
                  <w:vAlign w:val="center"/>
                </w:tcPr>
                <w:p>
                  <w:pPr>
                    <w:adjustRightInd w:val="0"/>
                    <w:snapToGrid w:val="0"/>
                    <w:spacing w:line="300" w:lineRule="exact"/>
                    <w:jc w:val="center"/>
                    <w:rPr>
                      <w:sz w:val="18"/>
                      <w:szCs w:val="18"/>
                    </w:rPr>
                  </w:pPr>
                  <w:r>
                    <w:rPr>
                      <w:sz w:val="18"/>
                      <w:szCs w:val="18"/>
                    </w:rPr>
                    <w:t>3</w:t>
                  </w:r>
                </w:p>
              </w:tc>
              <w:tc>
                <w:tcPr>
                  <w:tcW w:w="1275" w:type="dxa"/>
                  <w:vAlign w:val="center"/>
                </w:tcPr>
                <w:p>
                  <w:pPr>
                    <w:adjustRightInd w:val="0"/>
                    <w:snapToGrid w:val="0"/>
                    <w:spacing w:line="300" w:lineRule="exact"/>
                    <w:jc w:val="center"/>
                    <w:rPr>
                      <w:sz w:val="18"/>
                      <w:szCs w:val="18"/>
                    </w:rPr>
                  </w:pPr>
                  <w:r>
                    <w:rPr>
                      <w:sz w:val="18"/>
                      <w:szCs w:val="18"/>
                    </w:rPr>
                    <w:t>简单防渗区</w:t>
                  </w:r>
                </w:p>
              </w:tc>
              <w:tc>
                <w:tcPr>
                  <w:tcW w:w="2127" w:type="dxa"/>
                  <w:vAlign w:val="center"/>
                </w:tcPr>
                <w:p>
                  <w:pPr>
                    <w:adjustRightInd w:val="0"/>
                    <w:snapToGrid w:val="0"/>
                    <w:spacing w:line="300" w:lineRule="exact"/>
                    <w:jc w:val="center"/>
                    <w:rPr>
                      <w:sz w:val="18"/>
                      <w:szCs w:val="18"/>
                    </w:rPr>
                  </w:pPr>
                  <w:r>
                    <w:rPr>
                      <w:sz w:val="18"/>
                      <w:szCs w:val="18"/>
                    </w:rPr>
                    <w:t>其他区域</w:t>
                  </w:r>
                </w:p>
              </w:tc>
              <w:tc>
                <w:tcPr>
                  <w:tcW w:w="3862" w:type="dxa"/>
                  <w:vAlign w:val="center"/>
                </w:tcPr>
                <w:p>
                  <w:pPr>
                    <w:adjustRightInd w:val="0"/>
                    <w:snapToGrid w:val="0"/>
                    <w:spacing w:line="300" w:lineRule="exact"/>
                    <w:jc w:val="center"/>
                    <w:rPr>
                      <w:sz w:val="18"/>
                      <w:szCs w:val="18"/>
                    </w:rPr>
                  </w:pPr>
                  <w:r>
                    <w:rPr>
                      <w:sz w:val="18"/>
                      <w:szCs w:val="18"/>
                    </w:rPr>
                    <w:t>一般地面硬化措施</w:t>
                  </w:r>
                </w:p>
              </w:tc>
            </w:tr>
          </w:tbl>
          <w:p>
            <w:pPr>
              <w:adjustRightInd w:val="0"/>
              <w:snapToGrid w:val="0"/>
              <w:spacing w:line="360" w:lineRule="auto"/>
              <w:ind w:firstLine="420" w:firstLineChars="200"/>
              <w:rPr>
                <w:bCs/>
              </w:rPr>
            </w:pPr>
            <w:r>
              <w:rPr>
                <w:bCs/>
              </w:rPr>
              <w:t>在日常运行时应当加强车间、危废间、化粪池的防渗的巡检和维护工作，确保防渗层不破损。在污染防治措施到位，严格管理的前提下，本项目对地下水影响极小。</w:t>
            </w:r>
          </w:p>
          <w:p>
            <w:pPr>
              <w:adjustRightInd w:val="0"/>
              <w:snapToGrid w:val="0"/>
              <w:spacing w:line="360" w:lineRule="auto"/>
              <w:ind w:left="420"/>
              <w:rPr>
                <w:bCs/>
              </w:rPr>
            </w:pPr>
            <w:r>
              <w:rPr>
                <w:bCs/>
              </w:rPr>
              <w:t>3、跟踪监测要求</w:t>
            </w:r>
          </w:p>
          <w:p>
            <w:pPr>
              <w:adjustRightInd w:val="0"/>
              <w:snapToGrid w:val="0"/>
              <w:spacing w:line="360" w:lineRule="auto"/>
              <w:ind w:firstLine="420" w:firstLineChars="200"/>
              <w:rPr>
                <w:bCs/>
              </w:rPr>
            </w:pPr>
            <w:r>
              <w:rPr>
                <w:bCs/>
                <w:lang w:val="zh-CN"/>
              </w:rPr>
              <w:t>根据以上分析，本项目正常工况下无污染地下水、土壤环境等重大污染源，且项目500米范围内无地下水集中式饮用水水源和热水、矿泉水、温泉等特殊地下水资源，运营期正常工况下不需要针对地下水、土壤环境污染进行跟踪监测</w:t>
            </w:r>
            <w:r>
              <w:rPr>
                <w:bCs/>
              </w:rPr>
              <w:t>。</w:t>
            </w:r>
          </w:p>
          <w:p>
            <w:pPr>
              <w:adjustRightInd w:val="0"/>
              <w:snapToGrid w:val="0"/>
              <w:spacing w:line="360" w:lineRule="auto"/>
              <w:ind w:firstLine="422" w:firstLineChars="200"/>
              <w:rPr>
                <w:b/>
              </w:rPr>
            </w:pPr>
            <w:r>
              <w:rPr>
                <w:b/>
              </w:rPr>
              <w:t>六、土壤</w:t>
            </w:r>
          </w:p>
          <w:p>
            <w:pPr>
              <w:adjustRightInd w:val="0"/>
              <w:snapToGrid w:val="0"/>
              <w:spacing w:line="360" w:lineRule="auto"/>
              <w:ind w:firstLine="420" w:firstLineChars="200"/>
              <w:rPr>
                <w:bCs/>
              </w:rPr>
            </w:pPr>
            <w:r>
              <w:rPr>
                <w:bCs/>
              </w:rPr>
              <w:t>1、污染途径、类型</w:t>
            </w:r>
          </w:p>
          <w:p>
            <w:pPr>
              <w:adjustRightInd w:val="0"/>
              <w:snapToGrid w:val="0"/>
              <w:spacing w:line="360" w:lineRule="auto"/>
              <w:ind w:firstLine="420" w:firstLineChars="200"/>
              <w:rPr>
                <w:bCs/>
                <w:color w:val="auto"/>
              </w:rPr>
            </w:pPr>
            <w:r>
              <w:rPr>
                <w:bCs/>
              </w:rPr>
              <w:t>本项目对土壤可能造成的污染途径主要是危废间、化粪池等区域的渗漏引起的土壤污染，以及废气有组织、无组织排放源排放的相关污染物的沉降，主要污染因子为COD、氨氮</w:t>
            </w:r>
            <w:r>
              <w:rPr>
                <w:bCs/>
                <w:color w:val="auto"/>
              </w:rPr>
              <w:t>等。化粪池和危废间均进行相应的重点防渗和硬化处理，生产车间内均进行一般防渗处理。拟建项目对土壤环境影响不大。</w:t>
            </w:r>
          </w:p>
          <w:p>
            <w:pPr>
              <w:adjustRightInd w:val="0"/>
              <w:snapToGrid w:val="0"/>
              <w:spacing w:line="360" w:lineRule="auto"/>
              <w:ind w:firstLine="420" w:firstLineChars="200"/>
              <w:rPr>
                <w:bCs/>
                <w:color w:val="auto"/>
              </w:rPr>
            </w:pPr>
            <w:r>
              <w:rPr>
                <w:bCs/>
                <w:color w:val="auto"/>
              </w:rPr>
              <w:t>2、采取保护措施</w:t>
            </w:r>
          </w:p>
          <w:p>
            <w:pPr>
              <w:adjustRightInd w:val="0"/>
              <w:snapToGrid w:val="0"/>
              <w:spacing w:line="360" w:lineRule="auto"/>
              <w:ind w:firstLine="420" w:firstLineChars="200"/>
              <w:rPr>
                <w:bCs/>
                <w:color w:val="auto"/>
              </w:rPr>
            </w:pPr>
            <w:r>
              <w:rPr>
                <w:bCs/>
                <w:color w:val="auto"/>
              </w:rPr>
              <w:t>同地下水防护措施。</w:t>
            </w:r>
          </w:p>
          <w:p>
            <w:pPr>
              <w:adjustRightInd w:val="0"/>
              <w:snapToGrid w:val="0"/>
              <w:spacing w:line="360" w:lineRule="auto"/>
              <w:ind w:firstLine="420" w:firstLineChars="200"/>
              <w:rPr>
                <w:bCs/>
              </w:rPr>
            </w:pPr>
            <w:r>
              <w:rPr>
                <w:bCs/>
              </w:rPr>
              <w:t>3、跟踪监测</w:t>
            </w:r>
          </w:p>
          <w:p>
            <w:pPr>
              <w:adjustRightInd w:val="0"/>
              <w:snapToGrid w:val="0"/>
              <w:spacing w:line="360" w:lineRule="auto"/>
              <w:ind w:firstLine="420" w:firstLineChars="200"/>
              <w:rPr>
                <w:rFonts w:hint="eastAsia"/>
                <w:bCs/>
                <w:color w:val="auto"/>
                <w:lang w:val="zh-CN"/>
              </w:rPr>
            </w:pPr>
            <w:r>
              <w:rPr>
                <w:bCs/>
                <w:color w:val="auto"/>
                <w:lang w:val="zh-CN"/>
              </w:rPr>
              <w:t>根据以上分析，本项目正常工况下无污染土壤环境等重大</w:t>
            </w:r>
            <w:r>
              <w:rPr>
                <w:rFonts w:hint="eastAsia"/>
                <w:bCs/>
                <w:color w:val="auto"/>
                <w:lang w:val="zh-CN"/>
              </w:rPr>
              <w:t>污染源</w:t>
            </w:r>
            <w:r>
              <w:rPr>
                <w:bCs/>
                <w:color w:val="auto"/>
                <w:lang w:val="zh-CN"/>
              </w:rPr>
              <w:t>，运营期正常工况下不需要针对土壤环境污染进行跟踪监测</w:t>
            </w:r>
            <w:r>
              <w:rPr>
                <w:rFonts w:hint="eastAsia"/>
                <w:bCs/>
                <w:color w:val="auto"/>
                <w:lang w:val="zh-CN"/>
              </w:rPr>
              <w:t>。</w:t>
            </w:r>
          </w:p>
          <w:p>
            <w:pPr>
              <w:adjustRightInd w:val="0"/>
              <w:snapToGrid w:val="0"/>
              <w:spacing w:line="360" w:lineRule="auto"/>
              <w:ind w:firstLine="422" w:firstLineChars="200"/>
              <w:rPr>
                <w:b/>
              </w:rPr>
            </w:pPr>
            <w:r>
              <w:rPr>
                <w:b/>
              </w:rPr>
              <w:t>七、生态</w:t>
            </w:r>
          </w:p>
          <w:p>
            <w:pPr>
              <w:adjustRightInd w:val="0"/>
              <w:snapToGrid w:val="0"/>
              <w:spacing w:line="360" w:lineRule="auto"/>
              <w:ind w:firstLine="420" w:firstLineChars="200"/>
              <w:rPr>
                <w:bCs/>
              </w:rPr>
            </w:pPr>
            <w:r>
              <w:rPr>
                <w:bCs/>
              </w:rPr>
              <w:t>项目在租赁现有厂房内开展，不新增占地。项目占地内没有珍稀动植物物种，生态环境质量一般。项目占地内原有生物物种在项目周围地域广泛存在，基本不影响评价区域的生物多样性，项目运营对周围生态环境基本上没有产生明显的影响。</w:t>
            </w:r>
          </w:p>
          <w:p>
            <w:pPr>
              <w:adjustRightInd w:val="0"/>
              <w:snapToGrid w:val="0"/>
              <w:spacing w:line="360" w:lineRule="auto"/>
              <w:ind w:firstLine="422" w:firstLineChars="200"/>
              <w:rPr>
                <w:b/>
              </w:rPr>
            </w:pPr>
            <w:r>
              <w:rPr>
                <w:b/>
              </w:rPr>
              <w:t>八、环境风险分析</w:t>
            </w:r>
          </w:p>
          <w:p>
            <w:pPr>
              <w:spacing w:line="420" w:lineRule="exact"/>
              <w:ind w:firstLine="420" w:firstLineChars="200"/>
            </w:pPr>
            <w:r>
              <w:t>1、本项目危险物质和风险源分布及可能影响途径</w:t>
            </w:r>
          </w:p>
          <w:p>
            <w:pPr>
              <w:spacing w:line="420" w:lineRule="exact"/>
              <w:ind w:firstLine="420" w:firstLineChars="200"/>
            </w:pPr>
            <w:r>
              <w:t>（1）危险物质和风险源分布</w:t>
            </w:r>
          </w:p>
          <w:p>
            <w:pPr>
              <w:spacing w:line="420" w:lineRule="exact"/>
              <w:ind w:firstLine="420" w:firstLineChars="200"/>
            </w:pPr>
            <w:r>
              <w:t>本项目</w:t>
            </w:r>
            <w:r>
              <w:rPr>
                <w:rFonts w:hint="eastAsia"/>
                <w:lang w:val="en-US" w:eastAsia="zh-CN"/>
              </w:rPr>
              <w:t>叉车等使用的柴油随用随买，厂内不储存，</w:t>
            </w:r>
            <w:r>
              <w:t>涉及《建设项目环境风险评价技术导则》（HJ169-2018）附录B.1中的危险物质有废</w:t>
            </w:r>
            <w:r>
              <w:rPr>
                <w:rFonts w:hint="eastAsia"/>
                <w:lang w:eastAsia="zh-CN"/>
              </w:rPr>
              <w:t>机</w:t>
            </w:r>
            <w:r>
              <w:t>油、废活性炭。</w:t>
            </w:r>
          </w:p>
          <w:p>
            <w:pPr>
              <w:adjustRightInd w:val="0"/>
              <w:snapToGrid w:val="0"/>
              <w:spacing w:line="420" w:lineRule="exact"/>
              <w:ind w:firstLine="422" w:firstLineChars="200"/>
              <w:jc w:val="center"/>
              <w:rPr>
                <w:b/>
              </w:rPr>
            </w:pPr>
            <w:r>
              <w:rPr>
                <w:b/>
              </w:rPr>
              <w:t>表4-</w:t>
            </w:r>
            <w:r>
              <w:rPr>
                <w:rFonts w:hint="eastAsia"/>
                <w:b/>
              </w:rPr>
              <w:t>26</w:t>
            </w:r>
            <w:r>
              <w:rPr>
                <w:b/>
              </w:rPr>
              <w:t xml:space="preserve">  本项目风险物质存放情况</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908"/>
              <w:gridCol w:w="1018"/>
              <w:gridCol w:w="1163"/>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0" w:type="dxa"/>
                  <w:vAlign w:val="center"/>
                </w:tcPr>
                <w:p>
                  <w:pPr>
                    <w:autoSpaceDE w:val="0"/>
                    <w:autoSpaceDN w:val="0"/>
                    <w:adjustRightInd w:val="0"/>
                    <w:spacing w:line="300" w:lineRule="exact"/>
                    <w:jc w:val="center"/>
                    <w:rPr>
                      <w:b/>
                      <w:bCs/>
                      <w:sz w:val="18"/>
                      <w:szCs w:val="18"/>
                    </w:rPr>
                  </w:pPr>
                  <w:r>
                    <w:rPr>
                      <w:b/>
                      <w:bCs/>
                      <w:sz w:val="18"/>
                      <w:szCs w:val="18"/>
                    </w:rPr>
                    <w:t>风险物质</w:t>
                  </w:r>
                </w:p>
              </w:tc>
              <w:tc>
                <w:tcPr>
                  <w:tcW w:w="2908" w:type="dxa"/>
                  <w:vAlign w:val="center"/>
                </w:tcPr>
                <w:p>
                  <w:pPr>
                    <w:autoSpaceDE w:val="0"/>
                    <w:autoSpaceDN w:val="0"/>
                    <w:adjustRightInd w:val="0"/>
                    <w:spacing w:line="300" w:lineRule="exact"/>
                    <w:jc w:val="center"/>
                    <w:rPr>
                      <w:b/>
                      <w:bCs/>
                      <w:sz w:val="18"/>
                      <w:szCs w:val="18"/>
                    </w:rPr>
                  </w:pPr>
                  <w:r>
                    <w:rPr>
                      <w:b/>
                      <w:bCs/>
                      <w:sz w:val="18"/>
                      <w:szCs w:val="18"/>
                    </w:rPr>
                    <w:t>风险源分布</w:t>
                  </w:r>
                </w:p>
              </w:tc>
              <w:tc>
                <w:tcPr>
                  <w:tcW w:w="1018" w:type="dxa"/>
                  <w:vAlign w:val="center"/>
                </w:tcPr>
                <w:p>
                  <w:pPr>
                    <w:autoSpaceDE w:val="0"/>
                    <w:autoSpaceDN w:val="0"/>
                    <w:adjustRightInd w:val="0"/>
                    <w:spacing w:line="300" w:lineRule="exact"/>
                    <w:jc w:val="center"/>
                    <w:rPr>
                      <w:b/>
                      <w:bCs/>
                      <w:sz w:val="18"/>
                      <w:szCs w:val="18"/>
                    </w:rPr>
                  </w:pPr>
                  <w:r>
                    <w:rPr>
                      <w:b/>
                      <w:bCs/>
                      <w:sz w:val="18"/>
                      <w:szCs w:val="18"/>
                    </w:rPr>
                    <w:t>储存量t</w:t>
                  </w:r>
                </w:p>
              </w:tc>
              <w:tc>
                <w:tcPr>
                  <w:tcW w:w="1163" w:type="dxa"/>
                  <w:vAlign w:val="center"/>
                </w:tcPr>
                <w:p>
                  <w:pPr>
                    <w:autoSpaceDE w:val="0"/>
                    <w:autoSpaceDN w:val="0"/>
                    <w:adjustRightInd w:val="0"/>
                    <w:spacing w:line="300" w:lineRule="exact"/>
                    <w:jc w:val="center"/>
                    <w:rPr>
                      <w:b/>
                      <w:bCs/>
                      <w:sz w:val="18"/>
                      <w:szCs w:val="18"/>
                    </w:rPr>
                  </w:pPr>
                  <w:r>
                    <w:rPr>
                      <w:b/>
                      <w:bCs/>
                      <w:sz w:val="18"/>
                      <w:szCs w:val="18"/>
                    </w:rPr>
                    <w:t>临界量t</w:t>
                  </w:r>
                </w:p>
              </w:tc>
              <w:tc>
                <w:tcPr>
                  <w:tcW w:w="1069" w:type="dxa"/>
                  <w:vAlign w:val="center"/>
                </w:tcPr>
                <w:p>
                  <w:pPr>
                    <w:autoSpaceDE w:val="0"/>
                    <w:autoSpaceDN w:val="0"/>
                    <w:adjustRightInd w:val="0"/>
                    <w:spacing w:line="300" w:lineRule="exact"/>
                    <w:jc w:val="center"/>
                    <w:rPr>
                      <w:b/>
                      <w:bCs/>
                      <w:sz w:val="18"/>
                      <w:szCs w:val="18"/>
                    </w:rPr>
                  </w:pPr>
                  <w:r>
                    <w:rPr>
                      <w:b/>
                      <w:bCs/>
                      <w:sz w:val="18"/>
                      <w:szCs w:val="18"/>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2210" w:type="dxa"/>
                  <w:vAlign w:val="center"/>
                </w:tcPr>
                <w:p>
                  <w:pPr>
                    <w:autoSpaceDE w:val="0"/>
                    <w:autoSpaceDN w:val="0"/>
                    <w:adjustRightInd w:val="0"/>
                    <w:spacing w:line="300" w:lineRule="exact"/>
                    <w:jc w:val="center"/>
                    <w:rPr>
                      <w:sz w:val="18"/>
                      <w:szCs w:val="18"/>
                    </w:rPr>
                  </w:pPr>
                  <w:r>
                    <w:rPr>
                      <w:sz w:val="18"/>
                      <w:szCs w:val="18"/>
                    </w:rPr>
                    <w:t>废活性炭</w:t>
                  </w:r>
                </w:p>
              </w:tc>
              <w:tc>
                <w:tcPr>
                  <w:tcW w:w="2908" w:type="dxa"/>
                </w:tcPr>
                <w:p>
                  <w:pPr>
                    <w:autoSpaceDE w:val="0"/>
                    <w:autoSpaceDN w:val="0"/>
                    <w:adjustRightInd w:val="0"/>
                    <w:spacing w:line="300" w:lineRule="exact"/>
                    <w:jc w:val="center"/>
                    <w:rPr>
                      <w:sz w:val="18"/>
                      <w:szCs w:val="18"/>
                    </w:rPr>
                  </w:pPr>
                  <w:r>
                    <w:rPr>
                      <w:sz w:val="18"/>
                      <w:szCs w:val="18"/>
                    </w:rPr>
                    <w:t>危废间</w:t>
                  </w:r>
                </w:p>
              </w:tc>
              <w:tc>
                <w:tcPr>
                  <w:tcW w:w="1018" w:type="dxa"/>
                  <w:vAlign w:val="center"/>
                </w:tcPr>
                <w:p>
                  <w:pPr>
                    <w:autoSpaceDE w:val="0"/>
                    <w:autoSpaceDN w:val="0"/>
                    <w:adjustRightInd w:val="0"/>
                    <w:spacing w:line="300" w:lineRule="exact"/>
                    <w:jc w:val="center"/>
                    <w:rPr>
                      <w:rFonts w:hint="default" w:eastAsia="宋体"/>
                      <w:sz w:val="18"/>
                      <w:szCs w:val="18"/>
                      <w:lang w:val="en-US" w:eastAsia="zh-CN"/>
                    </w:rPr>
                  </w:pPr>
                  <w:r>
                    <w:rPr>
                      <w:rFonts w:hint="eastAsia"/>
                      <w:sz w:val="18"/>
                      <w:szCs w:val="18"/>
                      <w:lang w:val="en-US" w:eastAsia="zh-CN"/>
                    </w:rPr>
                    <w:t>1.408</w:t>
                  </w:r>
                </w:p>
              </w:tc>
              <w:tc>
                <w:tcPr>
                  <w:tcW w:w="1163" w:type="dxa"/>
                  <w:vAlign w:val="center"/>
                </w:tcPr>
                <w:p>
                  <w:pPr>
                    <w:autoSpaceDE w:val="0"/>
                    <w:autoSpaceDN w:val="0"/>
                    <w:adjustRightInd w:val="0"/>
                    <w:spacing w:line="300" w:lineRule="exact"/>
                    <w:jc w:val="center"/>
                    <w:rPr>
                      <w:sz w:val="18"/>
                      <w:szCs w:val="18"/>
                    </w:rPr>
                  </w:pPr>
                  <w:r>
                    <w:rPr>
                      <w:sz w:val="18"/>
                      <w:szCs w:val="18"/>
                    </w:rPr>
                    <w:t>200</w:t>
                  </w:r>
                </w:p>
              </w:tc>
              <w:tc>
                <w:tcPr>
                  <w:tcW w:w="1069" w:type="dxa"/>
                  <w:vAlign w:val="center"/>
                </w:tcPr>
                <w:p>
                  <w:pPr>
                    <w:autoSpaceDE w:val="0"/>
                    <w:autoSpaceDN w:val="0"/>
                    <w:adjustRightInd w:val="0"/>
                    <w:spacing w:line="300" w:lineRule="exact"/>
                    <w:jc w:val="center"/>
                    <w:rPr>
                      <w:rFonts w:hint="default" w:eastAsia="宋体"/>
                      <w:sz w:val="18"/>
                      <w:szCs w:val="18"/>
                      <w:lang w:val="en-US" w:eastAsia="zh-CN"/>
                    </w:rPr>
                  </w:pPr>
                  <w:r>
                    <w:rPr>
                      <w:sz w:val="18"/>
                      <w:szCs w:val="18"/>
                    </w:rPr>
                    <w:t>0.00</w:t>
                  </w:r>
                  <w:r>
                    <w:rPr>
                      <w:rFonts w:hint="eastAsia"/>
                      <w:sz w:val="18"/>
                      <w:szCs w:val="18"/>
                      <w:lang w:val="en-US" w:eastAsia="zh-CN"/>
                    </w:rPr>
                    <w:t>704</w:t>
                  </w:r>
                </w:p>
              </w:tc>
            </w:tr>
          </w:tbl>
          <w:p>
            <w:pPr>
              <w:spacing w:line="420" w:lineRule="exact"/>
              <w:ind w:firstLine="420" w:firstLineChars="200"/>
            </w:pPr>
            <w:r>
              <w:t>由上表可知，本项目建成后其风险物质储存量均小于临界量，总Q值＜1，风险评价等级为简单分析。</w:t>
            </w:r>
          </w:p>
          <w:p>
            <w:pPr>
              <w:spacing w:line="420" w:lineRule="exact"/>
              <w:ind w:firstLine="420" w:firstLineChars="200"/>
            </w:pPr>
            <w:r>
              <w:t>（2）可能影响途径</w:t>
            </w:r>
          </w:p>
          <w:p>
            <w:pPr>
              <w:spacing w:line="420" w:lineRule="exact"/>
              <w:ind w:firstLine="420" w:firstLineChars="200"/>
            </w:pPr>
            <w:r>
              <w:rPr>
                <w:rFonts w:hint="eastAsia"/>
                <w:lang w:eastAsia="zh-CN"/>
              </w:rPr>
              <w:t>活性炭</w:t>
            </w:r>
            <w:r>
              <w:t>为易燃</w:t>
            </w:r>
            <w:r>
              <w:rPr>
                <w:rFonts w:hint="eastAsia"/>
                <w:lang w:eastAsia="zh-CN"/>
              </w:rPr>
              <w:t>固</w:t>
            </w:r>
            <w:r>
              <w:t>体，可引发火灾事故。一旦发生火灾事故，燃烧产生的有毒有害烟气将会对周边环境空气造成影响。产生的消防废水等若是收集处理不当一旦流出厂界会对周边土壤造成影响，下渗会对地下水造成污染，若是进入雨排系统则有可能进入附近地表水体造成污染。</w:t>
            </w:r>
          </w:p>
          <w:p>
            <w:pPr>
              <w:spacing w:line="420" w:lineRule="exact"/>
              <w:ind w:firstLine="420" w:firstLineChars="200"/>
            </w:pPr>
            <w:r>
              <w:t>2、风险防范措施</w:t>
            </w:r>
          </w:p>
          <w:p>
            <w:pPr>
              <w:spacing w:line="420" w:lineRule="exact"/>
              <w:ind w:firstLine="420" w:firstLineChars="200"/>
              <w:rPr>
                <w:bCs/>
              </w:rPr>
            </w:pPr>
            <w:r>
              <w:rPr>
                <w:bCs/>
              </w:rPr>
              <w:t>①在总图布置中，考虑各建筑物的防火间距，安全疏散以及自然条件等方面的问题，确保其符合国家的有关规定。完善相关消防设施，严格划分生产区和储存区。企业按照《建筑设计防火规范》（GB50016-2014）和《工业企业总平面布置设计规范》（GB51087-2012）等规范要求进行设计。</w:t>
            </w:r>
          </w:p>
          <w:p>
            <w:pPr>
              <w:tabs>
                <w:tab w:val="left" w:pos="1152"/>
                <w:tab w:val="left" w:pos="1680"/>
              </w:tabs>
              <w:spacing w:line="420" w:lineRule="exact"/>
              <w:ind w:firstLine="420" w:firstLineChars="200"/>
              <w:rPr>
                <w:bCs/>
              </w:rPr>
            </w:pPr>
            <w:r>
              <w:rPr>
                <w:bCs/>
              </w:rPr>
              <w:t>②配电室的结构、基础应根据水文地理状况进行建设，符合安全规定，预防遭大水淹没，引起电器短路事故。各车间、仓库设立消防水收集管道收集消防废水。</w:t>
            </w:r>
          </w:p>
          <w:p>
            <w:pPr>
              <w:tabs>
                <w:tab w:val="left" w:pos="1152"/>
                <w:tab w:val="left" w:pos="1680"/>
              </w:tabs>
              <w:spacing w:line="420" w:lineRule="exact"/>
              <w:ind w:firstLine="420" w:firstLineChars="200"/>
              <w:rPr>
                <w:bCs/>
              </w:rPr>
            </w:pPr>
            <w:r>
              <w:rPr>
                <w:bCs/>
              </w:rPr>
              <w:t>③生产装置的供电、供水等公用设施必须加强日常管理，确保满足正常生产和事故状态下的要求。</w:t>
            </w:r>
          </w:p>
          <w:p>
            <w:pPr>
              <w:tabs>
                <w:tab w:val="left" w:pos="1152"/>
                <w:tab w:val="left" w:pos="1680"/>
              </w:tabs>
              <w:adjustRightInd w:val="0"/>
              <w:snapToGrid w:val="0"/>
              <w:spacing w:line="360" w:lineRule="auto"/>
              <w:ind w:firstLine="420" w:firstLineChars="200"/>
              <w:rPr>
                <w:bCs/>
              </w:rPr>
            </w:pPr>
            <w:r>
              <w:rPr>
                <w:bCs/>
              </w:rPr>
              <w:t>④企业要加强消防安全管理，开展好消防安全检查和消防安全宣传教育，加强消防安全培训，建立健全各项消防安全制度，落实消防安全责任，提高职工的消防素质，按规范配置灭火器材和消防装备。</w:t>
            </w:r>
          </w:p>
          <w:p>
            <w:pPr>
              <w:adjustRightInd w:val="0"/>
              <w:snapToGrid w:val="0"/>
              <w:spacing w:line="360" w:lineRule="auto"/>
              <w:ind w:firstLine="420" w:firstLineChars="200"/>
              <w:rPr>
                <w:bCs/>
              </w:rPr>
            </w:pPr>
            <w:r>
              <w:rPr>
                <w:bCs/>
              </w:rPr>
              <w:t>⑤规范上述风险物质的使用及储存，严格按照安全规范要求组织生产，定期对储罐及相应的管道进行巡检，风险物质所在区域进行围堰的设置和重点防渗硬化。</w:t>
            </w:r>
          </w:p>
          <w:p>
            <w:pPr>
              <w:adjustRightInd w:val="0"/>
              <w:snapToGrid w:val="0"/>
              <w:spacing w:line="360" w:lineRule="auto"/>
              <w:ind w:firstLine="420" w:firstLineChars="200"/>
              <w:rPr>
                <w:bCs/>
              </w:rPr>
            </w:pPr>
            <w:r>
              <w:rPr>
                <w:bCs/>
              </w:rPr>
              <w:t>⑥为预防事故的发生，应成立应急事故领导小组。</w:t>
            </w:r>
          </w:p>
          <w:p>
            <w:pPr>
              <w:adjustRightInd w:val="0"/>
              <w:snapToGrid w:val="0"/>
              <w:spacing w:line="360" w:lineRule="auto"/>
              <w:ind w:firstLine="420" w:firstLineChars="200"/>
              <w:rPr>
                <w:bCs/>
              </w:rPr>
            </w:pPr>
            <w:r>
              <w:rPr>
                <w:bCs/>
              </w:rPr>
              <w:t>⑦编制突发环境事件应急预案，包括预案适用范围、环境事件分类与分级、组织机构与职责、监控和预警、应急响应、应急保障、善后处置、预案管理与演练等内容。应急预案应体现分级响应、区域联动的原则，与地方政府突发环境事件应急预案相衔接，明确分级响应程序。</w:t>
            </w:r>
          </w:p>
          <w:p>
            <w:pPr>
              <w:adjustRightInd w:val="0"/>
              <w:snapToGrid w:val="0"/>
              <w:spacing w:line="360" w:lineRule="auto"/>
              <w:ind w:firstLine="420" w:firstLineChars="200"/>
              <w:rPr>
                <w:bCs/>
              </w:rPr>
            </w:pPr>
            <w:r>
              <w:rPr>
                <w:bCs/>
              </w:rPr>
              <w:t>在采取以上分析防范措施后，本项目的风险可控。</w:t>
            </w:r>
          </w:p>
          <w:p>
            <w:pPr>
              <w:adjustRightInd w:val="0"/>
              <w:snapToGrid w:val="0"/>
              <w:spacing w:line="360" w:lineRule="auto"/>
              <w:ind w:firstLine="422" w:firstLineChars="200"/>
              <w:rPr>
                <w:b/>
              </w:rPr>
            </w:pPr>
            <w:r>
              <w:rPr>
                <w:b/>
              </w:rPr>
              <w:t>九、环保投资及三同时分析</w:t>
            </w:r>
          </w:p>
          <w:p>
            <w:pPr>
              <w:adjustRightInd w:val="0"/>
              <w:snapToGrid w:val="0"/>
              <w:spacing w:line="360" w:lineRule="auto"/>
              <w:ind w:firstLine="420" w:firstLineChars="200"/>
              <w:rPr>
                <w:bCs/>
              </w:rPr>
            </w:pPr>
            <w:r>
              <w:t>工程总投资</w:t>
            </w:r>
            <w:r>
              <w:rPr>
                <w:rFonts w:hint="eastAsia"/>
                <w:lang w:val="en-US" w:eastAsia="zh-CN"/>
              </w:rPr>
              <w:t>6</w:t>
            </w:r>
            <w:r>
              <w:t>00万元，环保投资</w:t>
            </w:r>
            <w:r>
              <w:rPr>
                <w:rFonts w:hint="eastAsia"/>
                <w:lang w:val="en-US" w:eastAsia="zh-CN"/>
              </w:rPr>
              <w:t>4</w:t>
            </w:r>
            <w:r>
              <w:t>0万元，占投资的</w:t>
            </w:r>
            <w:r>
              <w:rPr>
                <w:rFonts w:hint="eastAsia"/>
                <w:lang w:val="en-US" w:eastAsia="zh-CN"/>
              </w:rPr>
              <w:t>6.7</w:t>
            </w:r>
            <w:r>
              <w:t>%，</w:t>
            </w:r>
            <w:r>
              <w:rPr>
                <w:bCs/>
              </w:rPr>
              <w:t>根据项目的工程分析，污染因素分析及治理对策分析和调查，项目环保投资及三同时一览表如下：</w:t>
            </w:r>
          </w:p>
          <w:p>
            <w:pPr>
              <w:adjustRightInd w:val="0"/>
              <w:snapToGrid w:val="0"/>
              <w:spacing w:line="360" w:lineRule="auto"/>
              <w:jc w:val="center"/>
              <w:rPr>
                <w:b/>
              </w:rPr>
            </w:pPr>
            <w:r>
              <w:rPr>
                <w:b/>
              </w:rPr>
              <w:t>表4-27项目环保投资及“三同时”一览表     单位：万元</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96"/>
              <w:gridCol w:w="3579"/>
              <w:gridCol w:w="125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3" w:type="dxa"/>
                  <w:vAlign w:val="center"/>
                </w:tcPr>
                <w:p>
                  <w:pPr>
                    <w:spacing w:line="240" w:lineRule="atLeast"/>
                    <w:jc w:val="center"/>
                    <w:rPr>
                      <w:b/>
                      <w:bCs/>
                      <w:sz w:val="18"/>
                      <w:szCs w:val="18"/>
                    </w:rPr>
                  </w:pPr>
                  <w:r>
                    <w:rPr>
                      <w:b/>
                      <w:bCs/>
                      <w:sz w:val="18"/>
                      <w:szCs w:val="18"/>
                    </w:rPr>
                    <w:t>序号</w:t>
                  </w:r>
                </w:p>
              </w:tc>
              <w:tc>
                <w:tcPr>
                  <w:tcW w:w="1296" w:type="dxa"/>
                  <w:vAlign w:val="center"/>
                </w:tcPr>
                <w:p>
                  <w:pPr>
                    <w:spacing w:line="240" w:lineRule="atLeast"/>
                    <w:jc w:val="center"/>
                    <w:rPr>
                      <w:b/>
                      <w:bCs/>
                      <w:sz w:val="18"/>
                      <w:szCs w:val="18"/>
                    </w:rPr>
                  </w:pPr>
                  <w:r>
                    <w:rPr>
                      <w:b/>
                      <w:bCs/>
                      <w:sz w:val="18"/>
                      <w:szCs w:val="18"/>
                    </w:rPr>
                    <w:t>项目</w:t>
                  </w:r>
                </w:p>
              </w:tc>
              <w:tc>
                <w:tcPr>
                  <w:tcW w:w="3579" w:type="dxa"/>
                  <w:vAlign w:val="center"/>
                </w:tcPr>
                <w:p>
                  <w:pPr>
                    <w:spacing w:line="240" w:lineRule="atLeast"/>
                    <w:jc w:val="center"/>
                    <w:rPr>
                      <w:b/>
                      <w:bCs/>
                      <w:sz w:val="18"/>
                      <w:szCs w:val="18"/>
                    </w:rPr>
                  </w:pPr>
                  <w:r>
                    <w:rPr>
                      <w:b/>
                      <w:bCs/>
                      <w:sz w:val="18"/>
                      <w:szCs w:val="18"/>
                    </w:rPr>
                    <w:t>环保措施及验收内容</w:t>
                  </w:r>
                </w:p>
              </w:tc>
              <w:tc>
                <w:tcPr>
                  <w:tcW w:w="1254" w:type="dxa"/>
                  <w:vAlign w:val="center"/>
                </w:tcPr>
                <w:p>
                  <w:pPr>
                    <w:spacing w:line="240" w:lineRule="atLeast"/>
                    <w:jc w:val="center"/>
                    <w:rPr>
                      <w:b/>
                      <w:bCs/>
                      <w:sz w:val="18"/>
                      <w:szCs w:val="18"/>
                    </w:rPr>
                  </w:pPr>
                  <w:r>
                    <w:rPr>
                      <w:b/>
                      <w:bCs/>
                      <w:sz w:val="18"/>
                      <w:szCs w:val="18"/>
                    </w:rPr>
                    <w:t>投资估算</w:t>
                  </w:r>
                </w:p>
              </w:tc>
              <w:tc>
                <w:tcPr>
                  <w:tcW w:w="1195" w:type="dxa"/>
                  <w:vAlign w:val="center"/>
                </w:tcPr>
                <w:p>
                  <w:pPr>
                    <w:spacing w:line="240" w:lineRule="atLeast"/>
                    <w:jc w:val="center"/>
                    <w:rPr>
                      <w:b/>
                      <w:bCs/>
                      <w:sz w:val="18"/>
                      <w:szCs w:val="18"/>
                    </w:rPr>
                  </w:pPr>
                  <w:r>
                    <w:rPr>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53" w:type="dxa"/>
                  <w:vAlign w:val="center"/>
                </w:tcPr>
                <w:p>
                  <w:pPr>
                    <w:spacing w:line="240" w:lineRule="atLeast"/>
                    <w:jc w:val="center"/>
                    <w:rPr>
                      <w:bCs/>
                      <w:sz w:val="18"/>
                      <w:szCs w:val="18"/>
                    </w:rPr>
                  </w:pPr>
                  <w:r>
                    <w:rPr>
                      <w:bCs/>
                      <w:sz w:val="18"/>
                      <w:szCs w:val="18"/>
                    </w:rPr>
                    <w:t>1</w:t>
                  </w:r>
                </w:p>
              </w:tc>
              <w:tc>
                <w:tcPr>
                  <w:tcW w:w="1296" w:type="dxa"/>
                  <w:vAlign w:val="center"/>
                </w:tcPr>
                <w:p>
                  <w:pPr>
                    <w:widowControl/>
                    <w:spacing w:line="300" w:lineRule="exact"/>
                    <w:jc w:val="center"/>
                    <w:rPr>
                      <w:bCs/>
                      <w:color w:val="auto"/>
                      <w:sz w:val="18"/>
                      <w:szCs w:val="18"/>
                    </w:rPr>
                  </w:pPr>
                  <w:r>
                    <w:rPr>
                      <w:bCs/>
                      <w:color w:val="auto"/>
                      <w:sz w:val="18"/>
                      <w:szCs w:val="18"/>
                    </w:rPr>
                    <w:t>大气污染防治措施</w:t>
                  </w:r>
                </w:p>
              </w:tc>
              <w:tc>
                <w:tcPr>
                  <w:tcW w:w="3579" w:type="dxa"/>
                  <w:vAlign w:val="center"/>
                </w:tcPr>
                <w:p>
                  <w:pPr>
                    <w:pStyle w:val="2"/>
                    <w:widowControl/>
                    <w:spacing w:line="300" w:lineRule="exact"/>
                    <w:ind w:firstLine="0" w:firstLineChars="0"/>
                    <w:jc w:val="center"/>
                    <w:rPr>
                      <w:bCs/>
                      <w:color w:val="auto"/>
                      <w:sz w:val="18"/>
                      <w:szCs w:val="18"/>
                    </w:rPr>
                  </w:pPr>
                  <w:r>
                    <w:rPr>
                      <w:rFonts w:hint="eastAsia"/>
                      <w:bCs/>
                      <w:color w:val="auto"/>
                      <w:sz w:val="18"/>
                      <w:szCs w:val="18"/>
                      <w:lang w:eastAsia="zh-CN"/>
                    </w:rPr>
                    <w:t>两</w:t>
                  </w:r>
                  <w:r>
                    <w:rPr>
                      <w:bCs/>
                      <w:color w:val="auto"/>
                      <w:sz w:val="18"/>
                      <w:szCs w:val="18"/>
                    </w:rPr>
                    <w:t>级活性炭吸附装置、</w:t>
                  </w:r>
                  <w:r>
                    <w:rPr>
                      <w:rFonts w:hint="eastAsia"/>
                      <w:bCs/>
                      <w:color w:val="auto"/>
                      <w:sz w:val="18"/>
                      <w:szCs w:val="18"/>
                      <w:lang w:eastAsia="zh-CN"/>
                    </w:rPr>
                    <w:t>低氮燃烧器、</w:t>
                  </w:r>
                  <w:r>
                    <w:rPr>
                      <w:bCs/>
                      <w:color w:val="auto"/>
                      <w:sz w:val="18"/>
                      <w:szCs w:val="18"/>
                    </w:rPr>
                    <w:t>集气罩、排气筒</w:t>
                  </w:r>
                </w:p>
              </w:tc>
              <w:tc>
                <w:tcPr>
                  <w:tcW w:w="1254" w:type="dxa"/>
                  <w:vAlign w:val="center"/>
                </w:tcPr>
                <w:p>
                  <w:pPr>
                    <w:spacing w:line="240" w:lineRule="atLeast"/>
                    <w:jc w:val="center"/>
                    <w:rPr>
                      <w:bCs/>
                      <w:sz w:val="18"/>
                      <w:szCs w:val="18"/>
                    </w:rPr>
                  </w:pPr>
                  <w:r>
                    <w:rPr>
                      <w:rFonts w:hint="eastAsia"/>
                      <w:bCs/>
                      <w:sz w:val="18"/>
                      <w:szCs w:val="18"/>
                      <w:lang w:val="en-US" w:eastAsia="zh-CN"/>
                    </w:rPr>
                    <w:t>35</w:t>
                  </w:r>
                </w:p>
              </w:tc>
              <w:tc>
                <w:tcPr>
                  <w:tcW w:w="1195" w:type="dxa"/>
                  <w:vMerge w:val="restart"/>
                  <w:vAlign w:val="center"/>
                </w:tcPr>
                <w:p>
                  <w:pPr>
                    <w:widowControl/>
                    <w:spacing w:line="300" w:lineRule="exact"/>
                    <w:jc w:val="center"/>
                    <w:rPr>
                      <w:bCs/>
                      <w:color w:val="FF0000"/>
                      <w:sz w:val="18"/>
                      <w:szCs w:val="18"/>
                    </w:rPr>
                  </w:pPr>
                  <w:r>
                    <w:rPr>
                      <w:bCs/>
                      <w:sz w:val="18"/>
                      <w:szCs w:val="18"/>
                    </w:rPr>
                    <w:t>项目的污染治理设施与主体工程同时设计、同时施工、同时投入使用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53" w:type="dxa"/>
                  <w:vAlign w:val="center"/>
                </w:tcPr>
                <w:p>
                  <w:pPr>
                    <w:spacing w:line="240" w:lineRule="atLeast"/>
                    <w:jc w:val="center"/>
                    <w:rPr>
                      <w:bCs/>
                      <w:sz w:val="18"/>
                      <w:szCs w:val="18"/>
                    </w:rPr>
                  </w:pPr>
                  <w:r>
                    <w:rPr>
                      <w:bCs/>
                      <w:sz w:val="18"/>
                      <w:szCs w:val="18"/>
                    </w:rPr>
                    <w:t>2</w:t>
                  </w:r>
                </w:p>
              </w:tc>
              <w:tc>
                <w:tcPr>
                  <w:tcW w:w="1296" w:type="dxa"/>
                  <w:vAlign w:val="center"/>
                </w:tcPr>
                <w:p>
                  <w:pPr>
                    <w:widowControl/>
                    <w:spacing w:line="300" w:lineRule="exact"/>
                    <w:jc w:val="center"/>
                    <w:rPr>
                      <w:bCs/>
                      <w:sz w:val="18"/>
                      <w:szCs w:val="18"/>
                    </w:rPr>
                  </w:pPr>
                  <w:r>
                    <w:rPr>
                      <w:bCs/>
                      <w:sz w:val="18"/>
                      <w:szCs w:val="18"/>
                    </w:rPr>
                    <w:t>水污染物防治措施</w:t>
                  </w:r>
                </w:p>
              </w:tc>
              <w:tc>
                <w:tcPr>
                  <w:tcW w:w="3579" w:type="dxa"/>
                  <w:vAlign w:val="center"/>
                </w:tcPr>
                <w:p>
                  <w:pPr>
                    <w:adjustRightInd w:val="0"/>
                    <w:snapToGrid w:val="0"/>
                    <w:spacing w:line="240" w:lineRule="atLeast"/>
                    <w:jc w:val="center"/>
                  </w:pPr>
                  <w:r>
                    <w:rPr>
                      <w:sz w:val="18"/>
                      <w:szCs w:val="18"/>
                    </w:rPr>
                    <w:t>化粪池</w:t>
                  </w:r>
                </w:p>
              </w:tc>
              <w:tc>
                <w:tcPr>
                  <w:tcW w:w="1254" w:type="dxa"/>
                  <w:vAlign w:val="center"/>
                </w:tcPr>
                <w:p>
                  <w:pPr>
                    <w:spacing w:line="240" w:lineRule="atLeast"/>
                    <w:jc w:val="center"/>
                    <w:rPr>
                      <w:rFonts w:hint="default" w:eastAsia="宋体"/>
                      <w:bCs/>
                      <w:sz w:val="18"/>
                      <w:szCs w:val="18"/>
                      <w:lang w:val="en-US" w:eastAsia="zh-CN"/>
                    </w:rPr>
                  </w:pPr>
                  <w:r>
                    <w:rPr>
                      <w:rFonts w:hint="eastAsia"/>
                      <w:bCs/>
                      <w:sz w:val="18"/>
                      <w:szCs w:val="18"/>
                      <w:lang w:val="en-US" w:eastAsia="zh-CN"/>
                    </w:rPr>
                    <w:t>0.5</w:t>
                  </w:r>
                </w:p>
              </w:tc>
              <w:tc>
                <w:tcPr>
                  <w:tcW w:w="1195" w:type="dxa"/>
                  <w:vMerge w:val="continue"/>
                  <w:vAlign w:val="center"/>
                </w:tcPr>
                <w:p>
                  <w:pPr>
                    <w:widowControl/>
                    <w:spacing w:line="300" w:lineRule="exac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53" w:type="dxa"/>
                  <w:vAlign w:val="center"/>
                </w:tcPr>
                <w:p>
                  <w:pPr>
                    <w:spacing w:line="240" w:lineRule="atLeast"/>
                    <w:jc w:val="center"/>
                    <w:rPr>
                      <w:bCs/>
                      <w:sz w:val="18"/>
                      <w:szCs w:val="18"/>
                    </w:rPr>
                  </w:pPr>
                  <w:r>
                    <w:rPr>
                      <w:bCs/>
                      <w:sz w:val="18"/>
                      <w:szCs w:val="18"/>
                    </w:rPr>
                    <w:t>3</w:t>
                  </w:r>
                </w:p>
              </w:tc>
              <w:tc>
                <w:tcPr>
                  <w:tcW w:w="1296" w:type="dxa"/>
                  <w:vAlign w:val="center"/>
                </w:tcPr>
                <w:p>
                  <w:pPr>
                    <w:widowControl/>
                    <w:spacing w:line="300" w:lineRule="exact"/>
                    <w:jc w:val="center"/>
                    <w:rPr>
                      <w:bCs/>
                      <w:sz w:val="18"/>
                      <w:szCs w:val="18"/>
                    </w:rPr>
                  </w:pPr>
                  <w:r>
                    <w:rPr>
                      <w:bCs/>
                      <w:sz w:val="18"/>
                      <w:szCs w:val="18"/>
                    </w:rPr>
                    <w:t>噪声污染防治措施</w:t>
                  </w:r>
                </w:p>
              </w:tc>
              <w:tc>
                <w:tcPr>
                  <w:tcW w:w="3579" w:type="dxa"/>
                  <w:vAlign w:val="center"/>
                </w:tcPr>
                <w:p>
                  <w:pPr>
                    <w:widowControl/>
                    <w:spacing w:line="300" w:lineRule="exact"/>
                    <w:jc w:val="center"/>
                    <w:rPr>
                      <w:bCs/>
                      <w:sz w:val="18"/>
                      <w:szCs w:val="18"/>
                    </w:rPr>
                  </w:pPr>
                  <w:r>
                    <w:rPr>
                      <w:bCs/>
                      <w:sz w:val="18"/>
                      <w:szCs w:val="18"/>
                    </w:rPr>
                    <w:t>合理布置，高噪声设备采用减震、消声、隔声等降噪措施。</w:t>
                  </w:r>
                </w:p>
              </w:tc>
              <w:tc>
                <w:tcPr>
                  <w:tcW w:w="1254" w:type="dxa"/>
                  <w:vAlign w:val="center"/>
                </w:tcPr>
                <w:p>
                  <w:pPr>
                    <w:spacing w:line="240" w:lineRule="atLeast"/>
                    <w:jc w:val="center"/>
                    <w:rPr>
                      <w:rFonts w:hint="default" w:eastAsia="宋体"/>
                      <w:bCs/>
                      <w:sz w:val="18"/>
                      <w:szCs w:val="18"/>
                      <w:lang w:val="en-US" w:eastAsia="zh-CN"/>
                    </w:rPr>
                  </w:pPr>
                  <w:r>
                    <w:rPr>
                      <w:rFonts w:hint="eastAsia"/>
                      <w:bCs/>
                      <w:sz w:val="18"/>
                      <w:szCs w:val="18"/>
                      <w:lang w:val="en-US" w:eastAsia="zh-CN"/>
                    </w:rPr>
                    <w:t>1.5</w:t>
                  </w:r>
                </w:p>
              </w:tc>
              <w:tc>
                <w:tcPr>
                  <w:tcW w:w="1195" w:type="dxa"/>
                  <w:vMerge w:val="continue"/>
                  <w:vAlign w:val="center"/>
                </w:tcPr>
                <w:p>
                  <w:pPr>
                    <w:widowControl/>
                    <w:spacing w:line="300" w:lineRule="exac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53" w:type="dxa"/>
                  <w:vAlign w:val="center"/>
                </w:tcPr>
                <w:p>
                  <w:pPr>
                    <w:spacing w:line="240" w:lineRule="atLeast"/>
                    <w:jc w:val="center"/>
                    <w:rPr>
                      <w:bCs/>
                      <w:sz w:val="18"/>
                      <w:szCs w:val="18"/>
                    </w:rPr>
                  </w:pPr>
                  <w:r>
                    <w:rPr>
                      <w:bCs/>
                      <w:sz w:val="18"/>
                      <w:szCs w:val="18"/>
                    </w:rPr>
                    <w:t>4</w:t>
                  </w:r>
                </w:p>
              </w:tc>
              <w:tc>
                <w:tcPr>
                  <w:tcW w:w="1296" w:type="dxa"/>
                  <w:vAlign w:val="center"/>
                </w:tcPr>
                <w:p>
                  <w:pPr>
                    <w:widowControl/>
                    <w:spacing w:line="300" w:lineRule="exact"/>
                    <w:jc w:val="center"/>
                    <w:rPr>
                      <w:bCs/>
                      <w:sz w:val="18"/>
                      <w:szCs w:val="18"/>
                    </w:rPr>
                  </w:pPr>
                  <w:r>
                    <w:rPr>
                      <w:bCs/>
                      <w:sz w:val="18"/>
                      <w:szCs w:val="18"/>
                    </w:rPr>
                    <w:t>固体废物处理处置措施</w:t>
                  </w:r>
                </w:p>
              </w:tc>
              <w:tc>
                <w:tcPr>
                  <w:tcW w:w="3579" w:type="dxa"/>
                  <w:vAlign w:val="center"/>
                </w:tcPr>
                <w:p>
                  <w:pPr>
                    <w:widowControl/>
                    <w:spacing w:line="300" w:lineRule="exact"/>
                    <w:jc w:val="center"/>
                    <w:rPr>
                      <w:bCs/>
                      <w:sz w:val="18"/>
                      <w:szCs w:val="18"/>
                    </w:rPr>
                  </w:pPr>
                  <w:r>
                    <w:rPr>
                      <w:bCs/>
                      <w:sz w:val="18"/>
                      <w:szCs w:val="18"/>
                    </w:rPr>
                    <w:t>一般固废暂存处及危废间</w:t>
                  </w:r>
                </w:p>
              </w:tc>
              <w:tc>
                <w:tcPr>
                  <w:tcW w:w="1254" w:type="dxa"/>
                  <w:vAlign w:val="center"/>
                </w:tcPr>
                <w:p>
                  <w:pPr>
                    <w:spacing w:line="240" w:lineRule="atLeast"/>
                    <w:jc w:val="center"/>
                    <w:rPr>
                      <w:rFonts w:hint="default" w:eastAsia="宋体"/>
                      <w:bCs/>
                      <w:sz w:val="18"/>
                      <w:szCs w:val="18"/>
                      <w:lang w:val="en-US" w:eastAsia="zh-CN"/>
                    </w:rPr>
                  </w:pPr>
                  <w:r>
                    <w:rPr>
                      <w:rFonts w:hint="eastAsia"/>
                      <w:bCs/>
                      <w:sz w:val="18"/>
                      <w:szCs w:val="18"/>
                      <w:lang w:val="en-US" w:eastAsia="zh-CN"/>
                    </w:rPr>
                    <w:t>1</w:t>
                  </w:r>
                </w:p>
              </w:tc>
              <w:tc>
                <w:tcPr>
                  <w:tcW w:w="1195" w:type="dxa"/>
                  <w:vMerge w:val="continue"/>
                  <w:vAlign w:val="center"/>
                </w:tcPr>
                <w:p>
                  <w:pPr>
                    <w:widowControl/>
                    <w:spacing w:line="300" w:lineRule="exac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pPr>
                    <w:spacing w:line="240" w:lineRule="atLeast"/>
                    <w:jc w:val="center"/>
                    <w:rPr>
                      <w:bCs/>
                      <w:sz w:val="18"/>
                      <w:szCs w:val="18"/>
                    </w:rPr>
                  </w:pPr>
                  <w:r>
                    <w:rPr>
                      <w:bCs/>
                      <w:sz w:val="18"/>
                      <w:szCs w:val="18"/>
                    </w:rPr>
                    <w:t>5</w:t>
                  </w:r>
                </w:p>
              </w:tc>
              <w:tc>
                <w:tcPr>
                  <w:tcW w:w="1296" w:type="dxa"/>
                  <w:vAlign w:val="center"/>
                </w:tcPr>
                <w:p>
                  <w:pPr>
                    <w:widowControl/>
                    <w:spacing w:line="300" w:lineRule="exact"/>
                    <w:jc w:val="center"/>
                    <w:rPr>
                      <w:bCs/>
                      <w:sz w:val="18"/>
                      <w:szCs w:val="18"/>
                    </w:rPr>
                  </w:pPr>
                  <w:r>
                    <w:rPr>
                      <w:bCs/>
                      <w:sz w:val="18"/>
                      <w:szCs w:val="18"/>
                    </w:rPr>
                    <w:t>地下水、土壤防治措施</w:t>
                  </w:r>
                </w:p>
              </w:tc>
              <w:tc>
                <w:tcPr>
                  <w:tcW w:w="3579" w:type="dxa"/>
                  <w:vAlign w:val="center"/>
                </w:tcPr>
                <w:p>
                  <w:pPr>
                    <w:widowControl/>
                    <w:spacing w:line="300" w:lineRule="exact"/>
                    <w:jc w:val="center"/>
                    <w:rPr>
                      <w:bCs/>
                      <w:sz w:val="18"/>
                      <w:szCs w:val="18"/>
                    </w:rPr>
                  </w:pPr>
                  <w:r>
                    <w:rPr>
                      <w:bCs/>
                      <w:sz w:val="18"/>
                      <w:szCs w:val="18"/>
                    </w:rPr>
                    <w:t>地面硬化+防渗处理</w:t>
                  </w:r>
                </w:p>
              </w:tc>
              <w:tc>
                <w:tcPr>
                  <w:tcW w:w="1254" w:type="dxa"/>
                  <w:vAlign w:val="center"/>
                </w:tcPr>
                <w:p>
                  <w:pPr>
                    <w:spacing w:line="240" w:lineRule="atLeast"/>
                    <w:jc w:val="center"/>
                    <w:rPr>
                      <w:rFonts w:hint="eastAsia" w:eastAsia="宋体"/>
                      <w:bCs/>
                      <w:sz w:val="18"/>
                      <w:szCs w:val="18"/>
                      <w:lang w:val="en-US" w:eastAsia="zh-CN"/>
                    </w:rPr>
                  </w:pPr>
                  <w:r>
                    <w:rPr>
                      <w:rFonts w:hint="eastAsia"/>
                      <w:bCs/>
                      <w:sz w:val="18"/>
                      <w:szCs w:val="18"/>
                      <w:lang w:val="en-US" w:eastAsia="zh-CN"/>
                    </w:rPr>
                    <w:t>2</w:t>
                  </w:r>
                </w:p>
              </w:tc>
              <w:tc>
                <w:tcPr>
                  <w:tcW w:w="1195" w:type="dxa"/>
                  <w:vMerge w:val="continue"/>
                  <w:vAlign w:val="center"/>
                </w:tcPr>
                <w:p>
                  <w:pPr>
                    <w:widowControl/>
                    <w:spacing w:line="300" w:lineRule="exact"/>
                    <w:jc w:val="center"/>
                    <w:rPr>
                      <w:bCs/>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628" w:type="dxa"/>
                  <w:gridSpan w:val="3"/>
                  <w:vAlign w:val="center"/>
                </w:tcPr>
                <w:p>
                  <w:pPr>
                    <w:pStyle w:val="892"/>
                    <w:tabs>
                      <w:tab w:val="clear" w:pos="400"/>
                    </w:tabs>
                    <w:spacing w:line="300" w:lineRule="exact"/>
                    <w:ind w:firstLine="0"/>
                    <w:jc w:val="center"/>
                    <w:rPr>
                      <w:bCs/>
                      <w:sz w:val="18"/>
                      <w:szCs w:val="18"/>
                    </w:rPr>
                  </w:pPr>
                  <w:r>
                    <w:rPr>
                      <w:bCs/>
                      <w:sz w:val="18"/>
                      <w:szCs w:val="18"/>
                    </w:rPr>
                    <w:t>合计</w:t>
                  </w:r>
                </w:p>
              </w:tc>
              <w:tc>
                <w:tcPr>
                  <w:tcW w:w="1254" w:type="dxa"/>
                  <w:vAlign w:val="center"/>
                </w:tcPr>
                <w:p>
                  <w:pPr>
                    <w:pStyle w:val="892"/>
                    <w:tabs>
                      <w:tab w:val="clear" w:pos="400"/>
                    </w:tabs>
                    <w:spacing w:line="300" w:lineRule="exact"/>
                    <w:ind w:firstLine="0"/>
                    <w:jc w:val="center"/>
                    <w:rPr>
                      <w:bCs/>
                      <w:sz w:val="18"/>
                      <w:szCs w:val="18"/>
                    </w:rPr>
                  </w:pPr>
                  <w:r>
                    <w:rPr>
                      <w:rFonts w:hint="eastAsia"/>
                      <w:bCs/>
                      <w:sz w:val="18"/>
                      <w:szCs w:val="18"/>
                      <w:lang w:val="en-US" w:eastAsia="zh-CN"/>
                    </w:rPr>
                    <w:t>4</w:t>
                  </w:r>
                  <w:r>
                    <w:rPr>
                      <w:bCs/>
                      <w:sz w:val="18"/>
                      <w:szCs w:val="18"/>
                    </w:rPr>
                    <w:t>0</w:t>
                  </w:r>
                </w:p>
              </w:tc>
              <w:tc>
                <w:tcPr>
                  <w:tcW w:w="1195" w:type="dxa"/>
                  <w:vMerge w:val="continue"/>
                  <w:vAlign w:val="center"/>
                </w:tcPr>
                <w:p>
                  <w:pPr>
                    <w:spacing w:line="240" w:lineRule="atLeast"/>
                    <w:jc w:val="center"/>
                    <w:rPr>
                      <w:bCs/>
                      <w:color w:val="FF0000"/>
                      <w:sz w:val="18"/>
                      <w:szCs w:val="18"/>
                    </w:rPr>
                  </w:pPr>
                </w:p>
              </w:tc>
            </w:tr>
          </w:tbl>
          <w:p>
            <w:pPr>
              <w:pStyle w:val="2"/>
              <w:rPr>
                <w:color w:val="FF0000"/>
              </w:rPr>
            </w:pPr>
          </w:p>
          <w:p>
            <w:pPr>
              <w:pStyle w:val="2"/>
              <w:ind w:firstLine="0" w:firstLineChars="0"/>
              <w:rPr>
                <w:color w:val="FF0000"/>
              </w:rPr>
            </w:pPr>
          </w:p>
        </w:tc>
      </w:tr>
    </w:tbl>
    <w:p>
      <w:pPr>
        <w:pStyle w:val="80"/>
        <w:spacing w:line="420" w:lineRule="exact"/>
        <w:jc w:val="center"/>
        <w:outlineLvl w:val="0"/>
        <w:rPr>
          <w:rFonts w:ascii="Times New Roman" w:hAnsi="Times New Roman" w:eastAsia="黑体"/>
          <w:snapToGrid w:val="0"/>
          <w:sz w:val="30"/>
          <w:szCs w:val="30"/>
        </w:rPr>
      </w:pPr>
      <w:r>
        <w:rPr>
          <w:rFonts w:ascii="Times New Roman" w:hAnsi="Times New Roman" w:eastAsia="黑体"/>
          <w:snapToGrid w:val="0"/>
          <w:color w:val="FF0000"/>
          <w:sz w:val="30"/>
          <w:szCs w:val="30"/>
        </w:rPr>
        <w:br w:type="page"/>
      </w:r>
      <w:r>
        <w:rPr>
          <w:rFonts w:ascii="Times New Roman" w:hAnsi="Times New Roman" w:eastAsia="黑体"/>
          <w:snapToGrid w:val="0"/>
          <w:sz w:val="30"/>
          <w:szCs w:val="30"/>
        </w:rPr>
        <w:t>五、</w:t>
      </w:r>
      <w:bookmarkStart w:id="7" w:name="_Hlk54167917"/>
      <w:r>
        <w:rPr>
          <w:rFonts w:ascii="Times New Roman" w:hAnsi="Times New Roman" w:eastAsia="黑体"/>
          <w:snapToGrid w:val="0"/>
          <w:sz w:val="30"/>
          <w:szCs w:val="30"/>
        </w:rPr>
        <w:t>环境保护措施监督检查清单</w:t>
      </w:r>
      <w:bookmarkEnd w:id="7"/>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700"/>
        <w:gridCol w:w="1419"/>
        <w:gridCol w:w="1559"/>
        <w:gridCol w:w="28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tcBorders>
              <w:tl2br w:val="single" w:color="auto" w:sz="4" w:space="0"/>
            </w:tcBorders>
          </w:tcPr>
          <w:p>
            <w:pPr>
              <w:adjustRightInd w:val="0"/>
              <w:snapToGrid w:val="0"/>
              <w:spacing w:line="300" w:lineRule="exact"/>
              <w:jc w:val="right"/>
              <w:rPr>
                <w:b/>
                <w:bCs/>
              </w:rPr>
            </w:pPr>
            <w:r>
              <w:rPr>
                <w:b/>
                <w:bCs/>
              </w:rPr>
              <w:t>内容</w:t>
            </w:r>
          </w:p>
          <w:p>
            <w:pPr>
              <w:adjustRightInd w:val="0"/>
              <w:snapToGrid w:val="0"/>
              <w:spacing w:line="300" w:lineRule="exact"/>
              <w:rPr>
                <w:b/>
                <w:bCs/>
              </w:rPr>
            </w:pPr>
            <w:r>
              <w:rPr>
                <w:b/>
                <w:bCs/>
              </w:rPr>
              <w:t>要素</w:t>
            </w:r>
          </w:p>
        </w:tc>
        <w:tc>
          <w:tcPr>
            <w:tcW w:w="1700" w:type="dxa"/>
            <w:vAlign w:val="center"/>
          </w:tcPr>
          <w:p>
            <w:pPr>
              <w:adjustRightInd w:val="0"/>
              <w:snapToGrid w:val="0"/>
              <w:spacing w:line="300" w:lineRule="exact"/>
              <w:jc w:val="center"/>
              <w:rPr>
                <w:b/>
                <w:bCs/>
              </w:rPr>
            </w:pPr>
            <w:r>
              <w:rPr>
                <w:b/>
                <w:bCs/>
              </w:rPr>
              <w:t>排放口（编号、</w:t>
            </w:r>
          </w:p>
          <w:p>
            <w:pPr>
              <w:adjustRightInd w:val="0"/>
              <w:snapToGrid w:val="0"/>
              <w:spacing w:line="300" w:lineRule="exact"/>
              <w:jc w:val="center"/>
              <w:rPr>
                <w:b/>
                <w:bCs/>
              </w:rPr>
            </w:pPr>
            <w:r>
              <w:rPr>
                <w:b/>
                <w:bCs/>
              </w:rPr>
              <w:t>名称）/污染源</w:t>
            </w:r>
          </w:p>
        </w:tc>
        <w:tc>
          <w:tcPr>
            <w:tcW w:w="1419" w:type="dxa"/>
            <w:vAlign w:val="center"/>
          </w:tcPr>
          <w:p>
            <w:pPr>
              <w:adjustRightInd w:val="0"/>
              <w:snapToGrid w:val="0"/>
              <w:spacing w:line="300" w:lineRule="exact"/>
              <w:jc w:val="center"/>
              <w:rPr>
                <w:b/>
                <w:bCs/>
              </w:rPr>
            </w:pPr>
            <w:r>
              <w:rPr>
                <w:b/>
                <w:bCs/>
              </w:rPr>
              <w:t>污染物项目</w:t>
            </w:r>
          </w:p>
        </w:tc>
        <w:tc>
          <w:tcPr>
            <w:tcW w:w="1559" w:type="dxa"/>
            <w:vAlign w:val="center"/>
          </w:tcPr>
          <w:p>
            <w:pPr>
              <w:adjustRightInd w:val="0"/>
              <w:snapToGrid w:val="0"/>
              <w:spacing w:line="300" w:lineRule="exact"/>
              <w:jc w:val="center"/>
              <w:rPr>
                <w:b/>
                <w:bCs/>
              </w:rPr>
            </w:pPr>
            <w:r>
              <w:rPr>
                <w:b/>
                <w:bCs/>
              </w:rPr>
              <w:t>环境保护措施</w:t>
            </w:r>
          </w:p>
        </w:tc>
        <w:tc>
          <w:tcPr>
            <w:tcW w:w="2869" w:type="dxa"/>
            <w:vAlign w:val="center"/>
          </w:tcPr>
          <w:p>
            <w:pPr>
              <w:adjustRightInd w:val="0"/>
              <w:snapToGrid w:val="0"/>
              <w:spacing w:line="300" w:lineRule="exact"/>
              <w:jc w:val="center"/>
              <w:rPr>
                <w:b/>
                <w:bCs/>
              </w:rPr>
            </w:pPr>
            <w:r>
              <w:rPr>
                <w:b/>
                <w:bCs/>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restart"/>
            <w:vAlign w:val="center"/>
          </w:tcPr>
          <w:p>
            <w:pPr>
              <w:adjustRightInd w:val="0"/>
              <w:snapToGrid w:val="0"/>
              <w:spacing w:line="300" w:lineRule="exact"/>
              <w:jc w:val="center"/>
            </w:pPr>
            <w:r>
              <w:t>大气环境</w:t>
            </w:r>
          </w:p>
        </w:tc>
        <w:tc>
          <w:tcPr>
            <w:tcW w:w="1700" w:type="dxa"/>
            <w:vAlign w:val="center"/>
          </w:tcPr>
          <w:p>
            <w:pPr>
              <w:adjustRightInd w:val="0"/>
              <w:snapToGrid w:val="0"/>
              <w:spacing w:line="300" w:lineRule="exact"/>
              <w:jc w:val="center"/>
            </w:pPr>
            <w:r>
              <w:t>DA001</w:t>
            </w:r>
          </w:p>
        </w:tc>
        <w:tc>
          <w:tcPr>
            <w:tcW w:w="1419" w:type="dxa"/>
            <w:vAlign w:val="center"/>
          </w:tcPr>
          <w:p>
            <w:pPr>
              <w:adjustRightInd w:val="0"/>
              <w:snapToGrid w:val="0"/>
              <w:spacing w:line="300" w:lineRule="exact"/>
              <w:jc w:val="center"/>
            </w:pPr>
            <w:r>
              <w:t>VOCs</w:t>
            </w:r>
          </w:p>
        </w:tc>
        <w:tc>
          <w:tcPr>
            <w:tcW w:w="1559" w:type="dxa"/>
            <w:vAlign w:val="center"/>
          </w:tcPr>
          <w:p>
            <w:pPr>
              <w:adjustRightInd w:val="0"/>
              <w:snapToGrid w:val="0"/>
              <w:spacing w:line="300" w:lineRule="exact"/>
              <w:jc w:val="center"/>
            </w:pPr>
            <w:r>
              <w:rPr>
                <w:rFonts w:hint="eastAsia"/>
                <w:lang w:eastAsia="zh-CN"/>
              </w:rPr>
              <w:t>两</w:t>
            </w:r>
            <w:r>
              <w:t>级活性炭吸附装置</w:t>
            </w:r>
          </w:p>
        </w:tc>
        <w:tc>
          <w:tcPr>
            <w:tcW w:w="2869" w:type="dxa"/>
            <w:vAlign w:val="center"/>
          </w:tcPr>
          <w:p>
            <w:pPr>
              <w:adjustRightInd w:val="0"/>
              <w:snapToGrid w:val="0"/>
              <w:spacing w:line="300" w:lineRule="exact"/>
              <w:jc w:val="center"/>
              <w:rPr>
                <w:highlight w:val="yellow"/>
              </w:rPr>
            </w:pPr>
            <w:r>
              <w:t>《挥发性有机物排放标准第</w:t>
            </w:r>
            <w:r>
              <w:rPr>
                <w:rFonts w:hint="eastAsia"/>
                <w:lang w:val="en-US" w:eastAsia="zh-CN"/>
              </w:rPr>
              <w:t>4</w:t>
            </w:r>
            <w:r>
              <w:t>部分：</w:t>
            </w:r>
            <w:r>
              <w:rPr>
                <w:rFonts w:hint="eastAsia"/>
                <w:lang w:eastAsia="zh-CN"/>
              </w:rPr>
              <w:t>印刷</w:t>
            </w:r>
            <w:r>
              <w:t>业》（DB37/2801.</w:t>
            </w:r>
            <w:r>
              <w:rPr>
                <w:rFonts w:hint="eastAsia"/>
                <w:lang w:val="en-US" w:eastAsia="zh-CN"/>
              </w:rPr>
              <w:t>4</w:t>
            </w:r>
            <w:r>
              <w:t>-201</w:t>
            </w:r>
            <w:r>
              <w:rPr>
                <w:rFonts w:hint="eastAsia"/>
                <w:lang w:val="en-US" w:eastAsia="zh-CN"/>
              </w:rPr>
              <w:t>7</w:t>
            </w:r>
            <w:r>
              <w:t>）表</w:t>
            </w:r>
            <w:r>
              <w:rPr>
                <w:rFonts w:hint="eastAsia"/>
                <w:lang w:val="en-US" w:eastAsia="zh-CN"/>
              </w:rPr>
              <w:t>2</w:t>
            </w:r>
            <w:r>
              <w:t>中标准限值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continue"/>
            <w:vAlign w:val="center"/>
          </w:tcPr>
          <w:p>
            <w:pPr>
              <w:adjustRightInd w:val="0"/>
              <w:snapToGrid w:val="0"/>
              <w:spacing w:line="300" w:lineRule="exact"/>
              <w:jc w:val="center"/>
            </w:pPr>
          </w:p>
        </w:tc>
        <w:tc>
          <w:tcPr>
            <w:tcW w:w="1700" w:type="dxa"/>
            <w:vAlign w:val="center"/>
          </w:tcPr>
          <w:p>
            <w:pPr>
              <w:adjustRightInd w:val="0"/>
              <w:snapToGrid w:val="0"/>
              <w:spacing w:line="300" w:lineRule="exact"/>
              <w:jc w:val="center"/>
            </w:pPr>
            <w:r>
              <w:t>DA002</w:t>
            </w:r>
          </w:p>
        </w:tc>
        <w:tc>
          <w:tcPr>
            <w:tcW w:w="1419" w:type="dxa"/>
            <w:vAlign w:val="center"/>
          </w:tcPr>
          <w:p>
            <w:pPr>
              <w:adjustRightInd w:val="0"/>
              <w:snapToGrid w:val="0"/>
              <w:spacing w:line="300" w:lineRule="exact"/>
              <w:jc w:val="center"/>
              <w:rPr>
                <w:rFonts w:hint="eastAsia" w:eastAsia="宋体"/>
                <w:lang w:val="en-US" w:eastAsia="zh-CN"/>
              </w:rPr>
            </w:pPr>
            <w:r>
              <w:t>颗粒物</w:t>
            </w:r>
            <w:r>
              <w:rPr>
                <w:rFonts w:hint="eastAsia"/>
                <w:lang w:eastAsia="zh-CN"/>
              </w:rPr>
              <w:t>、</w:t>
            </w:r>
            <w:r>
              <w:rPr>
                <w:rFonts w:hint="eastAsia"/>
                <w:lang w:val="en-US" w:eastAsia="zh-CN"/>
              </w:rPr>
              <w:t>SO</w:t>
            </w:r>
            <w:r>
              <w:rPr>
                <w:rFonts w:hint="eastAsia"/>
                <w:vertAlign w:val="subscript"/>
                <w:lang w:val="en-US" w:eastAsia="zh-CN"/>
              </w:rPr>
              <w:t>2</w:t>
            </w:r>
            <w:r>
              <w:rPr>
                <w:rFonts w:hint="eastAsia"/>
                <w:lang w:eastAsia="zh-CN"/>
              </w:rPr>
              <w:t>、</w:t>
            </w:r>
            <w:r>
              <w:rPr>
                <w:rFonts w:hint="eastAsia"/>
                <w:lang w:val="en-US" w:eastAsia="zh-CN"/>
              </w:rPr>
              <w:t>NO</w:t>
            </w:r>
            <w:r>
              <w:rPr>
                <w:rFonts w:hint="eastAsia"/>
                <w:vertAlign w:val="subscript"/>
                <w:lang w:val="en-US" w:eastAsia="zh-CN"/>
              </w:rPr>
              <w:t>X</w:t>
            </w:r>
            <w:r>
              <w:rPr>
                <w:rFonts w:hint="eastAsia"/>
                <w:lang w:eastAsia="zh-CN"/>
              </w:rPr>
              <w:t>、林格曼黑度</w:t>
            </w:r>
          </w:p>
        </w:tc>
        <w:tc>
          <w:tcPr>
            <w:tcW w:w="1559" w:type="dxa"/>
            <w:vAlign w:val="center"/>
          </w:tcPr>
          <w:p>
            <w:pPr>
              <w:adjustRightInd w:val="0"/>
              <w:snapToGrid w:val="0"/>
              <w:spacing w:line="300" w:lineRule="exact"/>
              <w:jc w:val="center"/>
              <w:rPr>
                <w:rFonts w:hint="eastAsia" w:eastAsia="宋体"/>
                <w:lang w:eastAsia="zh-CN"/>
              </w:rPr>
            </w:pPr>
            <w:r>
              <w:rPr>
                <w:rFonts w:hint="eastAsia"/>
                <w:lang w:eastAsia="zh-CN"/>
              </w:rPr>
              <w:t>低氮燃烧器</w:t>
            </w:r>
          </w:p>
        </w:tc>
        <w:tc>
          <w:tcPr>
            <w:tcW w:w="2869" w:type="dxa"/>
            <w:vAlign w:val="center"/>
          </w:tcPr>
          <w:p>
            <w:pPr>
              <w:adjustRightInd w:val="0"/>
              <w:snapToGrid w:val="0"/>
              <w:spacing w:line="300" w:lineRule="exact"/>
              <w:jc w:val="center"/>
              <w:rPr>
                <w:highlight w:val="yellow"/>
              </w:rPr>
            </w:pPr>
            <w:r>
              <w:rPr>
                <w:rFonts w:eastAsiaTheme="minorEastAsia"/>
              </w:rPr>
              <w:t>《</w:t>
            </w:r>
            <w:r>
              <w:rPr>
                <w:rFonts w:hint="eastAsia" w:eastAsiaTheme="minorEastAsia"/>
                <w:lang w:eastAsia="zh-CN"/>
              </w:rPr>
              <w:t>锅炉</w:t>
            </w:r>
            <w:r>
              <w:rPr>
                <w:rFonts w:eastAsiaTheme="minorEastAsia"/>
              </w:rPr>
              <w:t>工业大气污染物排放标准》（DB37/237</w:t>
            </w:r>
            <w:r>
              <w:rPr>
                <w:rFonts w:hint="eastAsia" w:eastAsiaTheme="minorEastAsia"/>
                <w:lang w:val="en-US" w:eastAsia="zh-CN"/>
              </w:rPr>
              <w:t>4</w:t>
            </w:r>
            <w:r>
              <w:rPr>
                <w:rFonts w:eastAsiaTheme="minorEastAsia"/>
              </w:rPr>
              <w:t>-2018）表</w:t>
            </w:r>
            <w:r>
              <w:rPr>
                <w:rFonts w:hint="eastAsia" w:eastAsiaTheme="minorEastAsia"/>
                <w:lang w:val="en-US" w:eastAsia="zh-CN"/>
              </w:rPr>
              <w:t>1</w:t>
            </w:r>
            <w:r>
              <w:rPr>
                <w:rFonts w:eastAsiaTheme="minorEastAsia"/>
              </w:rPr>
              <w:t>重点控制区大气污染物排放浓度限值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continue"/>
            <w:vAlign w:val="center"/>
          </w:tcPr>
          <w:p>
            <w:pPr>
              <w:adjustRightInd w:val="0"/>
              <w:snapToGrid w:val="0"/>
              <w:spacing w:line="300" w:lineRule="exact"/>
              <w:jc w:val="center"/>
            </w:pPr>
          </w:p>
        </w:tc>
        <w:tc>
          <w:tcPr>
            <w:tcW w:w="1700" w:type="dxa"/>
            <w:vAlign w:val="center"/>
          </w:tcPr>
          <w:p>
            <w:pPr>
              <w:adjustRightInd w:val="0"/>
              <w:snapToGrid w:val="0"/>
              <w:spacing w:line="300" w:lineRule="exact"/>
              <w:jc w:val="center"/>
            </w:pPr>
            <w:r>
              <w:t>厂界无组织</w:t>
            </w:r>
          </w:p>
        </w:tc>
        <w:tc>
          <w:tcPr>
            <w:tcW w:w="1419" w:type="dxa"/>
            <w:vAlign w:val="center"/>
          </w:tcPr>
          <w:p>
            <w:pPr>
              <w:adjustRightInd w:val="0"/>
              <w:snapToGrid w:val="0"/>
              <w:spacing w:line="300" w:lineRule="exact"/>
              <w:jc w:val="center"/>
            </w:pPr>
            <w:r>
              <w:t>VOCs</w:t>
            </w:r>
          </w:p>
        </w:tc>
        <w:tc>
          <w:tcPr>
            <w:tcW w:w="1559" w:type="dxa"/>
            <w:vMerge w:val="restart"/>
            <w:vAlign w:val="center"/>
          </w:tcPr>
          <w:p>
            <w:pPr>
              <w:adjustRightInd w:val="0"/>
              <w:snapToGrid w:val="0"/>
              <w:spacing w:line="300" w:lineRule="exact"/>
              <w:jc w:val="center"/>
              <w:rPr>
                <w:rFonts w:hint="eastAsia" w:eastAsia="宋体"/>
                <w:lang w:eastAsia="zh-CN"/>
              </w:rPr>
            </w:pPr>
            <w:r>
              <w:t>加强管理</w:t>
            </w:r>
            <w:r>
              <w:rPr>
                <w:rFonts w:hint="eastAsia"/>
                <w:lang w:eastAsia="zh-CN"/>
              </w:rPr>
              <w:t>，车间密闭</w:t>
            </w:r>
          </w:p>
        </w:tc>
        <w:tc>
          <w:tcPr>
            <w:tcW w:w="2869" w:type="dxa"/>
            <w:vAlign w:val="center"/>
          </w:tcPr>
          <w:p>
            <w:pPr>
              <w:adjustRightInd w:val="0"/>
              <w:snapToGrid w:val="0"/>
              <w:spacing w:line="300" w:lineRule="exact"/>
              <w:jc w:val="center"/>
            </w:pPr>
            <w:r>
              <w:t>《挥发性有机物排放标准第</w:t>
            </w:r>
            <w:r>
              <w:rPr>
                <w:rFonts w:hint="eastAsia"/>
                <w:lang w:val="en-US" w:eastAsia="zh-CN"/>
              </w:rPr>
              <w:t>4</w:t>
            </w:r>
            <w:r>
              <w:t>部分：</w:t>
            </w:r>
            <w:r>
              <w:rPr>
                <w:rFonts w:hint="eastAsia"/>
                <w:lang w:eastAsia="zh-CN"/>
              </w:rPr>
              <w:t>印刷</w:t>
            </w:r>
            <w:r>
              <w:t>业》（DB37/2801.</w:t>
            </w:r>
            <w:r>
              <w:rPr>
                <w:rFonts w:hint="eastAsia"/>
                <w:lang w:val="en-US" w:eastAsia="zh-CN"/>
              </w:rPr>
              <w:t>4</w:t>
            </w:r>
            <w:r>
              <w:t>-201</w:t>
            </w:r>
            <w:r>
              <w:rPr>
                <w:rFonts w:hint="eastAsia"/>
                <w:lang w:val="en-US" w:eastAsia="zh-CN"/>
              </w:rPr>
              <w:t>7</w:t>
            </w:r>
            <w:r>
              <w:t>）表</w:t>
            </w:r>
            <w:r>
              <w:rPr>
                <w:rFonts w:hint="eastAsia"/>
                <w:lang w:val="en-US" w:eastAsia="zh-CN"/>
              </w:rPr>
              <w:t>3</w:t>
            </w:r>
            <w:r>
              <w:t>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55" w:type="dxa"/>
            <w:vMerge w:val="continue"/>
            <w:vAlign w:val="center"/>
          </w:tcPr>
          <w:p>
            <w:pPr>
              <w:adjustRightInd w:val="0"/>
              <w:snapToGrid w:val="0"/>
              <w:spacing w:line="300" w:lineRule="exact"/>
              <w:jc w:val="center"/>
            </w:pPr>
          </w:p>
        </w:tc>
        <w:tc>
          <w:tcPr>
            <w:tcW w:w="1700" w:type="dxa"/>
            <w:vAlign w:val="center"/>
          </w:tcPr>
          <w:p>
            <w:pPr>
              <w:adjustRightInd w:val="0"/>
              <w:snapToGrid w:val="0"/>
              <w:spacing w:line="300" w:lineRule="exact"/>
              <w:jc w:val="center"/>
              <w:rPr>
                <w:rFonts w:hint="eastAsia" w:eastAsia="宋体"/>
                <w:lang w:eastAsia="zh-CN"/>
              </w:rPr>
            </w:pPr>
            <w:r>
              <w:rPr>
                <w:rFonts w:hint="eastAsia"/>
                <w:lang w:eastAsia="zh-CN"/>
              </w:rPr>
              <w:t>厂区内无组织</w:t>
            </w:r>
          </w:p>
        </w:tc>
        <w:tc>
          <w:tcPr>
            <w:tcW w:w="1419" w:type="dxa"/>
            <w:vAlign w:val="center"/>
          </w:tcPr>
          <w:p>
            <w:pPr>
              <w:adjustRightInd w:val="0"/>
              <w:snapToGrid w:val="0"/>
              <w:spacing w:line="300" w:lineRule="exact"/>
              <w:jc w:val="center"/>
              <w:rPr>
                <w:rFonts w:hint="default" w:eastAsia="宋体"/>
                <w:lang w:val="en-US" w:eastAsia="zh-CN"/>
              </w:rPr>
            </w:pPr>
            <w:r>
              <w:rPr>
                <w:rFonts w:hint="eastAsia"/>
                <w:lang w:val="en-US" w:eastAsia="zh-CN"/>
              </w:rPr>
              <w:t>VOCs</w:t>
            </w:r>
          </w:p>
        </w:tc>
        <w:tc>
          <w:tcPr>
            <w:tcW w:w="1559" w:type="dxa"/>
            <w:vMerge w:val="continue"/>
            <w:vAlign w:val="center"/>
          </w:tcPr>
          <w:p>
            <w:pPr>
              <w:adjustRightInd w:val="0"/>
              <w:snapToGrid w:val="0"/>
              <w:spacing w:line="300" w:lineRule="exact"/>
              <w:jc w:val="center"/>
            </w:pPr>
          </w:p>
        </w:tc>
        <w:tc>
          <w:tcPr>
            <w:tcW w:w="2869" w:type="dxa"/>
            <w:vAlign w:val="center"/>
          </w:tcPr>
          <w:p>
            <w:pPr>
              <w:adjustRightInd w:val="0"/>
              <w:snapToGrid w:val="0"/>
              <w:spacing w:line="300" w:lineRule="exact"/>
              <w:jc w:val="center"/>
            </w:pPr>
            <w:r>
              <w:t>《挥发性有机物无组织排放控制标准》（GB37822-2019）中的控制标准及附录A中厂区内VOCs排放浓度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55" w:type="dxa"/>
            <w:vMerge w:val="restart"/>
            <w:vAlign w:val="center"/>
          </w:tcPr>
          <w:p>
            <w:pPr>
              <w:adjustRightInd w:val="0"/>
              <w:snapToGrid w:val="0"/>
              <w:spacing w:line="300" w:lineRule="exact"/>
              <w:jc w:val="center"/>
            </w:pPr>
            <w:r>
              <w:t>地表水环境</w:t>
            </w:r>
          </w:p>
        </w:tc>
        <w:tc>
          <w:tcPr>
            <w:tcW w:w="1700" w:type="dxa"/>
            <w:vMerge w:val="restart"/>
            <w:vAlign w:val="center"/>
          </w:tcPr>
          <w:p>
            <w:pPr>
              <w:adjustRightInd w:val="0"/>
              <w:snapToGrid w:val="0"/>
              <w:jc w:val="center"/>
            </w:pPr>
            <w:r>
              <w:rPr>
                <w:bCs/>
              </w:rPr>
              <w:t>生活污水</w:t>
            </w:r>
          </w:p>
        </w:tc>
        <w:tc>
          <w:tcPr>
            <w:tcW w:w="1419" w:type="dxa"/>
            <w:vAlign w:val="center"/>
          </w:tcPr>
          <w:p>
            <w:pPr>
              <w:adjustRightInd w:val="0"/>
              <w:snapToGrid w:val="0"/>
              <w:jc w:val="center"/>
            </w:pPr>
            <w:r>
              <w:t>COD</w:t>
            </w:r>
          </w:p>
        </w:tc>
        <w:tc>
          <w:tcPr>
            <w:tcW w:w="1559" w:type="dxa"/>
            <w:vMerge w:val="restart"/>
            <w:vAlign w:val="center"/>
          </w:tcPr>
          <w:p>
            <w:pPr>
              <w:adjustRightInd w:val="0"/>
              <w:snapToGrid w:val="0"/>
              <w:spacing w:line="300" w:lineRule="exact"/>
              <w:jc w:val="center"/>
            </w:pPr>
            <w:r>
              <w:rPr>
                <w:bCs/>
              </w:rPr>
              <w:t>生活污水经化粪池预处理后由环卫部门定期清运</w:t>
            </w:r>
          </w:p>
        </w:tc>
        <w:tc>
          <w:tcPr>
            <w:tcW w:w="2869" w:type="dxa"/>
            <w:vMerge w:val="restart"/>
            <w:vAlign w:val="center"/>
          </w:tcPr>
          <w:p>
            <w:pPr>
              <w:adjustRightInd w:val="0"/>
              <w:snapToGrid w:val="0"/>
              <w:spacing w:line="300" w:lineRule="exact"/>
              <w:jc w:val="center"/>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55" w:type="dxa"/>
            <w:vMerge w:val="continue"/>
            <w:vAlign w:val="center"/>
          </w:tcPr>
          <w:p>
            <w:pPr>
              <w:adjustRightInd w:val="0"/>
              <w:snapToGrid w:val="0"/>
              <w:spacing w:line="300" w:lineRule="exact"/>
              <w:ind w:left="-103" w:leftChars="-49" w:right="-107" w:rightChars="-51"/>
              <w:jc w:val="center"/>
            </w:pPr>
          </w:p>
        </w:tc>
        <w:tc>
          <w:tcPr>
            <w:tcW w:w="1700" w:type="dxa"/>
            <w:vMerge w:val="continue"/>
            <w:vAlign w:val="center"/>
          </w:tcPr>
          <w:p>
            <w:pPr>
              <w:adjustRightInd w:val="0"/>
              <w:snapToGrid w:val="0"/>
              <w:jc w:val="center"/>
            </w:pPr>
          </w:p>
        </w:tc>
        <w:tc>
          <w:tcPr>
            <w:tcW w:w="1419" w:type="dxa"/>
            <w:vAlign w:val="center"/>
          </w:tcPr>
          <w:p>
            <w:pPr>
              <w:adjustRightInd w:val="0"/>
              <w:snapToGrid w:val="0"/>
              <w:jc w:val="center"/>
            </w:pPr>
            <w:r>
              <w:t>氨氮</w:t>
            </w:r>
          </w:p>
        </w:tc>
        <w:tc>
          <w:tcPr>
            <w:tcW w:w="1559" w:type="dxa"/>
            <w:vMerge w:val="continue"/>
            <w:vAlign w:val="center"/>
          </w:tcPr>
          <w:p>
            <w:pPr>
              <w:adjustRightInd w:val="0"/>
              <w:snapToGrid w:val="0"/>
              <w:spacing w:line="300" w:lineRule="exact"/>
              <w:ind w:left="-103" w:leftChars="-49" w:right="-107" w:rightChars="-51"/>
              <w:jc w:val="center"/>
            </w:pPr>
          </w:p>
        </w:tc>
        <w:tc>
          <w:tcPr>
            <w:tcW w:w="2869" w:type="dxa"/>
            <w:vMerge w:val="continue"/>
            <w:vAlign w:val="center"/>
          </w:tcPr>
          <w:p>
            <w:pPr>
              <w:adjustRightInd w:val="0"/>
              <w:snapToGrid w:val="0"/>
              <w:spacing w:line="300" w:lineRule="exact"/>
              <w:ind w:left="-103" w:leftChars="-49" w:right="-107" w:rightChars="-51"/>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vAlign w:val="center"/>
          </w:tcPr>
          <w:p>
            <w:pPr>
              <w:adjustRightInd w:val="0"/>
              <w:snapToGrid w:val="0"/>
              <w:spacing w:line="300" w:lineRule="exact"/>
              <w:jc w:val="center"/>
            </w:pPr>
            <w:r>
              <w:t>声环境</w:t>
            </w:r>
          </w:p>
        </w:tc>
        <w:tc>
          <w:tcPr>
            <w:tcW w:w="1700" w:type="dxa"/>
            <w:vAlign w:val="center"/>
          </w:tcPr>
          <w:p>
            <w:pPr>
              <w:adjustRightInd w:val="0"/>
              <w:snapToGrid w:val="0"/>
              <w:spacing w:line="300" w:lineRule="exact"/>
              <w:jc w:val="center"/>
            </w:pPr>
            <w:r>
              <w:t>产噪设备及车间</w:t>
            </w:r>
          </w:p>
        </w:tc>
        <w:tc>
          <w:tcPr>
            <w:tcW w:w="1419" w:type="dxa"/>
            <w:vAlign w:val="center"/>
          </w:tcPr>
          <w:p>
            <w:pPr>
              <w:adjustRightInd w:val="0"/>
              <w:snapToGrid w:val="0"/>
              <w:spacing w:line="300" w:lineRule="exact"/>
              <w:jc w:val="center"/>
            </w:pPr>
            <w:r>
              <w:t>dB（A）</w:t>
            </w:r>
          </w:p>
        </w:tc>
        <w:tc>
          <w:tcPr>
            <w:tcW w:w="1559" w:type="dxa"/>
            <w:vAlign w:val="center"/>
          </w:tcPr>
          <w:p>
            <w:pPr>
              <w:adjustRightInd w:val="0"/>
              <w:snapToGrid w:val="0"/>
              <w:spacing w:line="300" w:lineRule="exact"/>
              <w:jc w:val="center"/>
            </w:pPr>
            <w:r>
              <w:t>减震、隔声、室内布置</w:t>
            </w:r>
          </w:p>
        </w:tc>
        <w:tc>
          <w:tcPr>
            <w:tcW w:w="2869" w:type="dxa"/>
            <w:vAlign w:val="center"/>
          </w:tcPr>
          <w:p>
            <w:pPr>
              <w:adjustRightInd w:val="0"/>
              <w:snapToGrid w:val="0"/>
              <w:spacing w:line="300" w:lineRule="exact"/>
              <w:jc w:val="center"/>
            </w:pPr>
            <w:r>
              <w:t>符合《工业企业厂界环境噪声排放标准》（GB12348-2008）2类标准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55" w:type="dxa"/>
            <w:vAlign w:val="center"/>
          </w:tcPr>
          <w:p>
            <w:pPr>
              <w:adjustRightInd w:val="0"/>
              <w:snapToGrid w:val="0"/>
              <w:spacing w:line="300" w:lineRule="exact"/>
              <w:jc w:val="center"/>
            </w:pPr>
            <w:r>
              <w:t>电磁辐射</w:t>
            </w:r>
          </w:p>
        </w:tc>
        <w:tc>
          <w:tcPr>
            <w:tcW w:w="1700" w:type="dxa"/>
            <w:vAlign w:val="center"/>
          </w:tcPr>
          <w:p>
            <w:pPr>
              <w:adjustRightInd w:val="0"/>
              <w:snapToGrid w:val="0"/>
              <w:spacing w:line="300" w:lineRule="exact"/>
              <w:jc w:val="center"/>
            </w:pPr>
            <w:r>
              <w:t>—</w:t>
            </w:r>
          </w:p>
        </w:tc>
        <w:tc>
          <w:tcPr>
            <w:tcW w:w="1419" w:type="dxa"/>
          </w:tcPr>
          <w:p>
            <w:pPr>
              <w:adjustRightInd w:val="0"/>
              <w:snapToGrid w:val="0"/>
              <w:spacing w:line="300" w:lineRule="exact"/>
              <w:jc w:val="center"/>
            </w:pPr>
            <w:r>
              <w:t>—</w:t>
            </w:r>
          </w:p>
        </w:tc>
        <w:tc>
          <w:tcPr>
            <w:tcW w:w="1559" w:type="dxa"/>
          </w:tcPr>
          <w:p>
            <w:pPr>
              <w:adjustRightInd w:val="0"/>
              <w:snapToGrid w:val="0"/>
              <w:spacing w:line="300" w:lineRule="exact"/>
              <w:jc w:val="center"/>
            </w:pPr>
            <w:r>
              <w:t>—</w:t>
            </w:r>
          </w:p>
        </w:tc>
        <w:tc>
          <w:tcPr>
            <w:tcW w:w="2869" w:type="dxa"/>
          </w:tcPr>
          <w:p>
            <w:pPr>
              <w:adjustRightInd w:val="0"/>
              <w:snapToGrid w:val="0"/>
              <w:spacing w:line="300" w:lineRule="exact"/>
              <w:jc w:val="center"/>
            </w:pP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55" w:type="dxa"/>
            <w:vAlign w:val="center"/>
          </w:tcPr>
          <w:p>
            <w:pPr>
              <w:adjustRightInd w:val="0"/>
              <w:snapToGrid w:val="0"/>
              <w:spacing w:line="300" w:lineRule="exact"/>
              <w:jc w:val="center"/>
            </w:pPr>
            <w:r>
              <w:t>固体废物</w:t>
            </w:r>
          </w:p>
        </w:tc>
        <w:tc>
          <w:tcPr>
            <w:tcW w:w="7547" w:type="dxa"/>
            <w:gridSpan w:val="4"/>
            <w:vAlign w:val="center"/>
          </w:tcPr>
          <w:p>
            <w:pPr>
              <w:autoSpaceDE w:val="0"/>
              <w:autoSpaceDN w:val="0"/>
              <w:adjustRightInd w:val="0"/>
              <w:spacing w:line="300" w:lineRule="exact"/>
              <w:ind w:firstLine="420" w:firstLineChars="200"/>
              <w:rPr>
                <w:lang w:val="zh-CN"/>
              </w:rPr>
            </w:pPr>
            <w:r>
              <w:t>固体废物管理台账，废弃物的运输登记，危险废物转移联单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55" w:type="dxa"/>
            <w:vAlign w:val="center"/>
          </w:tcPr>
          <w:p>
            <w:pPr>
              <w:adjustRightInd w:val="0"/>
              <w:snapToGrid w:val="0"/>
              <w:spacing w:line="300" w:lineRule="exact"/>
              <w:ind w:left="-128" w:leftChars="-61" w:right="-107" w:rightChars="-51" w:firstLine="128" w:firstLineChars="61"/>
              <w:jc w:val="center"/>
            </w:pPr>
            <w:r>
              <w:t>土壤及地下水污染防治措施</w:t>
            </w:r>
          </w:p>
        </w:tc>
        <w:tc>
          <w:tcPr>
            <w:tcW w:w="7547" w:type="dxa"/>
            <w:gridSpan w:val="4"/>
            <w:vAlign w:val="center"/>
          </w:tcPr>
          <w:p>
            <w:pPr>
              <w:autoSpaceDE w:val="0"/>
              <w:autoSpaceDN w:val="0"/>
              <w:adjustRightInd w:val="0"/>
              <w:spacing w:line="300" w:lineRule="exact"/>
              <w:ind w:firstLine="420" w:firstLineChars="200"/>
              <w:jc w:val="center"/>
            </w:pPr>
            <w:r>
              <w:t>采取分区防渗措施，其中重点防渗区，设置不低于6.0m厚渗透系数为1.0</w:t>
            </w:r>
            <w:r>
              <w:rPr>
                <w:sz w:val="18"/>
                <w:szCs w:val="18"/>
              </w:rPr>
              <w:t>×</w:t>
            </w:r>
            <w:r>
              <w:t>10</w:t>
            </w:r>
            <w:r>
              <w:rPr>
                <w:vertAlign w:val="superscript"/>
              </w:rPr>
              <w:t>-7</w:t>
            </w:r>
            <w:r>
              <w:t>cm/s的黏土层的防渗性能；一般防渗区，设置不低于1.5m厚渗透系数为1.0</w:t>
            </w:r>
            <w:r>
              <w:rPr>
                <w:sz w:val="18"/>
                <w:szCs w:val="18"/>
              </w:rPr>
              <w:t>×</w:t>
            </w:r>
            <w:r>
              <w:t>10</w:t>
            </w:r>
            <w:r>
              <w:rPr>
                <w:vertAlign w:val="superscript"/>
              </w:rPr>
              <w:t>-7</w:t>
            </w:r>
            <w:r>
              <w:t>cm/s的黏土层的防渗性能；办公室等其他区域采取硬化等简单防渗。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pPr>
              <w:adjustRightInd w:val="0"/>
              <w:snapToGrid w:val="0"/>
              <w:spacing w:line="300" w:lineRule="exact"/>
              <w:ind w:left="-128" w:leftChars="-61" w:right="-107" w:rightChars="-51" w:firstLine="128" w:firstLineChars="61"/>
              <w:jc w:val="center"/>
            </w:pPr>
            <w:r>
              <w:t>生态保护措施</w:t>
            </w:r>
          </w:p>
        </w:tc>
        <w:tc>
          <w:tcPr>
            <w:tcW w:w="7547" w:type="dxa"/>
            <w:gridSpan w:val="4"/>
            <w:vAlign w:val="center"/>
          </w:tcPr>
          <w:p>
            <w:pPr>
              <w:adjustRightInd w:val="0"/>
              <w:snapToGrid w:val="0"/>
              <w:spacing w:line="300" w:lineRule="exact"/>
              <w:jc w:val="center"/>
            </w:pPr>
            <w:r>
              <w:t>加强绿化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255" w:type="dxa"/>
            <w:vAlign w:val="center"/>
          </w:tcPr>
          <w:p>
            <w:pPr>
              <w:adjustRightInd w:val="0"/>
              <w:snapToGrid w:val="0"/>
              <w:spacing w:line="300" w:lineRule="exact"/>
              <w:jc w:val="center"/>
              <w:rPr>
                <w:spacing w:val="-8"/>
              </w:rPr>
            </w:pPr>
            <w:r>
              <w:rPr>
                <w:spacing w:val="-8"/>
              </w:rPr>
              <w:t>环境风险</w:t>
            </w:r>
          </w:p>
          <w:p>
            <w:pPr>
              <w:adjustRightInd w:val="0"/>
              <w:snapToGrid w:val="0"/>
              <w:spacing w:line="300" w:lineRule="exact"/>
              <w:jc w:val="center"/>
              <w:rPr>
                <w:spacing w:val="-8"/>
              </w:rPr>
            </w:pPr>
            <w:r>
              <w:rPr>
                <w:spacing w:val="-8"/>
              </w:rPr>
              <w:t>防范措施</w:t>
            </w:r>
          </w:p>
        </w:tc>
        <w:tc>
          <w:tcPr>
            <w:tcW w:w="7547" w:type="dxa"/>
            <w:gridSpan w:val="4"/>
            <w:vAlign w:val="center"/>
          </w:tcPr>
          <w:p>
            <w:pPr>
              <w:spacing w:line="300" w:lineRule="exact"/>
              <w:ind w:firstLine="420" w:firstLineChars="200"/>
              <w:rPr>
                <w:bCs/>
              </w:rPr>
            </w:pPr>
            <w:r>
              <w:rPr>
                <w:bCs/>
              </w:rPr>
              <w:t>①在总图布置中，考虑各建筑物的防火间距，安全疏散以及自然条件等方面的问题，确保其符合国家的有关规定。完善相关消防设施，严格划分生产区和储存区。企业按照《建筑设计防火规范》（GB50016-2014）和《工业企业总平面布置设计规范》（GB51087-2012）等规范要求进行设计。</w:t>
            </w:r>
          </w:p>
          <w:p>
            <w:pPr>
              <w:spacing w:line="300" w:lineRule="exact"/>
              <w:ind w:firstLine="420" w:firstLineChars="200"/>
              <w:rPr>
                <w:bCs/>
              </w:rPr>
            </w:pPr>
            <w:r>
              <w:rPr>
                <w:bCs/>
              </w:rPr>
              <w:t>②配电室的结构、基础应根据水文地理状况进行建设，符合安全规定，预防遭大水淹没，引起电器短路事故。各车间、仓库设立消防水收集管道收集消防废水。</w:t>
            </w:r>
          </w:p>
          <w:p>
            <w:pPr>
              <w:spacing w:line="300" w:lineRule="exact"/>
              <w:ind w:firstLine="420" w:firstLineChars="200"/>
              <w:rPr>
                <w:bCs/>
              </w:rPr>
            </w:pPr>
            <w:r>
              <w:rPr>
                <w:bCs/>
              </w:rPr>
              <w:t>③生产装置的供电、供水等公用设施必须加强日常管理，确保满足正常生产和事故状态下的要求。</w:t>
            </w:r>
          </w:p>
          <w:p>
            <w:pPr>
              <w:spacing w:line="300" w:lineRule="exact"/>
              <w:ind w:firstLine="420" w:firstLineChars="200"/>
              <w:rPr>
                <w:bCs/>
              </w:rPr>
            </w:pPr>
            <w:r>
              <w:rPr>
                <w:bCs/>
              </w:rPr>
              <w:t>④企业要加强消防安全管理，开展好消防安全检查和消防安全宣传教育，加强消防安全培训，建立健全各项消防安全制度，落实消防安全责任，提高职工的消防素质，按规范配置灭火器材和消防装备。</w:t>
            </w:r>
          </w:p>
          <w:p>
            <w:pPr>
              <w:spacing w:line="300" w:lineRule="exact"/>
              <w:ind w:firstLine="420" w:firstLineChars="200"/>
              <w:rPr>
                <w:bCs/>
              </w:rPr>
            </w:pPr>
            <w:r>
              <w:rPr>
                <w:bCs/>
              </w:rPr>
              <w:t>⑤规范上述风险物质的使用及储存，严格按照安全规范要求组织生产，定期对储罐及相应的管道进行巡检，风险物质所在区域进行围堰的设置和重点防渗硬化。</w:t>
            </w:r>
          </w:p>
          <w:p>
            <w:pPr>
              <w:spacing w:line="300" w:lineRule="exact"/>
              <w:ind w:firstLine="420" w:firstLineChars="200"/>
              <w:rPr>
                <w:bCs/>
              </w:rPr>
            </w:pPr>
            <w:r>
              <w:rPr>
                <w:bCs/>
              </w:rPr>
              <w:t>⑥为预防事故的发生，应成立应急事故领导小组。</w:t>
            </w:r>
          </w:p>
          <w:p>
            <w:pPr>
              <w:spacing w:line="300" w:lineRule="exact"/>
              <w:ind w:firstLine="420" w:firstLineChars="200"/>
              <w:rPr>
                <w:bCs/>
              </w:rPr>
            </w:pPr>
            <w:r>
              <w:rPr>
                <w:bCs/>
              </w:rPr>
              <w:t>⑦编制突发环境事件应急预案，包括预案适用范围、环境事件分类与分级、组织机构与职责、监控和预警、应急响应、应急保障、善后处置、预案管理与演练等内容。应急预案应体现分级响应、区域联动的原则，与地方政府突发环境事件应急预案相衔接，明确分级响应程序</w:t>
            </w:r>
          </w:p>
          <w:p>
            <w:pPr>
              <w:spacing w:line="300" w:lineRule="exact"/>
              <w:rPr>
                <w:bC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3" w:hRule="atLeast"/>
          <w:jc w:val="center"/>
        </w:trPr>
        <w:tc>
          <w:tcPr>
            <w:tcW w:w="1255" w:type="dxa"/>
            <w:vAlign w:val="center"/>
          </w:tcPr>
          <w:p>
            <w:pPr>
              <w:adjustRightInd w:val="0"/>
              <w:snapToGrid w:val="0"/>
              <w:spacing w:line="300" w:lineRule="exact"/>
              <w:jc w:val="center"/>
              <w:rPr>
                <w:spacing w:val="-8"/>
              </w:rPr>
            </w:pPr>
            <w:r>
              <w:rPr>
                <w:spacing w:val="-8"/>
              </w:rPr>
              <w:t>其他环境</w:t>
            </w:r>
          </w:p>
          <w:p>
            <w:pPr>
              <w:adjustRightInd w:val="0"/>
              <w:snapToGrid w:val="0"/>
              <w:spacing w:line="300" w:lineRule="exact"/>
              <w:jc w:val="center"/>
              <w:rPr>
                <w:spacing w:val="-8"/>
              </w:rPr>
            </w:pPr>
            <w:r>
              <w:rPr>
                <w:spacing w:val="-8"/>
              </w:rPr>
              <w:t>管理要求</w:t>
            </w:r>
          </w:p>
        </w:tc>
        <w:tc>
          <w:tcPr>
            <w:tcW w:w="7547" w:type="dxa"/>
            <w:gridSpan w:val="4"/>
            <w:vAlign w:val="center"/>
          </w:tcPr>
          <w:p>
            <w:pPr>
              <w:adjustRightInd w:val="0"/>
              <w:snapToGrid w:val="0"/>
              <w:spacing w:line="300" w:lineRule="exact"/>
              <w:ind w:firstLine="420" w:firstLineChars="200"/>
            </w:pPr>
            <w:r>
              <w:t>①严格按照国家有关建设项目环保管理规定，各类污染物的排放应执行本次环评规定的标准。</w:t>
            </w:r>
          </w:p>
          <w:p>
            <w:pPr>
              <w:adjustRightInd w:val="0"/>
              <w:snapToGrid w:val="0"/>
              <w:spacing w:line="300" w:lineRule="exact"/>
              <w:ind w:firstLine="420" w:firstLineChars="200"/>
            </w:pPr>
            <w:r>
              <w:t>②确保所用原辅材料为符合环保要求的产品。</w:t>
            </w:r>
          </w:p>
          <w:p>
            <w:pPr>
              <w:adjustRightInd w:val="0"/>
              <w:snapToGrid w:val="0"/>
              <w:spacing w:line="300" w:lineRule="exact"/>
              <w:ind w:firstLine="420" w:firstLineChars="200"/>
            </w:pPr>
            <w:r>
              <w:t>③对涉及风险物质设施定期检查，确定其可以长期稳定运行。</w:t>
            </w:r>
          </w:p>
          <w:p>
            <w:pPr>
              <w:adjustRightInd w:val="0"/>
              <w:snapToGrid w:val="0"/>
              <w:spacing w:line="300" w:lineRule="exact"/>
              <w:ind w:firstLine="420" w:firstLineChars="200"/>
            </w:pPr>
            <w:r>
              <w:t>④加强职工宣传教育，制定环保管理制度并严格执行。</w:t>
            </w:r>
          </w:p>
          <w:p>
            <w:pPr>
              <w:adjustRightInd w:val="0"/>
              <w:snapToGrid w:val="0"/>
              <w:spacing w:line="300" w:lineRule="exact"/>
              <w:ind w:firstLine="420" w:firstLineChars="200"/>
            </w:pPr>
            <w:r>
              <w:t>⑤严格按照环评要求进行例行监测。</w:t>
            </w:r>
          </w:p>
          <w:p>
            <w:pPr>
              <w:adjustRightInd w:val="0"/>
              <w:snapToGrid w:val="0"/>
              <w:spacing w:line="240" w:lineRule="exact"/>
              <w:ind w:firstLine="420" w:firstLineChars="200"/>
            </w:pPr>
            <w:r>
              <w:t>⑥本项目需申请排污</w:t>
            </w:r>
            <w:r>
              <w:rPr>
                <w:rFonts w:hint="eastAsia"/>
                <w:lang w:eastAsia="zh-CN"/>
              </w:rPr>
              <w:t>登记并取得排污登记回执</w:t>
            </w:r>
            <w:r>
              <w:t>。</w:t>
            </w:r>
          </w:p>
          <w:p>
            <w:pPr>
              <w:adjustRightInd w:val="0"/>
              <w:snapToGrid w:val="0"/>
              <w:spacing w:line="300" w:lineRule="exact"/>
              <w:ind w:firstLine="420" w:firstLineChars="200"/>
            </w:pPr>
            <w:r>
              <w:t>⑦严格执行环保“三同时”制度，确保各项环保措施落实到位，企业运用后需自行开展环境保护竣工验收，验收时环保设施处理效果及相关管理参数不得低于环评中相关参数要求</w:t>
            </w:r>
            <w:r>
              <w:rPr>
                <w:rFonts w:hint="eastAsia"/>
              </w:rPr>
              <w:t>。</w:t>
            </w:r>
          </w:p>
          <w:p>
            <w:pPr>
              <w:adjustRightInd w:val="0"/>
              <w:snapToGrid w:val="0"/>
              <w:spacing w:line="300" w:lineRule="exact"/>
              <w:ind w:firstLine="420" w:firstLineChars="200"/>
            </w:pPr>
            <w:r>
              <w:rPr>
                <w:rFonts w:hint="eastAsia" w:ascii="宋体" w:hAnsi="宋体" w:cs="宋体"/>
                <w:color w:val="auto"/>
              </w:rPr>
              <w:t>⑧</w:t>
            </w:r>
            <w:r>
              <w:rPr>
                <w:color w:val="auto"/>
              </w:rPr>
              <w:t>根据</w:t>
            </w:r>
            <w:r>
              <w:rPr>
                <w:rFonts w:hint="eastAsia"/>
                <w:color w:val="auto"/>
                <w:lang w:eastAsia="zh-CN"/>
              </w:rPr>
              <w:t>《</w:t>
            </w:r>
            <w:r>
              <w:rPr>
                <w:rFonts w:hint="eastAsia"/>
                <w:color w:val="auto"/>
              </w:rPr>
              <w:t>排污单位自行监测技术指南 总则</w:t>
            </w:r>
            <w:r>
              <w:rPr>
                <w:rFonts w:hint="eastAsia"/>
                <w:color w:val="auto"/>
                <w:lang w:eastAsia="zh-CN"/>
              </w:rPr>
              <w:t>》（</w:t>
            </w:r>
            <w:r>
              <w:rPr>
                <w:rFonts w:hint="eastAsia"/>
                <w:color w:val="auto"/>
              </w:rPr>
              <w:t>HJ 819-2017</w:t>
            </w:r>
            <w:r>
              <w:rPr>
                <w:rFonts w:hint="eastAsia"/>
                <w:color w:val="auto"/>
                <w:lang w:eastAsia="zh-CN"/>
              </w:rPr>
              <w:t>）、</w:t>
            </w:r>
            <w:r>
              <w:rPr>
                <w:rFonts w:hint="eastAsia"/>
                <w:color w:val="auto"/>
              </w:rPr>
              <w:t>《排污单位自行监测技术指南</w:t>
            </w:r>
            <w:r>
              <w:rPr>
                <w:rFonts w:hint="eastAsia"/>
                <w:color w:val="auto"/>
                <w:lang w:val="en-US" w:eastAsia="zh-CN"/>
              </w:rPr>
              <w:t xml:space="preserve"> </w:t>
            </w:r>
            <w:r>
              <w:rPr>
                <w:rFonts w:hint="eastAsia"/>
                <w:color w:val="auto"/>
              </w:rPr>
              <w:t>火力发电及锅炉》(HJ 820-2017)等</w:t>
            </w:r>
            <w:r>
              <w:rPr>
                <w:color w:val="auto"/>
              </w:rPr>
              <w:t>的要求，针对拟建项目所排污染物情况，设置监测计划</w:t>
            </w:r>
            <w:r>
              <w:rPr>
                <w:rFonts w:hint="eastAsia"/>
                <w:color w:val="auto"/>
                <w:lang w:eastAsia="zh-CN"/>
              </w:rPr>
              <w:t>定期进行检测</w:t>
            </w:r>
            <w:r>
              <w:rPr>
                <w:color w:val="auto"/>
              </w:rPr>
              <w:t>。</w:t>
            </w:r>
          </w:p>
        </w:tc>
      </w:tr>
    </w:tbl>
    <w:p>
      <w:pPr>
        <w:pStyle w:val="80"/>
        <w:spacing w:line="420" w:lineRule="exact"/>
        <w:jc w:val="center"/>
        <w:outlineLvl w:val="0"/>
        <w:rPr>
          <w:rFonts w:ascii="Times New Roman" w:hAnsi="Times New Roman" w:eastAsia="黑体"/>
          <w:snapToGrid w:val="0"/>
          <w:sz w:val="30"/>
          <w:szCs w:val="30"/>
        </w:rPr>
      </w:pPr>
      <w:r>
        <w:rPr>
          <w:rFonts w:ascii="Times New Roman" w:hAnsi="Times New Roman"/>
          <w:snapToGrid w:val="0"/>
          <w:color w:val="FF0000"/>
        </w:rPr>
        <w:br w:type="page"/>
      </w:r>
      <w:r>
        <w:rPr>
          <w:rFonts w:ascii="Times New Roman" w:hAnsi="Times New Roman" w:eastAsia="黑体"/>
          <w:snapToGrid w:val="0"/>
          <w:sz w:val="30"/>
          <w:szCs w:val="30"/>
        </w:rPr>
        <w:t>六、结论</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adjustRightInd w:val="0"/>
              <w:snapToGrid w:val="0"/>
              <w:spacing w:line="420" w:lineRule="exact"/>
              <w:ind w:firstLine="420" w:firstLineChars="200"/>
            </w:pPr>
            <w:r>
              <w:t>本项目符合国家产业政策的要求。项目区内的污染物可达标排放；在认真落实各项污染防治措施下，对周围环境影响较小，从环保角度上讲，本项目的建设运营是可行的。</w:t>
            </w:r>
          </w:p>
        </w:tc>
      </w:tr>
    </w:tbl>
    <w:p>
      <w:pPr>
        <w:spacing w:line="420" w:lineRule="exact"/>
        <w:rPr>
          <w:color w:val="FF0000"/>
        </w:rPr>
        <w:sectPr>
          <w:pgSz w:w="11906" w:h="16838"/>
          <w:pgMar w:top="1701" w:right="1531" w:bottom="1701" w:left="1531" w:header="851" w:footer="851" w:gutter="0"/>
          <w:cols w:space="720" w:num="1"/>
          <w:docGrid w:linePitch="312" w:charSpace="0"/>
        </w:sectPr>
      </w:pPr>
    </w:p>
    <w:p>
      <w:pPr>
        <w:pStyle w:val="80"/>
        <w:adjustRightInd w:val="0"/>
        <w:snapToGrid w:val="0"/>
        <w:spacing w:before="0" w:beforeAutospacing="0" w:after="0" w:afterAutospacing="0" w:line="420" w:lineRule="exact"/>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80"/>
        <w:adjustRightInd w:val="0"/>
        <w:snapToGrid w:val="0"/>
        <w:spacing w:before="0" w:beforeAutospacing="0" w:after="0" w:afterAutospacing="0" w:line="420" w:lineRule="exact"/>
        <w:jc w:val="center"/>
        <w:outlineLvl w:val="0"/>
        <w:rPr>
          <w:rFonts w:hint="eastAsia" w:ascii="Times New Roman" w:hAnsi="Times New Roman" w:eastAsia="方正小标宋_GBK"/>
          <w:snapToGrid w:val="0"/>
          <w:sz w:val="38"/>
          <w:szCs w:val="38"/>
          <w:lang w:eastAsia="zh-CN"/>
        </w:rPr>
      </w:pPr>
      <w:r>
        <w:rPr>
          <w:rFonts w:ascii="Times New Roman" w:hAnsi="Times New Roman" w:eastAsia="方正小标宋_GBK"/>
          <w:snapToGrid w:val="0"/>
          <w:sz w:val="38"/>
          <w:szCs w:val="38"/>
        </w:rPr>
        <w:t>建设项目污染物排放量汇总表</w:t>
      </w:r>
      <w:r>
        <w:rPr>
          <w:rFonts w:hint="eastAsia" w:ascii="Times New Roman" w:hAnsi="Times New Roman" w:eastAsia="方正小标宋_GBK"/>
          <w:snapToGrid w:val="0"/>
          <w:sz w:val="38"/>
          <w:szCs w:val="38"/>
          <w:lang w:eastAsia="zh-CN"/>
        </w:rPr>
        <w:t>（单位：</w:t>
      </w:r>
      <w:r>
        <w:rPr>
          <w:rFonts w:hint="eastAsia" w:ascii="Times New Roman" w:hAnsi="Times New Roman" w:eastAsia="方正小标宋_GBK"/>
          <w:snapToGrid w:val="0"/>
          <w:sz w:val="38"/>
          <w:szCs w:val="38"/>
          <w:lang w:val="en-US" w:eastAsia="zh-CN"/>
        </w:rPr>
        <w:t>t/a</w:t>
      </w:r>
      <w:r>
        <w:rPr>
          <w:rFonts w:hint="eastAsia" w:ascii="Times New Roman" w:hAnsi="Times New Roman" w:eastAsia="方正小标宋_GBK"/>
          <w:snapToGrid w:val="0"/>
          <w:sz w:val="38"/>
          <w:szCs w:val="38"/>
          <w:lang w:eastAsia="zh-CN"/>
        </w:rPr>
        <w:t>）</w:t>
      </w:r>
    </w:p>
    <w:tbl>
      <w:tblPr>
        <w:tblStyle w:val="8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418"/>
        <w:gridCol w:w="1701"/>
        <w:gridCol w:w="1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198"/>
              <w:spacing w:beforeLines="0" w:afterLines="0" w:line="420" w:lineRule="exact"/>
              <w:jc w:val="right"/>
              <w:rPr>
                <w:rFonts w:ascii="Times New Roman" w:eastAsia="黑体"/>
                <w:snapToGrid w:val="0"/>
                <w:color w:val="auto"/>
                <w:spacing w:val="-6"/>
                <w:kern w:val="21"/>
                <w:szCs w:val="21"/>
              </w:rPr>
            </w:pPr>
            <w:r>
              <w:rPr>
                <w:rFonts w:ascii="Times New Roman" w:eastAsia="黑体"/>
                <w:snapToGrid w:val="0"/>
                <w:color w:val="auto"/>
                <w:spacing w:val="-6"/>
                <w:kern w:val="21"/>
                <w:szCs w:val="21"/>
              </w:rPr>
              <w:t>项目</w:t>
            </w:r>
          </w:p>
          <w:p>
            <w:pPr>
              <w:pStyle w:val="198"/>
              <w:spacing w:beforeLines="0" w:afterLines="0" w:line="420" w:lineRule="exact"/>
              <w:jc w:val="left"/>
              <w:rPr>
                <w:rFonts w:ascii="Times New Roman" w:eastAsia="黑体"/>
                <w:snapToGrid w:val="0"/>
                <w:color w:val="auto"/>
                <w:spacing w:val="-6"/>
                <w:kern w:val="21"/>
                <w:szCs w:val="21"/>
              </w:rPr>
            </w:pPr>
            <w:r>
              <w:rPr>
                <w:rFonts w:ascii="Times New Roman" w:eastAsia="黑体"/>
                <w:snapToGrid w:val="0"/>
                <w:color w:val="auto"/>
                <w:spacing w:val="-6"/>
                <w:kern w:val="21"/>
                <w:szCs w:val="21"/>
              </w:rPr>
              <w:t>分类</w:t>
            </w:r>
          </w:p>
        </w:tc>
        <w:tc>
          <w:tcPr>
            <w:tcW w:w="1417" w:type="dxa"/>
            <w:tcMar>
              <w:left w:w="28" w:type="dxa"/>
              <w:right w:w="28" w:type="dxa"/>
            </w:tcMar>
            <w:vAlign w:val="center"/>
          </w:tcPr>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污染物名称</w:t>
            </w:r>
          </w:p>
        </w:tc>
        <w:tc>
          <w:tcPr>
            <w:tcW w:w="1701" w:type="dxa"/>
            <w:tcMar>
              <w:left w:w="28" w:type="dxa"/>
              <w:right w:w="28" w:type="dxa"/>
            </w:tcMar>
            <w:vAlign w:val="center"/>
          </w:tcPr>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ascii="Times New Roman" w:eastAsia="黑体"/>
                <w:color w:val="auto"/>
                <w:kern w:val="2"/>
                <w:szCs w:val="21"/>
              </w:rPr>
              <w:t>①</w:t>
            </w:r>
            <w:r>
              <w:rPr>
                <w:rFonts w:ascii="Times New Roman" w:eastAsia="黑体"/>
                <w:snapToGrid w:val="0"/>
                <w:color w:val="auto"/>
                <w:spacing w:val="-6"/>
                <w:kern w:val="21"/>
                <w:szCs w:val="21"/>
              </w:rPr>
              <w:fldChar w:fldCharType="end"/>
            </w:r>
          </w:p>
        </w:tc>
        <w:tc>
          <w:tcPr>
            <w:tcW w:w="1276" w:type="dxa"/>
            <w:tcMar>
              <w:left w:w="28" w:type="dxa"/>
              <w:right w:w="28" w:type="dxa"/>
            </w:tcMar>
            <w:vAlign w:val="center"/>
          </w:tcPr>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许可排放量</w:t>
            </w:r>
          </w:p>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ascii="Times New Roman" w:eastAsia="黑体"/>
                <w:snapToGrid w:val="0"/>
                <w:color w:val="auto"/>
                <w:spacing w:val="-6"/>
                <w:kern w:val="21"/>
                <w:szCs w:val="21"/>
              </w:rPr>
              <w:t>②</w:t>
            </w:r>
            <w:r>
              <w:rPr>
                <w:rFonts w:ascii="Times New Roman" w:eastAsia="黑体"/>
                <w:snapToGrid w:val="0"/>
                <w:color w:val="auto"/>
                <w:spacing w:val="-6"/>
                <w:kern w:val="21"/>
                <w:szCs w:val="21"/>
              </w:rPr>
              <w:fldChar w:fldCharType="end"/>
            </w:r>
          </w:p>
        </w:tc>
        <w:tc>
          <w:tcPr>
            <w:tcW w:w="1701" w:type="dxa"/>
            <w:tcMar>
              <w:left w:w="28" w:type="dxa"/>
              <w:right w:w="28" w:type="dxa"/>
            </w:tcMar>
            <w:vAlign w:val="center"/>
          </w:tcPr>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在建工程</w:t>
            </w:r>
          </w:p>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ascii="Times New Roman" w:eastAsia="黑体"/>
                <w:color w:val="auto"/>
                <w:kern w:val="2"/>
                <w:szCs w:val="21"/>
              </w:rPr>
              <w:t>③</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本项目</w:t>
            </w:r>
          </w:p>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ascii="Times New Roman" w:eastAsia="黑体"/>
                <w:color w:val="auto"/>
                <w:kern w:val="2"/>
                <w:szCs w:val="21"/>
              </w:rPr>
              <w:t>④</w:t>
            </w:r>
            <w:r>
              <w:rPr>
                <w:rFonts w:ascii="Times New Roman" w:eastAsia="黑体"/>
                <w:snapToGrid w:val="0"/>
                <w:color w:val="auto"/>
                <w:spacing w:val="-6"/>
                <w:kern w:val="21"/>
                <w:szCs w:val="21"/>
              </w:rPr>
              <w:fldChar w:fldCharType="end"/>
            </w:r>
          </w:p>
        </w:tc>
        <w:tc>
          <w:tcPr>
            <w:tcW w:w="1418" w:type="dxa"/>
            <w:tcMar>
              <w:left w:w="28" w:type="dxa"/>
              <w:right w:w="28" w:type="dxa"/>
            </w:tcMar>
            <w:vAlign w:val="center"/>
          </w:tcPr>
          <w:p>
            <w:pPr>
              <w:pStyle w:val="198"/>
              <w:spacing w:beforeLines="0" w:afterLines="0" w:line="420" w:lineRule="exact"/>
              <w:rPr>
                <w:rFonts w:ascii="Times New Roman" w:eastAsia="黑体"/>
                <w:snapToGrid w:val="0"/>
                <w:color w:val="auto"/>
                <w:spacing w:val="-16"/>
                <w:kern w:val="21"/>
                <w:szCs w:val="21"/>
              </w:rPr>
            </w:pPr>
            <w:r>
              <w:rPr>
                <w:rFonts w:ascii="Times New Roman" w:eastAsia="黑体"/>
                <w:snapToGrid w:val="0"/>
                <w:color w:val="auto"/>
                <w:spacing w:val="-16"/>
                <w:kern w:val="21"/>
                <w:szCs w:val="21"/>
              </w:rPr>
              <w:t>以新带老削减量</w:t>
            </w:r>
          </w:p>
          <w:p>
            <w:pPr>
              <w:pStyle w:val="198"/>
              <w:spacing w:beforeLines="0" w:afterLines="0" w:line="420" w:lineRule="exact"/>
              <w:rPr>
                <w:rFonts w:ascii="Times New Roman" w:eastAsia="黑体"/>
                <w:snapToGrid w:val="0"/>
                <w:color w:val="auto"/>
                <w:spacing w:val="-16"/>
                <w:kern w:val="21"/>
                <w:szCs w:val="21"/>
              </w:rPr>
            </w:pPr>
            <w:r>
              <w:rPr>
                <w:rFonts w:ascii="Times New Roman"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ascii="Times New Roman" w:eastAsia="黑体"/>
                <w:color w:val="auto"/>
                <w:kern w:val="2"/>
                <w:szCs w:val="21"/>
              </w:rPr>
              <w:t>⑤</w:t>
            </w:r>
            <w:r>
              <w:rPr>
                <w:rFonts w:ascii="Times New Roman" w:eastAsia="黑体"/>
                <w:snapToGrid w:val="0"/>
                <w:color w:val="auto"/>
                <w:spacing w:val="-16"/>
                <w:kern w:val="21"/>
                <w:szCs w:val="21"/>
              </w:rPr>
              <w:fldChar w:fldCharType="end"/>
            </w:r>
          </w:p>
        </w:tc>
        <w:tc>
          <w:tcPr>
            <w:tcW w:w="1701" w:type="dxa"/>
            <w:tcMar>
              <w:left w:w="28" w:type="dxa"/>
              <w:right w:w="28" w:type="dxa"/>
            </w:tcMar>
            <w:vAlign w:val="center"/>
          </w:tcPr>
          <w:p>
            <w:pPr>
              <w:pStyle w:val="198"/>
              <w:spacing w:beforeLines="0" w:afterLines="0" w:line="420" w:lineRule="exact"/>
              <w:rPr>
                <w:rFonts w:ascii="Times New Roman" w:eastAsia="黑体"/>
                <w:snapToGrid w:val="0"/>
                <w:color w:val="auto"/>
                <w:spacing w:val="-16"/>
                <w:kern w:val="21"/>
                <w:szCs w:val="21"/>
              </w:rPr>
            </w:pPr>
            <w:r>
              <w:rPr>
                <w:rFonts w:ascii="Times New Roman" w:eastAsia="黑体"/>
                <w:snapToGrid w:val="0"/>
                <w:color w:val="auto"/>
                <w:spacing w:val="-16"/>
                <w:kern w:val="21"/>
                <w:szCs w:val="21"/>
              </w:rPr>
              <w:t>本项目建成后</w:t>
            </w:r>
          </w:p>
          <w:p>
            <w:pPr>
              <w:pStyle w:val="198"/>
              <w:spacing w:beforeLines="0" w:afterLines="0" w:line="420" w:lineRule="exact"/>
              <w:rPr>
                <w:rFonts w:ascii="Times New Roman" w:eastAsia="黑体"/>
                <w:snapToGrid w:val="0"/>
                <w:color w:val="auto"/>
                <w:spacing w:val="-16"/>
                <w:kern w:val="21"/>
                <w:szCs w:val="21"/>
              </w:rPr>
            </w:pPr>
            <w:r>
              <w:rPr>
                <w:rFonts w:ascii="Times New Roman" w:eastAsia="黑体"/>
                <w:snapToGrid w:val="0"/>
                <w:color w:val="auto"/>
                <w:spacing w:val="-16"/>
                <w:kern w:val="21"/>
                <w:szCs w:val="21"/>
              </w:rPr>
              <w:t>全厂排放量（固体废物产生量）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ascii="Times New Roman" w:eastAsia="黑体"/>
                <w:color w:val="auto"/>
                <w:kern w:val="2"/>
                <w:szCs w:val="21"/>
              </w:rPr>
              <w:t>⑥</w:t>
            </w:r>
            <w:r>
              <w:rPr>
                <w:rFonts w:ascii="Times New Roman" w:eastAsia="黑体"/>
                <w:snapToGrid w:val="0"/>
                <w:color w:val="auto"/>
                <w:spacing w:val="-16"/>
                <w:kern w:val="21"/>
                <w:szCs w:val="21"/>
              </w:rPr>
              <w:fldChar w:fldCharType="end"/>
            </w:r>
          </w:p>
        </w:tc>
        <w:tc>
          <w:tcPr>
            <w:tcW w:w="1427" w:type="dxa"/>
            <w:tcMar>
              <w:left w:w="28" w:type="dxa"/>
              <w:right w:w="28" w:type="dxa"/>
            </w:tcMar>
            <w:vAlign w:val="center"/>
          </w:tcPr>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t>变化量</w:t>
            </w:r>
          </w:p>
          <w:p>
            <w:pPr>
              <w:pStyle w:val="198"/>
              <w:spacing w:beforeLines="0" w:afterLines="0" w:line="420" w:lineRule="exact"/>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ascii="Times New Roman" w:eastAsia="黑体"/>
                <w:color w:val="auto"/>
                <w:kern w:val="2"/>
                <w:szCs w:val="21"/>
              </w:rPr>
              <w:t>⑦</w:t>
            </w:r>
            <w:r>
              <w:rPr>
                <w:rFonts w:ascii="Times New Roman"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198"/>
              <w:spacing w:beforeLines="0" w:afterLines="0" w:line="420" w:lineRule="exact"/>
              <w:rPr>
                <w:rFonts w:ascii="Times New Roman"/>
                <w:snapToGrid w:val="0"/>
                <w:color w:val="auto"/>
                <w:kern w:val="21"/>
                <w:szCs w:val="21"/>
              </w:rPr>
            </w:pPr>
            <w:r>
              <w:rPr>
                <w:rFonts w:ascii="Times New Roman"/>
                <w:snapToGrid w:val="0"/>
                <w:color w:val="auto"/>
                <w:kern w:val="21"/>
                <w:szCs w:val="21"/>
              </w:rPr>
              <w:t>废气</w:t>
            </w:r>
          </w:p>
        </w:tc>
        <w:tc>
          <w:tcPr>
            <w:tcW w:w="1417" w:type="dxa"/>
            <w:vAlign w:val="center"/>
          </w:tcPr>
          <w:p>
            <w:pPr>
              <w:pStyle w:val="198"/>
              <w:spacing w:beforeLines="0" w:afterLines="0" w:line="420" w:lineRule="exact"/>
              <w:rPr>
                <w:rFonts w:ascii="Times New Roman"/>
                <w:snapToGrid w:val="0"/>
                <w:color w:val="auto"/>
                <w:kern w:val="21"/>
                <w:sz w:val="21"/>
                <w:szCs w:val="21"/>
              </w:rPr>
            </w:pPr>
            <w:r>
              <w:rPr>
                <w:rFonts w:ascii="Times New Roman"/>
                <w:snapToGrid w:val="0"/>
                <w:color w:val="auto"/>
                <w:kern w:val="21"/>
                <w:sz w:val="21"/>
                <w:szCs w:val="21"/>
              </w:rPr>
              <w:t>VOCs</w:t>
            </w:r>
          </w:p>
        </w:tc>
        <w:tc>
          <w:tcPr>
            <w:tcW w:w="1701"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276"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701"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559" w:type="dxa"/>
            <w:vAlign w:val="center"/>
          </w:tcPr>
          <w:p>
            <w:pPr>
              <w:pStyle w:val="198"/>
              <w:spacing w:beforeLines="0" w:afterLines="0" w:line="420" w:lineRule="exact"/>
              <w:rPr>
                <w:rFonts w:hint="default"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0.148</w:t>
            </w:r>
          </w:p>
        </w:tc>
        <w:tc>
          <w:tcPr>
            <w:tcW w:w="1418"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701" w:type="dxa"/>
            <w:vAlign w:val="center"/>
          </w:tcPr>
          <w:p>
            <w:pPr>
              <w:pStyle w:val="198"/>
              <w:spacing w:beforeLines="0" w:afterLines="0" w:line="420" w:lineRule="exact"/>
              <w:rPr>
                <w:rFonts w:ascii="Times New Roman"/>
                <w:snapToGrid w:val="0"/>
                <w:color w:val="auto"/>
                <w:kern w:val="21"/>
                <w:sz w:val="21"/>
                <w:szCs w:val="21"/>
              </w:rPr>
            </w:pPr>
            <w:r>
              <w:rPr>
                <w:rFonts w:hint="eastAsia" w:ascii="Times New Roman"/>
                <w:snapToGrid w:val="0"/>
                <w:color w:val="auto"/>
                <w:kern w:val="21"/>
                <w:sz w:val="21"/>
                <w:szCs w:val="21"/>
                <w:lang w:val="en-US" w:eastAsia="zh-CN"/>
              </w:rPr>
              <w:t>0.148</w:t>
            </w:r>
          </w:p>
        </w:tc>
        <w:tc>
          <w:tcPr>
            <w:tcW w:w="1427" w:type="dxa"/>
            <w:vAlign w:val="center"/>
          </w:tcPr>
          <w:p>
            <w:pPr>
              <w:pStyle w:val="198"/>
              <w:spacing w:beforeLines="0" w:afterLines="0" w:line="420" w:lineRule="exact"/>
              <w:rPr>
                <w:rFonts w:ascii="Times New Roman"/>
                <w:snapToGrid w:val="0"/>
                <w:color w:val="auto"/>
                <w:kern w:val="21"/>
                <w:sz w:val="21"/>
                <w:szCs w:val="21"/>
              </w:rPr>
            </w:pPr>
            <w:r>
              <w:rPr>
                <w:rFonts w:hint="eastAsia" w:ascii="Times New Roman"/>
                <w:snapToGrid w:val="0"/>
                <w:color w:val="auto"/>
                <w:kern w:val="21"/>
                <w:sz w:val="21"/>
                <w:szCs w:val="21"/>
                <w:lang w:val="en-US" w:eastAsia="zh-CN"/>
              </w:rPr>
              <w:t>+0.148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198"/>
              <w:spacing w:beforeLines="0" w:afterLines="0" w:line="420" w:lineRule="exact"/>
              <w:rPr>
                <w:rFonts w:ascii="Times New Roman"/>
                <w:snapToGrid w:val="0"/>
                <w:color w:val="auto"/>
                <w:kern w:val="21"/>
                <w:szCs w:val="21"/>
              </w:rPr>
            </w:pPr>
          </w:p>
        </w:tc>
        <w:tc>
          <w:tcPr>
            <w:tcW w:w="1417" w:type="dxa"/>
            <w:vAlign w:val="center"/>
          </w:tcPr>
          <w:p>
            <w:pPr>
              <w:pStyle w:val="198"/>
              <w:spacing w:beforeLines="0" w:afterLines="0" w:line="420" w:lineRule="exact"/>
              <w:rPr>
                <w:rFonts w:hint="eastAsia" w:ascii="Times New Roman" w:eastAsia="宋体"/>
                <w:snapToGrid w:val="0"/>
                <w:color w:val="auto"/>
                <w:kern w:val="21"/>
                <w:sz w:val="21"/>
                <w:szCs w:val="21"/>
                <w:lang w:eastAsia="zh-CN"/>
              </w:rPr>
            </w:pPr>
            <w:r>
              <w:rPr>
                <w:rFonts w:hint="eastAsia" w:ascii="Times New Roman"/>
                <w:snapToGrid w:val="0"/>
                <w:color w:val="auto"/>
                <w:kern w:val="21"/>
                <w:sz w:val="21"/>
                <w:szCs w:val="21"/>
                <w:lang w:eastAsia="zh-CN"/>
              </w:rPr>
              <w:t>颗粒物</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276"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559" w:type="dxa"/>
            <w:vAlign w:val="center"/>
          </w:tcPr>
          <w:p>
            <w:pPr>
              <w:keepNext w:val="0"/>
              <w:keepLines w:val="0"/>
              <w:widowControl/>
              <w:suppressLineNumbers w:val="0"/>
              <w:jc w:val="center"/>
              <w:textAlignment w:val="center"/>
              <w:rPr>
                <w:snapToGrid w:val="0"/>
                <w:color w:val="auto"/>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0.008</w:t>
            </w:r>
          </w:p>
        </w:tc>
        <w:tc>
          <w:tcPr>
            <w:tcW w:w="1418"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keepNext w:val="0"/>
              <w:keepLines w:val="0"/>
              <w:widowControl/>
              <w:suppressLineNumbers w:val="0"/>
              <w:jc w:val="center"/>
              <w:textAlignment w:val="center"/>
              <w:rPr>
                <w:snapToGrid w:val="0"/>
                <w:color w:val="auto"/>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0.008</w:t>
            </w:r>
          </w:p>
        </w:tc>
        <w:tc>
          <w:tcPr>
            <w:tcW w:w="1427" w:type="dxa"/>
            <w:vAlign w:val="center"/>
          </w:tcPr>
          <w:p>
            <w:pPr>
              <w:keepNext w:val="0"/>
              <w:keepLines w:val="0"/>
              <w:widowControl/>
              <w:suppressLineNumbers w:val="0"/>
              <w:jc w:val="center"/>
              <w:textAlignment w:val="center"/>
              <w:rPr>
                <w:snapToGrid w:val="0"/>
                <w:color w:val="auto"/>
                <w:kern w:val="21"/>
                <w:sz w:val="21"/>
                <w:szCs w:val="21"/>
              </w:rPr>
            </w:pPr>
            <w:r>
              <w:rPr>
                <w:rFonts w:hint="eastAsia" w:ascii="Times New Roman"/>
                <w:snapToGrid w:val="0"/>
                <w:color w:val="auto"/>
                <w:kern w:val="21"/>
                <w:sz w:val="21"/>
                <w:szCs w:val="21"/>
                <w:lang w:val="en-US" w:eastAsia="zh-CN"/>
              </w:rPr>
              <w:t>+</w:t>
            </w:r>
            <w:r>
              <w:rPr>
                <w:rFonts w:hint="default" w:ascii="Times New Roman" w:hAnsi="Times New Roman" w:eastAsia="宋体" w:cs="Times New Roman"/>
                <w:i w:val="0"/>
                <w:iCs w:val="0"/>
                <w:color w:val="000000"/>
                <w:kern w:val="0"/>
                <w:sz w:val="21"/>
                <w:szCs w:val="21"/>
                <w:u w:val="none"/>
                <w:lang w:val="en-US" w:eastAsia="zh-CN" w:bidi="ar"/>
              </w:rPr>
              <w:t>0.008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198"/>
              <w:spacing w:beforeLines="0" w:afterLines="0" w:line="420" w:lineRule="exact"/>
              <w:rPr>
                <w:rFonts w:ascii="Times New Roman"/>
                <w:snapToGrid w:val="0"/>
                <w:color w:val="auto"/>
                <w:kern w:val="21"/>
                <w:szCs w:val="21"/>
              </w:rPr>
            </w:pPr>
          </w:p>
        </w:tc>
        <w:tc>
          <w:tcPr>
            <w:tcW w:w="1417" w:type="dxa"/>
            <w:vAlign w:val="center"/>
          </w:tcPr>
          <w:p>
            <w:pPr>
              <w:pStyle w:val="198"/>
              <w:spacing w:beforeLines="0" w:afterLines="0" w:line="420" w:lineRule="exact"/>
              <w:rPr>
                <w:rFonts w:hint="default" w:ascii="Times New Roman" w:eastAsia="宋体"/>
                <w:snapToGrid w:val="0"/>
                <w:color w:val="auto"/>
                <w:kern w:val="21"/>
                <w:sz w:val="21"/>
                <w:szCs w:val="21"/>
                <w:vertAlign w:val="subscript"/>
                <w:lang w:val="en-US" w:eastAsia="zh-CN"/>
              </w:rPr>
            </w:pPr>
            <w:r>
              <w:rPr>
                <w:rFonts w:hint="eastAsia" w:ascii="Times New Roman"/>
                <w:snapToGrid w:val="0"/>
                <w:color w:val="auto"/>
                <w:kern w:val="21"/>
                <w:sz w:val="21"/>
                <w:szCs w:val="21"/>
                <w:lang w:val="en-US" w:eastAsia="zh-CN"/>
              </w:rPr>
              <w:t>SO</w:t>
            </w:r>
            <w:r>
              <w:rPr>
                <w:rFonts w:hint="eastAsia" w:ascii="Times New Roman"/>
                <w:snapToGrid w:val="0"/>
                <w:color w:val="auto"/>
                <w:kern w:val="21"/>
                <w:sz w:val="21"/>
                <w:szCs w:val="21"/>
                <w:vertAlign w:val="subscript"/>
                <w:lang w:val="en-US" w:eastAsia="zh-CN"/>
              </w:rPr>
              <w:t>2</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276" w:type="dxa"/>
            <w:vAlign w:val="center"/>
          </w:tcPr>
          <w:p>
            <w:pPr>
              <w:spacing w:line="420" w:lineRule="exact"/>
              <w:jc w:val="center"/>
              <w:rPr>
                <w:rFonts w:hint="default"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559" w:type="dxa"/>
            <w:vAlign w:val="center"/>
          </w:tcPr>
          <w:p>
            <w:pPr>
              <w:keepNext w:val="0"/>
              <w:keepLines w:val="0"/>
              <w:widowControl/>
              <w:suppressLineNumbers w:val="0"/>
              <w:jc w:val="center"/>
              <w:textAlignment w:val="center"/>
              <w:rPr>
                <w:rFonts w:hint="eastAsia"/>
                <w:snapToGrid w:val="0"/>
                <w:color w:val="auto"/>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1418"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keepNext w:val="0"/>
              <w:keepLines w:val="0"/>
              <w:widowControl/>
              <w:suppressLineNumbers w:val="0"/>
              <w:jc w:val="center"/>
              <w:textAlignment w:val="center"/>
              <w:rPr>
                <w:rFonts w:hint="eastAsia"/>
                <w:snapToGrid w:val="0"/>
                <w:color w:val="auto"/>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1427" w:type="dxa"/>
            <w:vAlign w:val="center"/>
          </w:tcPr>
          <w:p>
            <w:pPr>
              <w:keepNext w:val="0"/>
              <w:keepLines w:val="0"/>
              <w:widowControl/>
              <w:suppressLineNumbers w:val="0"/>
              <w:jc w:val="center"/>
              <w:textAlignment w:val="center"/>
              <w:rPr>
                <w:rFonts w:hint="eastAsia"/>
                <w:snapToGrid w:val="0"/>
                <w:color w:val="auto"/>
                <w:kern w:val="21"/>
                <w:sz w:val="21"/>
                <w:szCs w:val="21"/>
              </w:rPr>
            </w:pPr>
            <w:r>
              <w:rPr>
                <w:rFonts w:hint="eastAsia" w:ascii="Times New Roman"/>
                <w:snapToGrid w:val="0"/>
                <w:color w:val="auto"/>
                <w:kern w:val="21"/>
                <w:sz w:val="21"/>
                <w:szCs w:val="21"/>
                <w:lang w:val="en-US" w:eastAsia="zh-CN"/>
              </w:rPr>
              <w:t>+</w:t>
            </w:r>
            <w:r>
              <w:rPr>
                <w:rFonts w:hint="default" w:ascii="Times New Roman" w:hAnsi="Times New Roman" w:eastAsia="宋体" w:cs="Times New Roman"/>
                <w:i w:val="0"/>
                <w:iCs w:val="0"/>
                <w:color w:val="000000"/>
                <w:kern w:val="0"/>
                <w:sz w:val="21"/>
                <w:szCs w:val="21"/>
                <w:u w:val="none"/>
                <w:lang w:val="en-US" w:eastAsia="zh-CN" w:bidi="ar"/>
              </w:rPr>
              <w:t>0.006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198"/>
              <w:spacing w:beforeLines="0" w:afterLines="0" w:line="420" w:lineRule="exact"/>
              <w:rPr>
                <w:rFonts w:ascii="Times New Roman"/>
                <w:snapToGrid w:val="0"/>
                <w:color w:val="auto"/>
                <w:kern w:val="21"/>
                <w:szCs w:val="21"/>
              </w:rPr>
            </w:pPr>
          </w:p>
        </w:tc>
        <w:tc>
          <w:tcPr>
            <w:tcW w:w="1417" w:type="dxa"/>
            <w:vAlign w:val="center"/>
          </w:tcPr>
          <w:p>
            <w:pPr>
              <w:pStyle w:val="198"/>
              <w:spacing w:beforeLines="0" w:afterLines="0" w:line="420" w:lineRule="exact"/>
              <w:rPr>
                <w:rFonts w:hint="default" w:ascii="Times New Roman" w:eastAsia="宋体"/>
                <w:snapToGrid w:val="0"/>
                <w:color w:val="auto"/>
                <w:kern w:val="21"/>
                <w:sz w:val="21"/>
                <w:szCs w:val="21"/>
                <w:vertAlign w:val="subscript"/>
                <w:lang w:val="en-US" w:eastAsia="zh-CN"/>
              </w:rPr>
            </w:pPr>
            <w:r>
              <w:rPr>
                <w:rFonts w:hint="eastAsia" w:ascii="Times New Roman"/>
                <w:snapToGrid w:val="0"/>
                <w:color w:val="auto"/>
                <w:kern w:val="21"/>
                <w:sz w:val="21"/>
                <w:szCs w:val="21"/>
                <w:lang w:val="en-US" w:eastAsia="zh-CN"/>
              </w:rPr>
              <w:t>NO</w:t>
            </w:r>
            <w:r>
              <w:rPr>
                <w:rFonts w:hint="eastAsia" w:ascii="Times New Roman"/>
                <w:snapToGrid w:val="0"/>
                <w:color w:val="auto"/>
                <w:kern w:val="21"/>
                <w:sz w:val="21"/>
                <w:szCs w:val="21"/>
                <w:vertAlign w:val="subscript"/>
                <w:lang w:val="en-US" w:eastAsia="zh-CN"/>
              </w:rPr>
              <w:t>X</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276"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559" w:type="dxa"/>
            <w:vAlign w:val="center"/>
          </w:tcPr>
          <w:p>
            <w:pPr>
              <w:keepNext w:val="0"/>
              <w:keepLines w:val="0"/>
              <w:widowControl/>
              <w:suppressLineNumbers w:val="0"/>
              <w:jc w:val="center"/>
              <w:textAlignment w:val="center"/>
              <w:rPr>
                <w:snapToGrid w:val="0"/>
                <w:color w:val="auto"/>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0.053</w:t>
            </w:r>
          </w:p>
        </w:tc>
        <w:tc>
          <w:tcPr>
            <w:tcW w:w="1418"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keepNext w:val="0"/>
              <w:keepLines w:val="0"/>
              <w:widowControl/>
              <w:suppressLineNumbers w:val="0"/>
              <w:jc w:val="center"/>
              <w:textAlignment w:val="center"/>
              <w:rPr>
                <w:snapToGrid w:val="0"/>
                <w:color w:val="auto"/>
                <w:kern w:val="21"/>
                <w:sz w:val="21"/>
                <w:szCs w:val="21"/>
              </w:rPr>
            </w:pPr>
            <w:r>
              <w:rPr>
                <w:rFonts w:hint="default" w:ascii="Times New Roman" w:hAnsi="Times New Roman" w:eastAsia="宋体" w:cs="Times New Roman"/>
                <w:i w:val="0"/>
                <w:iCs w:val="0"/>
                <w:color w:val="000000"/>
                <w:kern w:val="0"/>
                <w:sz w:val="21"/>
                <w:szCs w:val="21"/>
                <w:u w:val="none"/>
                <w:lang w:val="en-US" w:eastAsia="zh-CN" w:bidi="ar"/>
              </w:rPr>
              <w:t>0.053</w:t>
            </w:r>
          </w:p>
        </w:tc>
        <w:tc>
          <w:tcPr>
            <w:tcW w:w="1427" w:type="dxa"/>
            <w:vAlign w:val="center"/>
          </w:tcPr>
          <w:p>
            <w:pPr>
              <w:keepNext w:val="0"/>
              <w:keepLines w:val="0"/>
              <w:widowControl/>
              <w:suppressLineNumbers w:val="0"/>
              <w:jc w:val="center"/>
              <w:textAlignment w:val="center"/>
              <w:rPr>
                <w:snapToGrid w:val="0"/>
                <w:color w:val="auto"/>
                <w:kern w:val="21"/>
                <w:sz w:val="21"/>
                <w:szCs w:val="21"/>
              </w:rPr>
            </w:pPr>
            <w:r>
              <w:rPr>
                <w:rFonts w:hint="eastAsia" w:ascii="Times New Roman"/>
                <w:snapToGrid w:val="0"/>
                <w:color w:val="auto"/>
                <w:kern w:val="21"/>
                <w:sz w:val="21"/>
                <w:szCs w:val="21"/>
                <w:lang w:val="en-US" w:eastAsia="zh-CN"/>
              </w:rPr>
              <w:t>+</w:t>
            </w:r>
            <w:r>
              <w:rPr>
                <w:rFonts w:hint="default" w:ascii="Times New Roman" w:hAnsi="Times New Roman" w:eastAsia="宋体" w:cs="Times New Roman"/>
                <w:i w:val="0"/>
                <w:iCs w:val="0"/>
                <w:color w:val="000000"/>
                <w:kern w:val="0"/>
                <w:sz w:val="21"/>
                <w:szCs w:val="21"/>
                <w:u w:val="none"/>
                <w:lang w:val="en-US" w:eastAsia="zh-CN" w:bidi="ar"/>
              </w:rPr>
              <w:t>0.053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198"/>
              <w:spacing w:beforeLines="0" w:afterLines="0" w:line="420" w:lineRule="exact"/>
              <w:rPr>
                <w:rFonts w:ascii="Times New Roman"/>
                <w:snapToGrid w:val="0"/>
                <w:color w:val="auto"/>
                <w:kern w:val="21"/>
                <w:szCs w:val="21"/>
              </w:rPr>
            </w:pPr>
          </w:p>
        </w:tc>
        <w:tc>
          <w:tcPr>
            <w:tcW w:w="1417" w:type="dxa"/>
            <w:vAlign w:val="center"/>
          </w:tcPr>
          <w:p>
            <w:pPr>
              <w:pStyle w:val="198"/>
              <w:spacing w:beforeLines="0" w:afterLines="0" w:line="420" w:lineRule="exact"/>
              <w:rPr>
                <w:rFonts w:hint="eastAsia"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林格曼黑度</w:t>
            </w:r>
          </w:p>
        </w:tc>
        <w:tc>
          <w:tcPr>
            <w:tcW w:w="1701" w:type="dxa"/>
            <w:vAlign w:val="center"/>
          </w:tcPr>
          <w:p>
            <w:pPr>
              <w:spacing w:line="420" w:lineRule="exact"/>
              <w:jc w:val="center"/>
              <w:rPr>
                <w:rFonts w:hint="eastAsia"/>
                <w:snapToGrid w:val="0"/>
                <w:color w:val="auto"/>
                <w:kern w:val="21"/>
                <w:sz w:val="21"/>
                <w:szCs w:val="21"/>
                <w:lang w:val="en-US" w:eastAsia="zh-CN"/>
              </w:rPr>
            </w:pPr>
            <w:r>
              <w:rPr>
                <w:rFonts w:hint="eastAsia"/>
                <w:snapToGrid w:val="0"/>
                <w:color w:val="auto"/>
                <w:kern w:val="21"/>
                <w:sz w:val="21"/>
                <w:szCs w:val="21"/>
                <w:lang w:val="en-US" w:eastAsia="zh-CN"/>
              </w:rPr>
              <w:t>/</w:t>
            </w:r>
          </w:p>
        </w:tc>
        <w:tc>
          <w:tcPr>
            <w:tcW w:w="1276" w:type="dxa"/>
            <w:vAlign w:val="center"/>
          </w:tcPr>
          <w:p>
            <w:pPr>
              <w:spacing w:line="420" w:lineRule="exact"/>
              <w:jc w:val="center"/>
              <w:rPr>
                <w:rFonts w:hint="eastAsia"/>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spacing w:line="420" w:lineRule="exact"/>
              <w:jc w:val="center"/>
              <w:rPr>
                <w:rFonts w:hint="eastAsia"/>
                <w:snapToGrid w:val="0"/>
                <w:color w:val="auto"/>
                <w:kern w:val="21"/>
                <w:sz w:val="21"/>
                <w:szCs w:val="21"/>
                <w:lang w:val="en-US" w:eastAsia="zh-CN"/>
              </w:rPr>
            </w:pPr>
            <w:r>
              <w:rPr>
                <w:rFonts w:hint="eastAsia"/>
                <w:snapToGrid w:val="0"/>
                <w:color w:val="auto"/>
                <w:kern w:val="21"/>
                <w:sz w:val="21"/>
                <w:szCs w:val="21"/>
                <w:lang w:val="en-US" w:eastAsia="zh-CN"/>
              </w:rPr>
              <w:t>/</w:t>
            </w:r>
          </w:p>
        </w:tc>
        <w:tc>
          <w:tcPr>
            <w:tcW w:w="155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napToGrid w:val="0"/>
                <w:color w:val="auto"/>
                <w:kern w:val="21"/>
                <w:sz w:val="21"/>
                <w:szCs w:val="21"/>
                <w:lang w:val="en-US" w:eastAsia="zh-CN"/>
              </w:rPr>
              <w:t>/</w:t>
            </w:r>
          </w:p>
        </w:tc>
        <w:tc>
          <w:tcPr>
            <w:tcW w:w="1418" w:type="dxa"/>
            <w:vAlign w:val="center"/>
          </w:tcPr>
          <w:p>
            <w:pPr>
              <w:spacing w:line="420" w:lineRule="exact"/>
              <w:jc w:val="center"/>
              <w:rPr>
                <w:rFonts w:hint="eastAsia"/>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snapToGrid w:val="0"/>
                <w:color w:val="auto"/>
                <w:kern w:val="21"/>
                <w:sz w:val="21"/>
                <w:szCs w:val="21"/>
                <w:lang w:val="en-US" w:eastAsia="zh-CN"/>
              </w:rPr>
              <w:t>/</w:t>
            </w:r>
          </w:p>
        </w:tc>
        <w:tc>
          <w:tcPr>
            <w:tcW w:w="1427" w:type="dxa"/>
            <w:vAlign w:val="center"/>
          </w:tcPr>
          <w:p>
            <w:pPr>
              <w:keepNext w:val="0"/>
              <w:keepLines w:val="0"/>
              <w:widowControl/>
              <w:suppressLineNumbers w:val="0"/>
              <w:jc w:val="center"/>
              <w:textAlignment w:val="center"/>
              <w:rPr>
                <w:rFonts w:hint="eastAsia" w:ascii="Times New Roman"/>
                <w:snapToGrid w:val="0"/>
                <w:color w:val="auto"/>
                <w:kern w:val="21"/>
                <w:sz w:val="21"/>
                <w:szCs w:val="21"/>
                <w:lang w:val="en-US" w:eastAsia="zh-CN"/>
              </w:rPr>
            </w:pPr>
            <w:r>
              <w:rPr>
                <w:rFonts w:hint="eastAsia"/>
                <w:snapToGrid w:val="0"/>
                <w:color w:val="auto"/>
                <w:kern w:val="21"/>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198"/>
              <w:spacing w:beforeLines="0" w:afterLines="0" w:line="420" w:lineRule="exact"/>
              <w:rPr>
                <w:rFonts w:ascii="Times New Roman"/>
                <w:snapToGrid w:val="0"/>
                <w:color w:val="auto"/>
                <w:kern w:val="21"/>
                <w:szCs w:val="21"/>
              </w:rPr>
            </w:pPr>
            <w:r>
              <w:rPr>
                <w:rFonts w:ascii="Times New Roman"/>
                <w:snapToGrid w:val="0"/>
                <w:color w:val="auto"/>
                <w:kern w:val="21"/>
                <w:szCs w:val="21"/>
              </w:rPr>
              <w:t>废水</w:t>
            </w:r>
          </w:p>
        </w:tc>
        <w:tc>
          <w:tcPr>
            <w:tcW w:w="1417" w:type="dxa"/>
            <w:vAlign w:val="center"/>
          </w:tcPr>
          <w:p>
            <w:pPr>
              <w:pStyle w:val="198"/>
              <w:spacing w:beforeLines="0" w:afterLines="0" w:line="420" w:lineRule="exact"/>
              <w:rPr>
                <w:rFonts w:ascii="Times New Roman"/>
                <w:snapToGrid w:val="0"/>
                <w:color w:val="auto"/>
                <w:kern w:val="21"/>
                <w:sz w:val="21"/>
                <w:szCs w:val="21"/>
              </w:rPr>
            </w:pPr>
            <w:r>
              <w:rPr>
                <w:rFonts w:ascii="Times New Roman"/>
                <w:snapToGrid w:val="0"/>
                <w:color w:val="auto"/>
                <w:kern w:val="21"/>
                <w:sz w:val="21"/>
                <w:szCs w:val="21"/>
              </w:rPr>
              <w:t>COD</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276"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559" w:type="dxa"/>
            <w:vAlign w:val="center"/>
          </w:tcPr>
          <w:p>
            <w:pPr>
              <w:spacing w:line="420" w:lineRule="exact"/>
              <w:jc w:val="center"/>
              <w:rPr>
                <w:snapToGrid w:val="0"/>
                <w:color w:val="auto"/>
                <w:kern w:val="21"/>
                <w:sz w:val="21"/>
                <w:szCs w:val="21"/>
              </w:rPr>
            </w:pPr>
            <w:r>
              <w:rPr>
                <w:rFonts w:hint="eastAsia"/>
                <w:snapToGrid w:val="0"/>
                <w:color w:val="auto"/>
                <w:kern w:val="21"/>
                <w:sz w:val="21"/>
                <w:szCs w:val="21"/>
              </w:rPr>
              <w:t>0</w:t>
            </w:r>
          </w:p>
        </w:tc>
        <w:tc>
          <w:tcPr>
            <w:tcW w:w="1418"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427" w:type="dxa"/>
            <w:vAlign w:val="center"/>
          </w:tcPr>
          <w:p>
            <w:pPr>
              <w:spacing w:line="420" w:lineRule="exact"/>
              <w:jc w:val="center"/>
              <w:rPr>
                <w:snapToGrid w:val="0"/>
                <w:color w:val="auto"/>
                <w:kern w:val="21"/>
                <w:sz w:val="21"/>
                <w:szCs w:val="21"/>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198"/>
              <w:spacing w:beforeLines="0" w:afterLines="0" w:line="420" w:lineRule="exact"/>
              <w:rPr>
                <w:rFonts w:ascii="Times New Roman"/>
                <w:snapToGrid w:val="0"/>
                <w:color w:val="auto"/>
                <w:kern w:val="21"/>
                <w:szCs w:val="21"/>
              </w:rPr>
            </w:pPr>
          </w:p>
        </w:tc>
        <w:tc>
          <w:tcPr>
            <w:tcW w:w="1417" w:type="dxa"/>
            <w:vAlign w:val="center"/>
          </w:tcPr>
          <w:p>
            <w:pPr>
              <w:pStyle w:val="198"/>
              <w:spacing w:beforeLines="0" w:afterLines="0" w:line="420" w:lineRule="exact"/>
              <w:rPr>
                <w:rFonts w:ascii="Times New Roman"/>
                <w:snapToGrid w:val="0"/>
                <w:color w:val="auto"/>
                <w:kern w:val="21"/>
                <w:sz w:val="21"/>
                <w:szCs w:val="21"/>
              </w:rPr>
            </w:pPr>
            <w:r>
              <w:rPr>
                <w:rFonts w:ascii="Times New Roman"/>
                <w:snapToGrid w:val="0"/>
                <w:color w:val="auto"/>
                <w:kern w:val="21"/>
                <w:sz w:val="21"/>
                <w:szCs w:val="21"/>
              </w:rPr>
              <w:t>氨氮</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276"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559" w:type="dxa"/>
            <w:vAlign w:val="center"/>
          </w:tcPr>
          <w:p>
            <w:pPr>
              <w:spacing w:line="420" w:lineRule="exact"/>
              <w:jc w:val="center"/>
              <w:rPr>
                <w:snapToGrid w:val="0"/>
                <w:color w:val="auto"/>
                <w:kern w:val="21"/>
                <w:sz w:val="21"/>
                <w:szCs w:val="21"/>
              </w:rPr>
            </w:pPr>
            <w:r>
              <w:rPr>
                <w:rFonts w:hint="eastAsia"/>
                <w:snapToGrid w:val="0"/>
                <w:color w:val="auto"/>
                <w:kern w:val="21"/>
                <w:sz w:val="21"/>
                <w:szCs w:val="21"/>
              </w:rPr>
              <w:t>0</w:t>
            </w:r>
          </w:p>
        </w:tc>
        <w:tc>
          <w:tcPr>
            <w:tcW w:w="1418"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w:t>
            </w:r>
          </w:p>
        </w:tc>
        <w:tc>
          <w:tcPr>
            <w:tcW w:w="1701" w:type="dxa"/>
            <w:vAlign w:val="center"/>
          </w:tcPr>
          <w:p>
            <w:pPr>
              <w:spacing w:line="420" w:lineRule="exact"/>
              <w:jc w:val="center"/>
              <w:rPr>
                <w:rFonts w:hint="eastAsia" w:eastAsia="宋体"/>
                <w:snapToGrid w:val="0"/>
                <w:color w:val="auto"/>
                <w:kern w:val="21"/>
                <w:sz w:val="21"/>
                <w:szCs w:val="21"/>
                <w:lang w:val="en-US" w:eastAsia="zh-CN"/>
              </w:rPr>
            </w:pPr>
            <w:r>
              <w:rPr>
                <w:rFonts w:hint="eastAsia"/>
                <w:snapToGrid w:val="0"/>
                <w:color w:val="auto"/>
                <w:kern w:val="21"/>
                <w:sz w:val="21"/>
                <w:szCs w:val="21"/>
                <w:lang w:val="en-US" w:eastAsia="zh-CN"/>
              </w:rPr>
              <w:t>0</w:t>
            </w:r>
          </w:p>
        </w:tc>
        <w:tc>
          <w:tcPr>
            <w:tcW w:w="1427" w:type="dxa"/>
            <w:vAlign w:val="center"/>
          </w:tcPr>
          <w:p>
            <w:pPr>
              <w:spacing w:line="420" w:lineRule="exact"/>
              <w:jc w:val="center"/>
              <w:rPr>
                <w:snapToGrid w:val="0"/>
                <w:color w:val="auto"/>
                <w:kern w:val="21"/>
                <w:sz w:val="21"/>
                <w:szCs w:val="21"/>
              </w:rPr>
            </w:pPr>
            <w:r>
              <w:rPr>
                <w:rFonts w:hint="eastAsia"/>
                <w:snapToGrid w:val="0"/>
                <w:color w:val="auto"/>
                <w:kern w:val="21"/>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198"/>
              <w:spacing w:beforeLines="0" w:afterLines="0" w:line="420" w:lineRule="exact"/>
              <w:rPr>
                <w:rFonts w:ascii="Times New Roman"/>
                <w:snapToGrid w:val="0"/>
                <w:color w:val="auto"/>
                <w:kern w:val="21"/>
                <w:szCs w:val="21"/>
              </w:rPr>
            </w:pPr>
            <w:r>
              <w:rPr>
                <w:rFonts w:ascii="Times New Roman"/>
                <w:snapToGrid w:val="0"/>
                <w:color w:val="auto"/>
                <w:kern w:val="21"/>
                <w:szCs w:val="21"/>
              </w:rPr>
              <w:t>一般工业</w:t>
            </w:r>
          </w:p>
          <w:p>
            <w:pPr>
              <w:pStyle w:val="198"/>
              <w:spacing w:beforeLines="0" w:afterLines="0" w:line="420" w:lineRule="exact"/>
              <w:rPr>
                <w:rFonts w:ascii="Times New Roman"/>
                <w:snapToGrid w:val="0"/>
                <w:color w:val="auto"/>
                <w:kern w:val="21"/>
                <w:szCs w:val="21"/>
              </w:rPr>
            </w:pPr>
            <w:r>
              <w:rPr>
                <w:rFonts w:ascii="Times New Roman"/>
                <w:snapToGrid w:val="0"/>
                <w:color w:val="auto"/>
                <w:kern w:val="21"/>
                <w:szCs w:val="21"/>
              </w:rPr>
              <w:t>固体废物</w:t>
            </w:r>
          </w:p>
        </w:tc>
        <w:tc>
          <w:tcPr>
            <w:tcW w:w="1417" w:type="dxa"/>
            <w:vAlign w:val="center"/>
          </w:tcPr>
          <w:p>
            <w:pPr>
              <w:autoSpaceDE w:val="0"/>
              <w:autoSpaceDN w:val="0"/>
              <w:adjustRightInd w:val="0"/>
              <w:spacing w:line="300" w:lineRule="exact"/>
              <w:jc w:val="center"/>
              <w:rPr>
                <w:rFonts w:hint="default" w:eastAsia="宋体"/>
                <w:color w:val="auto"/>
                <w:sz w:val="21"/>
                <w:szCs w:val="21"/>
                <w:lang w:val="en-US" w:eastAsia="zh-CN"/>
              </w:rPr>
            </w:pPr>
            <w:r>
              <w:rPr>
                <w:color w:val="auto"/>
                <w:sz w:val="21"/>
                <w:szCs w:val="21"/>
              </w:rPr>
              <w:t>废</w:t>
            </w:r>
            <w:r>
              <w:rPr>
                <w:rFonts w:hint="eastAsia"/>
                <w:color w:val="auto"/>
                <w:sz w:val="21"/>
                <w:szCs w:val="21"/>
                <w:lang w:eastAsia="zh-CN"/>
              </w:rPr>
              <w:t>纸下脚料</w:t>
            </w:r>
          </w:p>
        </w:tc>
        <w:tc>
          <w:tcPr>
            <w:tcW w:w="1701"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276"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701"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559" w:type="dxa"/>
            <w:vAlign w:val="center"/>
          </w:tcPr>
          <w:p>
            <w:pPr>
              <w:spacing w:line="420" w:lineRule="exact"/>
              <w:jc w:val="center"/>
              <w:rPr>
                <w:snapToGrid w:val="0"/>
                <w:color w:val="auto"/>
                <w:kern w:val="21"/>
                <w:sz w:val="21"/>
                <w:szCs w:val="21"/>
              </w:rPr>
            </w:pPr>
            <w:r>
              <w:rPr>
                <w:rFonts w:hint="eastAsia"/>
                <w:snapToGrid w:val="0"/>
                <w:color w:val="auto"/>
                <w:kern w:val="21"/>
                <w:sz w:val="21"/>
                <w:szCs w:val="21"/>
                <w:lang w:val="en-US" w:eastAsia="zh-CN"/>
              </w:rPr>
              <w:t>50</w:t>
            </w:r>
          </w:p>
        </w:tc>
        <w:tc>
          <w:tcPr>
            <w:tcW w:w="1418"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701" w:type="dxa"/>
            <w:vAlign w:val="center"/>
          </w:tcPr>
          <w:p>
            <w:pPr>
              <w:spacing w:line="420" w:lineRule="exact"/>
              <w:jc w:val="center"/>
              <w:rPr>
                <w:rFonts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 w:val="21"/>
                <w:szCs w:val="21"/>
                <w:lang w:val="en-US" w:eastAsia="zh-CN"/>
              </w:rPr>
              <w:t>50</w:t>
            </w:r>
          </w:p>
        </w:tc>
        <w:tc>
          <w:tcPr>
            <w:tcW w:w="1427" w:type="dxa"/>
            <w:vAlign w:val="center"/>
          </w:tcPr>
          <w:p>
            <w:pPr>
              <w:spacing w:line="420" w:lineRule="exact"/>
              <w:jc w:val="center"/>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 w:val="21"/>
                <w:szCs w:val="21"/>
                <w:lang w:val="en-US" w:eastAsia="zh-CN"/>
              </w:rPr>
              <w:t>+</w:t>
            </w:r>
            <w:r>
              <w:rPr>
                <w:rFonts w:hint="eastAsia"/>
                <w:snapToGrid w:val="0"/>
                <w:color w:val="auto"/>
                <w:kern w:val="21"/>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198"/>
              <w:spacing w:beforeLines="0" w:afterLines="0" w:line="420" w:lineRule="exact"/>
              <w:rPr>
                <w:rFonts w:ascii="Times New Roman"/>
                <w:snapToGrid w:val="0"/>
                <w:color w:val="auto"/>
                <w:kern w:val="21"/>
                <w:szCs w:val="21"/>
              </w:rPr>
            </w:pPr>
          </w:p>
        </w:tc>
        <w:tc>
          <w:tcPr>
            <w:tcW w:w="1417" w:type="dxa"/>
            <w:vAlign w:val="center"/>
          </w:tcPr>
          <w:p>
            <w:pPr>
              <w:autoSpaceDE w:val="0"/>
              <w:autoSpaceDN w:val="0"/>
              <w:adjustRightInd w:val="0"/>
              <w:spacing w:line="300" w:lineRule="exact"/>
              <w:jc w:val="center"/>
              <w:rPr>
                <w:rFonts w:hint="eastAsia" w:eastAsia="宋体"/>
                <w:color w:val="auto"/>
                <w:sz w:val="21"/>
                <w:szCs w:val="21"/>
                <w:lang w:eastAsia="zh-CN"/>
              </w:rPr>
            </w:pPr>
            <w:r>
              <w:rPr>
                <w:rFonts w:hint="eastAsia"/>
                <w:color w:val="auto"/>
                <w:sz w:val="21"/>
                <w:szCs w:val="21"/>
                <w:lang w:eastAsia="zh-CN"/>
              </w:rPr>
              <w:t>生活垃圾</w:t>
            </w:r>
          </w:p>
        </w:tc>
        <w:tc>
          <w:tcPr>
            <w:tcW w:w="1701" w:type="dxa"/>
            <w:vAlign w:val="center"/>
          </w:tcPr>
          <w:p>
            <w:pPr>
              <w:pStyle w:val="198"/>
              <w:spacing w:beforeLines="0" w:afterLines="0" w:line="420" w:lineRule="exact"/>
              <w:rPr>
                <w:rFonts w:hint="default" w:ascii="Times New Roman"/>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276"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701"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559" w:type="dxa"/>
            <w:vAlign w:val="center"/>
          </w:tcPr>
          <w:p>
            <w:pPr>
              <w:spacing w:line="420" w:lineRule="exact"/>
              <w:jc w:val="center"/>
              <w:rPr>
                <w:rFonts w:hint="default"/>
                <w:snapToGrid w:val="0"/>
                <w:color w:val="auto"/>
                <w:kern w:val="21"/>
                <w:sz w:val="21"/>
                <w:szCs w:val="21"/>
                <w:lang w:val="en-US" w:eastAsia="zh-CN"/>
              </w:rPr>
            </w:pPr>
            <w:r>
              <w:rPr>
                <w:rFonts w:hint="eastAsia"/>
                <w:snapToGrid w:val="0"/>
                <w:color w:val="auto"/>
                <w:kern w:val="21"/>
                <w:sz w:val="21"/>
                <w:szCs w:val="21"/>
                <w:lang w:val="en-US" w:eastAsia="zh-CN"/>
              </w:rPr>
              <w:t>3</w:t>
            </w:r>
          </w:p>
        </w:tc>
        <w:tc>
          <w:tcPr>
            <w:tcW w:w="1418" w:type="dxa"/>
            <w:vAlign w:val="center"/>
          </w:tcPr>
          <w:p>
            <w:pPr>
              <w:pStyle w:val="198"/>
              <w:spacing w:beforeLines="0" w:afterLines="0" w:line="420" w:lineRule="exact"/>
              <w:rPr>
                <w:rFonts w:hint="eastAsia" w:asci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w:t>
            </w:r>
          </w:p>
        </w:tc>
        <w:tc>
          <w:tcPr>
            <w:tcW w:w="1701" w:type="dxa"/>
            <w:vAlign w:val="center"/>
          </w:tcPr>
          <w:p>
            <w:pPr>
              <w:spacing w:line="420" w:lineRule="exact"/>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 w:val="21"/>
                <w:szCs w:val="21"/>
                <w:lang w:val="en-US" w:eastAsia="zh-CN"/>
              </w:rPr>
              <w:t>3</w:t>
            </w:r>
          </w:p>
        </w:tc>
        <w:tc>
          <w:tcPr>
            <w:tcW w:w="1427" w:type="dxa"/>
            <w:vAlign w:val="center"/>
          </w:tcPr>
          <w:p>
            <w:pPr>
              <w:spacing w:line="420" w:lineRule="exact"/>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 w:val="21"/>
                <w:szCs w:val="21"/>
                <w:lang w:val="en-US" w:eastAsia="zh-CN"/>
              </w:rPr>
              <w:t>+</w:t>
            </w:r>
            <w:r>
              <w:rPr>
                <w:rFonts w:hint="eastAsia"/>
                <w:snapToGrid w:val="0"/>
                <w:color w:val="auto"/>
                <w:kern w:val="21"/>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198"/>
              <w:spacing w:beforeLines="0" w:afterLines="0" w:line="420" w:lineRule="exact"/>
              <w:rPr>
                <w:rFonts w:hint="eastAsia" w:ascii="Times New Roman" w:eastAsia="宋体"/>
                <w:snapToGrid w:val="0"/>
                <w:color w:val="FF0000"/>
                <w:kern w:val="21"/>
                <w:szCs w:val="21"/>
                <w:highlight w:val="yellow"/>
                <w:lang w:eastAsia="zh-CN"/>
              </w:rPr>
            </w:pPr>
            <w:r>
              <w:rPr>
                <w:rFonts w:hint="eastAsia" w:ascii="Times New Roman"/>
                <w:snapToGrid w:val="0"/>
                <w:color w:val="auto"/>
                <w:kern w:val="21"/>
                <w:szCs w:val="21"/>
                <w:highlight w:val="none"/>
                <w:lang w:eastAsia="zh-CN"/>
              </w:rPr>
              <w:t>危险废物</w:t>
            </w:r>
          </w:p>
        </w:tc>
        <w:tc>
          <w:tcPr>
            <w:tcW w:w="1417" w:type="dxa"/>
            <w:vAlign w:val="center"/>
          </w:tcPr>
          <w:p>
            <w:pPr>
              <w:autoSpaceDE w:val="0"/>
              <w:autoSpaceDN w:val="0"/>
              <w:adjustRightInd w:val="0"/>
              <w:spacing w:line="300" w:lineRule="exact"/>
              <w:jc w:val="center"/>
              <w:rPr>
                <w:color w:val="auto"/>
                <w:sz w:val="21"/>
                <w:szCs w:val="21"/>
              </w:rPr>
            </w:pPr>
            <w:r>
              <w:rPr>
                <w:color w:val="auto"/>
                <w:sz w:val="21"/>
                <w:szCs w:val="21"/>
              </w:rPr>
              <w:t>废活性炭</w:t>
            </w:r>
          </w:p>
        </w:tc>
        <w:tc>
          <w:tcPr>
            <w:tcW w:w="1701" w:type="dxa"/>
            <w:vAlign w:val="center"/>
          </w:tcPr>
          <w:p>
            <w:pPr>
              <w:pStyle w:val="198"/>
              <w:spacing w:beforeLines="0" w:afterLines="0" w:line="420" w:lineRule="exact"/>
              <w:rPr>
                <w:rFonts w:hint="eastAsia"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w:t>
            </w:r>
          </w:p>
        </w:tc>
        <w:tc>
          <w:tcPr>
            <w:tcW w:w="1276" w:type="dxa"/>
            <w:vAlign w:val="center"/>
          </w:tcPr>
          <w:p>
            <w:pPr>
              <w:pStyle w:val="198"/>
              <w:spacing w:beforeLines="0" w:afterLines="0" w:line="420" w:lineRule="exact"/>
              <w:rPr>
                <w:rFonts w:hint="eastAsia"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w:t>
            </w:r>
          </w:p>
        </w:tc>
        <w:tc>
          <w:tcPr>
            <w:tcW w:w="1701" w:type="dxa"/>
            <w:vAlign w:val="center"/>
          </w:tcPr>
          <w:p>
            <w:pPr>
              <w:pStyle w:val="198"/>
              <w:spacing w:beforeLines="0" w:afterLines="0" w:line="420" w:lineRule="exact"/>
              <w:rPr>
                <w:rFonts w:hint="eastAsia"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w:t>
            </w:r>
          </w:p>
        </w:tc>
        <w:tc>
          <w:tcPr>
            <w:tcW w:w="1559" w:type="dxa"/>
            <w:vAlign w:val="center"/>
          </w:tcPr>
          <w:p>
            <w:pPr>
              <w:spacing w:line="420" w:lineRule="exact"/>
              <w:jc w:val="center"/>
              <w:rPr>
                <w:rFonts w:hint="default" w:eastAsia="宋体"/>
                <w:snapToGrid w:val="0"/>
                <w:color w:val="auto"/>
                <w:kern w:val="21"/>
                <w:sz w:val="21"/>
                <w:szCs w:val="21"/>
                <w:highlight w:val="none"/>
                <w:lang w:val="en-US" w:eastAsia="zh-CN"/>
              </w:rPr>
            </w:pPr>
            <w:r>
              <w:rPr>
                <w:rFonts w:hint="eastAsia"/>
                <w:snapToGrid w:val="0"/>
                <w:color w:val="auto"/>
                <w:kern w:val="21"/>
                <w:sz w:val="21"/>
                <w:szCs w:val="21"/>
                <w:highlight w:val="none"/>
                <w:lang w:val="en-US" w:eastAsia="zh-CN"/>
              </w:rPr>
              <w:t>1.408</w:t>
            </w:r>
          </w:p>
        </w:tc>
        <w:tc>
          <w:tcPr>
            <w:tcW w:w="1418" w:type="dxa"/>
            <w:vAlign w:val="center"/>
          </w:tcPr>
          <w:p>
            <w:pPr>
              <w:pStyle w:val="198"/>
              <w:spacing w:beforeLines="0" w:afterLines="0" w:line="420" w:lineRule="exact"/>
              <w:rPr>
                <w:rFonts w:hint="eastAsia"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w:t>
            </w:r>
          </w:p>
        </w:tc>
        <w:tc>
          <w:tcPr>
            <w:tcW w:w="1701" w:type="dxa"/>
            <w:vAlign w:val="center"/>
          </w:tcPr>
          <w:p>
            <w:pPr>
              <w:spacing w:line="420" w:lineRule="exact"/>
              <w:jc w:val="center"/>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 w:val="21"/>
                <w:szCs w:val="21"/>
                <w:lang w:val="en-US" w:eastAsia="zh-CN"/>
              </w:rPr>
              <w:t>1.408</w:t>
            </w:r>
          </w:p>
        </w:tc>
        <w:tc>
          <w:tcPr>
            <w:tcW w:w="1427" w:type="dxa"/>
            <w:vAlign w:val="center"/>
          </w:tcPr>
          <w:p>
            <w:pPr>
              <w:spacing w:line="420" w:lineRule="exact"/>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 w:val="21"/>
                <w:szCs w:val="21"/>
                <w:lang w:val="en-US" w:eastAsia="zh-CN"/>
              </w:rPr>
              <w:t>+</w:t>
            </w:r>
            <w:r>
              <w:rPr>
                <w:rFonts w:hint="eastAsia"/>
                <w:snapToGrid w:val="0"/>
                <w:color w:val="auto"/>
                <w:kern w:val="21"/>
                <w:sz w:val="21"/>
                <w:szCs w:val="21"/>
                <w:lang w:val="en-US" w:eastAsia="zh-CN"/>
              </w:rPr>
              <w:t>1.408</w:t>
            </w:r>
          </w:p>
        </w:tc>
      </w:tr>
    </w:tbl>
    <w:p>
      <w:pPr>
        <w:pStyle w:val="198"/>
        <w:spacing w:before="192" w:beforeLines="80" w:after="24" w:line="420" w:lineRule="exact"/>
        <w:jc w:val="left"/>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p>
    <w:sectPr>
      <w:footerReference r:id="rId6"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TimesNewRomanPS-ItalicMT">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Times New Roman”“">
    <w:altName w:val="宋体"/>
    <w:panose1 w:val="00000000000000000000"/>
    <w:charset w:val="86"/>
    <w:family w:val="roman"/>
    <w:pitch w:val="default"/>
    <w:sig w:usb0="00000000" w:usb1="00000000" w:usb2="0000001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Courier">
    <w:panose1 w:val="02060409020205020404"/>
    <w:charset w:val="00"/>
    <w:family w:val="modern"/>
    <w:pitch w:val="default"/>
    <w:sig w:usb0="00000007" w:usb1="00000000" w:usb2="00000000" w:usb3="00000000" w:csb0="00000093" w:csb1="00000000"/>
  </w:font>
  <w:font w:name="PMingLiU">
    <w:panose1 w:val="02020500000000000000"/>
    <w:charset w:val="88"/>
    <w:family w:val="roman"/>
    <w:pitch w:val="default"/>
    <w:sig w:usb0="A00002FF" w:usb1="28CFFCFA"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汉鼎简书宋">
    <w:altName w:val="宋体"/>
    <w:panose1 w:val="00000000000000000000"/>
    <w:charset w:val="86"/>
    <w:family w:val="modern"/>
    <w:pitch w:val="default"/>
    <w:sig w:usb0="00000000" w:usb1="00000000" w:usb2="0000001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Fang Song">
    <w:altName w:val="黑体"/>
    <w:panose1 w:val="00000000000000000000"/>
    <w:charset w:val="86"/>
    <w:family w:val="modern"/>
    <w:pitch w:val="default"/>
    <w:sig w:usb0="00000000" w:usb1="00000000" w:usb2="00000010" w:usb3="00000000" w:csb0="00040000" w:csb1="00000000"/>
  </w:font>
  <w:font w:name="TimesNewRomanPSMT">
    <w:altName w:val="Arial Unicode MS"/>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page" w:x="1498" w:y="-386"/>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11</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p>
    <w:pPr>
      <w:pStyle w:val="5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page" w:x="1216" w:y="-254"/>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10</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p>
    <w:pPr>
      <w:pStyle w:val="5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page" w:x="1498" w:y="-386"/>
      <w:jc w:val="right"/>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11</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p>
    <w:pPr>
      <w:pStyle w:val="5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outside" w:y="1"/>
      <w:rPr>
        <w:rStyle w:val="94"/>
        <w:rFonts w:ascii="宋体" w:hAnsi="宋体"/>
        <w:sz w:val="28"/>
        <w:szCs w:val="28"/>
      </w:rPr>
    </w:pPr>
    <w:r>
      <w:rPr>
        <w:rStyle w:val="94"/>
        <w:rFonts w:hint="eastAsia" w:ascii="宋体" w:hAnsi="宋体"/>
        <w:sz w:val="28"/>
        <w:szCs w:val="28"/>
      </w:rPr>
      <w:t>—</w:t>
    </w:r>
    <w:r>
      <w:rPr>
        <w:rStyle w:val="94"/>
        <w:rFonts w:hint="eastAsia" w:ascii="宋体" w:hAnsi="宋体"/>
        <w:sz w:val="20"/>
      </w:rPr>
      <w:t xml:space="preserve">  </w:t>
    </w:r>
    <w:r>
      <w:rPr>
        <w:rFonts w:ascii="宋体" w:hAnsi="宋体"/>
        <w:sz w:val="26"/>
        <w:szCs w:val="26"/>
      </w:rPr>
      <w:fldChar w:fldCharType="begin"/>
    </w:r>
    <w:r>
      <w:rPr>
        <w:rStyle w:val="94"/>
        <w:rFonts w:ascii="宋体" w:hAnsi="宋体"/>
        <w:sz w:val="26"/>
        <w:szCs w:val="26"/>
      </w:rPr>
      <w:instrText xml:space="preserve">PAGE  </w:instrText>
    </w:r>
    <w:r>
      <w:rPr>
        <w:rFonts w:ascii="宋体" w:hAnsi="宋体"/>
        <w:sz w:val="26"/>
        <w:szCs w:val="26"/>
      </w:rPr>
      <w:fldChar w:fldCharType="separate"/>
    </w:r>
    <w:r>
      <w:rPr>
        <w:rStyle w:val="94"/>
        <w:rFonts w:ascii="宋体" w:hAnsi="宋体"/>
        <w:sz w:val="26"/>
        <w:szCs w:val="26"/>
      </w:rPr>
      <w:t>67</w:t>
    </w:r>
    <w:r>
      <w:rPr>
        <w:rFonts w:ascii="宋体" w:hAnsi="宋体"/>
        <w:sz w:val="26"/>
        <w:szCs w:val="26"/>
      </w:rPr>
      <w:fldChar w:fldCharType="end"/>
    </w:r>
    <w:r>
      <w:rPr>
        <w:rStyle w:val="94"/>
        <w:rFonts w:hint="eastAsia" w:ascii="宋体" w:hAnsi="宋体"/>
        <w:sz w:val="20"/>
      </w:rPr>
      <w:t xml:space="preserve">  </w:t>
    </w:r>
    <w:r>
      <w:rPr>
        <w:rStyle w:val="94"/>
        <w:rFonts w:hint="eastAsia" w:ascii="宋体" w:hAnsi="宋体"/>
        <w:sz w:val="28"/>
        <w:szCs w:val="28"/>
      </w:rPr>
      <w:t>—</w:t>
    </w:r>
  </w:p>
  <w:p>
    <w:pPr>
      <w:pStyle w:val="54"/>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04C78"/>
    <w:multiLevelType w:val="singleLevel"/>
    <w:tmpl w:val="E7A04C78"/>
    <w:lvl w:ilvl="0" w:tentative="0">
      <w:start w:val="1"/>
      <w:numFmt w:val="decimal"/>
      <w:lvlText w:val="%1."/>
      <w:lvlJc w:val="left"/>
      <w:pPr>
        <w:ind w:left="425" w:hanging="425"/>
      </w:pPr>
      <w:rPr>
        <w:rFonts w:hint="default"/>
      </w:rPr>
    </w:lvl>
  </w:abstractNum>
  <w:abstractNum w:abstractNumId="1">
    <w:nsid w:val="FFFFFF89"/>
    <w:multiLevelType w:val="singleLevel"/>
    <w:tmpl w:val="FFFFFF89"/>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
    <w:nsid w:val="00000001"/>
    <w:multiLevelType w:val="multilevel"/>
    <w:tmpl w:val="00000001"/>
    <w:lvl w:ilvl="0" w:tentative="0">
      <w:start w:val="1"/>
      <w:numFmt w:val="decimalEnclosedCircle"/>
      <w:pStyle w:val="324"/>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5"/>
    <w:multiLevelType w:val="multilevel"/>
    <w:tmpl w:val="00000005"/>
    <w:lvl w:ilvl="0" w:tentative="0">
      <w:start w:val="1"/>
      <w:numFmt w:val="decimalEnclosedCircle"/>
      <w:pStyle w:val="1205"/>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6"/>
    <w:multiLevelType w:val="multilevel"/>
    <w:tmpl w:val="00000016"/>
    <w:lvl w:ilvl="0" w:tentative="0">
      <w:start w:val="1"/>
      <w:numFmt w:val="decimal"/>
      <w:pStyle w:val="85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1D31CB4"/>
    <w:multiLevelType w:val="multilevel"/>
    <w:tmpl w:val="01D31CB4"/>
    <w:lvl w:ilvl="0" w:tentative="0">
      <w:start w:val="1"/>
      <w:numFmt w:val="decimal"/>
      <w:pStyle w:val="1230"/>
      <w:lvlText w:val="表7.2 -%1"/>
      <w:lvlJc w:val="center"/>
      <w:pPr>
        <w:tabs>
          <w:tab w:val="left" w:pos="726"/>
        </w:tabs>
        <w:ind w:left="2" w:firstLine="4"/>
      </w:pPr>
      <w:rPr>
        <w:rFonts w:hint="default" w:ascii="Times New Roman" w:hAnsi="Times New Roman"/>
        <w:b/>
        <w:i w:val="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2E7176C"/>
    <w:multiLevelType w:val="singleLevel"/>
    <w:tmpl w:val="02E7176C"/>
    <w:lvl w:ilvl="0" w:tentative="0">
      <w:start w:val="1"/>
      <w:numFmt w:val="bullet"/>
      <w:pStyle w:val="1153"/>
      <w:lvlText w:val=""/>
      <w:lvlJc w:val="left"/>
      <w:pPr>
        <w:tabs>
          <w:tab w:val="left" w:pos="504"/>
        </w:tabs>
        <w:ind w:left="72" w:firstLine="72"/>
      </w:pPr>
      <w:rPr>
        <w:rFonts w:hint="default" w:ascii="Wingdings" w:hAnsi="Wingdings"/>
        <w:spacing w:val="0"/>
        <w:w w:val="100"/>
        <w:kern w:val="0"/>
        <w:position w:val="0"/>
        <w:sz w:val="28"/>
      </w:rPr>
    </w:lvl>
  </w:abstractNum>
  <w:abstractNum w:abstractNumId="7">
    <w:nsid w:val="0BBD0933"/>
    <w:multiLevelType w:val="multilevel"/>
    <w:tmpl w:val="0BBD0933"/>
    <w:lvl w:ilvl="0" w:tentative="0">
      <w:start w:val="4"/>
      <w:numFmt w:val="decimal"/>
      <w:pStyle w:val="1277"/>
      <w:suff w:val="space"/>
      <w:lvlText w:val="%1"/>
      <w:lvlJc w:val="left"/>
      <w:pPr>
        <w:ind w:left="0" w:firstLine="0"/>
      </w:pPr>
      <w:rPr>
        <w:rFonts w:hint="eastAsia" w:ascii="黑体" w:eastAsia="黑体"/>
        <w:b w:val="0"/>
        <w:bCs w:val="0"/>
        <w:i w:val="0"/>
        <w:iCs w:val="0"/>
        <w:color w:val="auto"/>
        <w:sz w:val="28"/>
        <w:szCs w:val="28"/>
      </w:rPr>
    </w:lvl>
    <w:lvl w:ilvl="1" w:tentative="0">
      <w:start w:val="1"/>
      <w:numFmt w:val="decimal"/>
      <w:suff w:val="space"/>
      <w:lvlText w:val="%1.%2"/>
      <w:lvlJc w:val="left"/>
      <w:pPr>
        <w:ind w:left="0" w:firstLine="0"/>
      </w:pPr>
      <w:rPr>
        <w:rFonts w:hint="eastAsia" w:ascii="黑体" w:eastAsia="黑体"/>
        <w:b w:val="0"/>
        <w:bCs w:val="0"/>
        <w:i w:val="0"/>
        <w:iCs w:val="0"/>
        <w:color w:val="auto"/>
        <w:sz w:val="28"/>
        <w:szCs w:val="28"/>
      </w:rPr>
    </w:lvl>
    <w:lvl w:ilvl="2" w:tentative="0">
      <w:start w:val="1"/>
      <w:numFmt w:val="decimal"/>
      <w:suff w:val="space"/>
      <w:lvlText w:val="%1.%2.%3"/>
      <w:lvlJc w:val="left"/>
      <w:pPr>
        <w:ind w:left="0" w:firstLine="0"/>
      </w:pPr>
      <w:rPr>
        <w:rFonts w:hint="eastAsia" w:ascii="宋体" w:eastAsia="宋体"/>
        <w:b w:val="0"/>
        <w:bCs w:val="0"/>
        <w:i w:val="0"/>
        <w:iCs w:val="0"/>
        <w:color w:val="auto"/>
        <w:sz w:val="28"/>
        <w:szCs w:val="28"/>
      </w:rPr>
    </w:lvl>
    <w:lvl w:ilvl="3" w:tentative="0">
      <w:start w:val="1"/>
      <w:numFmt w:val="decimal"/>
      <w:suff w:val="space"/>
      <w:lvlText w:val="%1.%2.%3.%4"/>
      <w:lvlJc w:val="left"/>
      <w:pPr>
        <w:ind w:left="0" w:firstLine="0"/>
      </w:pPr>
      <w:rPr>
        <w:rFonts w:hint="eastAsia" w:ascii="宋体" w:hAnsi="Arial" w:eastAsia="宋体"/>
        <w:b w:val="0"/>
        <w:bCs w:val="0"/>
        <w:i w:val="0"/>
        <w:iCs w:val="0"/>
        <w:color w:val="auto"/>
        <w:sz w:val="28"/>
        <w:szCs w:val="28"/>
      </w:rPr>
    </w:lvl>
    <w:lvl w:ilvl="4" w:tentative="0">
      <w:start w:val="1"/>
      <w:numFmt w:val="decimal"/>
      <w:suff w:val="space"/>
      <w:lvlText w:val="%5)"/>
      <w:lvlJc w:val="left"/>
      <w:pPr>
        <w:ind w:left="0" w:firstLine="567"/>
      </w:pPr>
      <w:rPr>
        <w:rFonts w:hint="eastAsia" w:ascii="宋体" w:hAnsi="Times New Roman" w:eastAsia="宋体"/>
        <w:b w:val="0"/>
        <w:bCs w:val="0"/>
        <w:i w:val="0"/>
        <w:iCs w:val="0"/>
        <w:sz w:val="28"/>
        <w:szCs w:val="28"/>
      </w:rPr>
    </w:lvl>
    <w:lvl w:ilvl="5" w:tentative="0">
      <w:start w:val="1"/>
      <w:numFmt w:val="decimal"/>
      <w:suff w:val="space"/>
      <w:lvlText w:val="(%6)"/>
      <w:lvlJc w:val="left"/>
      <w:pPr>
        <w:ind w:left="-102" w:firstLine="567"/>
      </w:pPr>
      <w:rPr>
        <w:rFonts w:hint="eastAsia" w:ascii="宋体" w:eastAsia="宋体"/>
        <w:b w:val="0"/>
        <w:bCs w:val="0"/>
        <w:i w:val="0"/>
        <w:iCs w:val="0"/>
        <w:sz w:val="28"/>
        <w:szCs w:val="28"/>
      </w:rPr>
    </w:lvl>
    <w:lvl w:ilvl="6" w:tentative="0">
      <w:start w:val="1"/>
      <w:numFmt w:val="decimal"/>
      <w:lvlText w:val="%1.%2.%3.%4.%5.%6.%7"/>
      <w:lvlJc w:val="left"/>
      <w:pPr>
        <w:tabs>
          <w:tab w:val="left" w:pos="396"/>
        </w:tabs>
        <w:ind w:left="396" w:hanging="1296"/>
      </w:pPr>
      <w:rPr>
        <w:rFonts w:hint="eastAsia"/>
      </w:rPr>
    </w:lvl>
    <w:lvl w:ilvl="7" w:tentative="0">
      <w:start w:val="1"/>
      <w:numFmt w:val="decimal"/>
      <w:lvlText w:val="%1.%2.%3.%4.%5.%6.%7.%8"/>
      <w:lvlJc w:val="left"/>
      <w:pPr>
        <w:tabs>
          <w:tab w:val="left" w:pos="540"/>
        </w:tabs>
        <w:ind w:left="540" w:hanging="1440"/>
      </w:pPr>
      <w:rPr>
        <w:rFonts w:hint="eastAsia"/>
      </w:rPr>
    </w:lvl>
    <w:lvl w:ilvl="8" w:tentative="0">
      <w:start w:val="1"/>
      <w:numFmt w:val="decimal"/>
      <w:lvlText w:val="%1.%2.%3.%4.%5.%6.%7.%8.%9"/>
      <w:lvlJc w:val="left"/>
      <w:pPr>
        <w:tabs>
          <w:tab w:val="left" w:pos="684"/>
        </w:tabs>
        <w:ind w:left="684" w:hanging="1584"/>
      </w:pPr>
      <w:rPr>
        <w:rFonts w:hint="eastAsia"/>
      </w:rPr>
    </w:lvl>
  </w:abstractNum>
  <w:abstractNum w:abstractNumId="8">
    <w:nsid w:val="16613F02"/>
    <w:multiLevelType w:val="multilevel"/>
    <w:tmpl w:val="16613F02"/>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9F78A5"/>
    <w:multiLevelType w:val="multilevel"/>
    <w:tmpl w:val="1E9F78A5"/>
    <w:lvl w:ilvl="0" w:tentative="0">
      <w:start w:val="1"/>
      <w:numFmt w:val="decimal"/>
      <w:pStyle w:val="897"/>
      <w:lvlText w:val="%1."/>
      <w:lvlJc w:val="left"/>
      <w:pPr>
        <w:tabs>
          <w:tab w:val="left" w:pos="420"/>
        </w:tabs>
        <w:ind w:left="420" w:hanging="420"/>
      </w:pPr>
      <w:rPr>
        <w:rFonts w:hint="eastAsia"/>
      </w:rPr>
    </w:lvl>
    <w:lvl w:ilvl="1" w:tentative="0">
      <w:start w:val="1"/>
      <w:numFmt w:val="decimal"/>
      <w:lvlText w:val="（%2）"/>
      <w:lvlJc w:val="left"/>
      <w:pPr>
        <w:tabs>
          <w:tab w:val="left" w:pos="1710"/>
        </w:tabs>
        <w:ind w:left="1710" w:hanging="1290"/>
      </w:pPr>
      <w:rPr>
        <w:rFonts w:hint="default"/>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5181BBE"/>
    <w:multiLevelType w:val="multilevel"/>
    <w:tmpl w:val="35181BB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7660A18"/>
    <w:multiLevelType w:val="multilevel"/>
    <w:tmpl w:val="37660A18"/>
    <w:lvl w:ilvl="0" w:tentative="0">
      <w:start w:val="1"/>
      <w:numFmt w:val="decimal"/>
      <w:pStyle w:val="1276"/>
      <w:lvlText w:val="%1"/>
      <w:lvlJc w:val="left"/>
      <w:pPr>
        <w:ind w:left="425" w:hanging="425"/>
      </w:pPr>
      <w:rPr>
        <w:rFonts w:hint="default" w:ascii="Times New Roman" w:hAnsi="Times New Roman" w:cs="Times New Roman"/>
      </w:rPr>
    </w:lvl>
    <w:lvl w:ilvl="1" w:tentative="0">
      <w:start w:val="1"/>
      <w:numFmt w:val="decimal"/>
      <w:pStyle w:val="1167"/>
      <w:lvlText w:val="%1.%2"/>
      <w:lvlJc w:val="left"/>
      <w:pPr>
        <w:ind w:left="992" w:hanging="567"/>
      </w:pPr>
    </w:lvl>
    <w:lvl w:ilvl="2" w:tentative="0">
      <w:start w:val="1"/>
      <w:numFmt w:val="decimal"/>
      <w:pStyle w:val="330"/>
      <w:lvlText w:val="%1.%2.%3"/>
      <w:lvlJc w:val="left"/>
      <w:pPr>
        <w:ind w:left="1418" w:hanging="567"/>
      </w:pPr>
    </w:lvl>
    <w:lvl w:ilvl="3" w:tentative="0">
      <w:start w:val="1"/>
      <w:numFmt w:val="decimal"/>
      <w:pStyle w:val="866"/>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37A04360"/>
    <w:multiLevelType w:val="multilevel"/>
    <w:tmpl w:val="37A04360"/>
    <w:lvl w:ilvl="0" w:tentative="0">
      <w:start w:val="1"/>
      <w:numFmt w:val="decimal"/>
      <w:pStyle w:val="684"/>
      <w:lvlText w:val="表1.11-%1"/>
      <w:lvlJc w:val="center"/>
      <w:pPr>
        <w:tabs>
          <w:tab w:val="left" w:pos="2444"/>
        </w:tabs>
        <w:ind w:left="1720" w:firstLine="4"/>
      </w:pPr>
      <w:rPr>
        <w:rFonts w:hint="default" w:ascii="Times New Roman" w:hAnsi="Times New Roman"/>
        <w:b/>
        <w:i w:val="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A9076B2"/>
    <w:multiLevelType w:val="multilevel"/>
    <w:tmpl w:val="3A9076B2"/>
    <w:lvl w:ilvl="0" w:tentative="0">
      <w:start w:val="2"/>
      <w:numFmt w:val="decimal"/>
      <w:lvlText w:val="%1、"/>
      <w:lvlJc w:val="left"/>
      <w:pPr>
        <w:tabs>
          <w:tab w:val="left" w:pos="929"/>
        </w:tabs>
        <w:ind w:left="929"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pStyle w:val="1013"/>
      <w:lvlText w:val="%4."/>
      <w:lvlJc w:val="left"/>
      <w:pPr>
        <w:tabs>
          <w:tab w:val="left" w:pos="2249"/>
        </w:tabs>
        <w:ind w:left="2249"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4B17BF9"/>
    <w:multiLevelType w:val="multilevel"/>
    <w:tmpl w:val="44B17BF9"/>
    <w:lvl w:ilvl="0" w:tentative="0">
      <w:start w:val="1"/>
      <w:numFmt w:val="decimal"/>
      <w:suff w:val="nothing"/>
      <w:lvlText w:val="%1"/>
      <w:lvlJc w:val="left"/>
      <w:rPr>
        <w:rFonts w:hint="eastAsia" w:cs="Times New Roman"/>
      </w:rPr>
    </w:lvl>
    <w:lvl w:ilvl="1" w:tentative="0">
      <w:start w:val="1"/>
      <w:numFmt w:val="lowerLetter"/>
      <w:lvlText w:val="%2)"/>
      <w:lvlJc w:val="left"/>
      <w:pPr>
        <w:ind w:left="697" w:hanging="420"/>
      </w:pPr>
      <w:rPr>
        <w:rFonts w:cs="Times New Roman"/>
      </w:rPr>
    </w:lvl>
    <w:lvl w:ilvl="2" w:tentative="0">
      <w:start w:val="1"/>
      <w:numFmt w:val="lowerRoman"/>
      <w:lvlText w:val="%3."/>
      <w:lvlJc w:val="right"/>
      <w:pPr>
        <w:ind w:left="1117" w:hanging="420"/>
      </w:pPr>
      <w:rPr>
        <w:rFonts w:cs="Times New Roman"/>
      </w:rPr>
    </w:lvl>
    <w:lvl w:ilvl="3" w:tentative="0">
      <w:start w:val="1"/>
      <w:numFmt w:val="decimal"/>
      <w:lvlText w:val="%4."/>
      <w:lvlJc w:val="left"/>
      <w:pPr>
        <w:ind w:left="1537" w:hanging="420"/>
      </w:pPr>
      <w:rPr>
        <w:rFonts w:cs="Times New Roman"/>
      </w:rPr>
    </w:lvl>
    <w:lvl w:ilvl="4" w:tentative="0">
      <w:start w:val="1"/>
      <w:numFmt w:val="lowerLetter"/>
      <w:lvlText w:val="%5)"/>
      <w:lvlJc w:val="left"/>
      <w:pPr>
        <w:ind w:left="1957" w:hanging="420"/>
      </w:pPr>
      <w:rPr>
        <w:rFonts w:cs="Times New Roman"/>
      </w:rPr>
    </w:lvl>
    <w:lvl w:ilvl="5" w:tentative="0">
      <w:start w:val="1"/>
      <w:numFmt w:val="lowerRoman"/>
      <w:lvlText w:val="%6."/>
      <w:lvlJc w:val="right"/>
      <w:pPr>
        <w:ind w:left="2377" w:hanging="420"/>
      </w:pPr>
      <w:rPr>
        <w:rFonts w:cs="Times New Roman"/>
      </w:rPr>
    </w:lvl>
    <w:lvl w:ilvl="6" w:tentative="0">
      <w:start w:val="1"/>
      <w:numFmt w:val="decimal"/>
      <w:lvlText w:val="%7."/>
      <w:lvlJc w:val="left"/>
      <w:pPr>
        <w:ind w:left="2797" w:hanging="420"/>
      </w:pPr>
      <w:rPr>
        <w:rFonts w:cs="Times New Roman"/>
      </w:rPr>
    </w:lvl>
    <w:lvl w:ilvl="7" w:tentative="0">
      <w:start w:val="1"/>
      <w:numFmt w:val="lowerLetter"/>
      <w:lvlText w:val="%8)"/>
      <w:lvlJc w:val="left"/>
      <w:pPr>
        <w:ind w:left="3217" w:hanging="420"/>
      </w:pPr>
      <w:rPr>
        <w:rFonts w:cs="Times New Roman"/>
      </w:rPr>
    </w:lvl>
    <w:lvl w:ilvl="8" w:tentative="0">
      <w:start w:val="1"/>
      <w:numFmt w:val="lowerRoman"/>
      <w:lvlText w:val="%9."/>
      <w:lvlJc w:val="right"/>
      <w:pPr>
        <w:ind w:left="3637" w:hanging="420"/>
      </w:pPr>
      <w:rPr>
        <w:rFonts w:cs="Times New Roman"/>
      </w:rPr>
    </w:lvl>
  </w:abstractNum>
  <w:abstractNum w:abstractNumId="15">
    <w:nsid w:val="47071C76"/>
    <w:multiLevelType w:val="multilevel"/>
    <w:tmpl w:val="47071C76"/>
    <w:lvl w:ilvl="0" w:tentative="0">
      <w:start w:val="1"/>
      <w:numFmt w:val="decimal"/>
      <w:lvlText w:val="%1"/>
      <w:lvlJc w:val="left"/>
      <w:pPr>
        <w:tabs>
          <w:tab w:val="left" w:pos="360"/>
        </w:tabs>
        <w:ind w:left="0" w:firstLine="0"/>
      </w:pPr>
      <w:rPr>
        <w:rFonts w:hint="eastAsia" w:ascii="仿宋_GB2312" w:eastAsia="仿宋_GB2312"/>
        <w:b/>
        <w:i w:val="0"/>
        <w:sz w:val="32"/>
      </w:rPr>
    </w:lvl>
    <w:lvl w:ilvl="1" w:tentative="0">
      <w:start w:val="1"/>
      <w:numFmt w:val="decimal"/>
      <w:pStyle w:val="1164"/>
      <w:lvlText w:val="%1.%2"/>
      <w:lvlJc w:val="left"/>
      <w:pPr>
        <w:tabs>
          <w:tab w:val="left" w:pos="720"/>
        </w:tabs>
        <w:ind w:left="0" w:firstLine="0"/>
      </w:pPr>
      <w:rPr>
        <w:rFonts w:hint="eastAsia" w:ascii="仿宋_GB2312" w:eastAsia="仿宋_GB2312"/>
        <w:b/>
        <w:i w:val="0"/>
        <w:sz w:val="30"/>
      </w:rPr>
    </w:lvl>
    <w:lvl w:ilvl="2" w:tentative="0">
      <w:start w:val="1"/>
      <w:numFmt w:val="none"/>
      <w:lvlText w:val="1.%21"/>
      <w:lvlJc w:val="left"/>
      <w:pPr>
        <w:tabs>
          <w:tab w:val="left" w:pos="1080"/>
        </w:tabs>
        <w:ind w:left="0" w:firstLine="0"/>
      </w:pPr>
      <w:rPr>
        <w:rFonts w:hint="eastAsia" w:ascii="仿宋_GB2312" w:eastAsia="仿宋_GB2312"/>
        <w:b w:val="0"/>
        <w:i w:val="0"/>
        <w:sz w:val="28"/>
      </w:rPr>
    </w:lvl>
    <w:lvl w:ilvl="3" w:tentative="0">
      <w:start w:val="1"/>
      <w:numFmt w:val="decimal"/>
      <w:lvlRestart w:val="0"/>
      <w:isLgl/>
      <w:lvlText w:val="%1.%2.%3.%4"/>
      <w:lvlJc w:val="left"/>
      <w:pPr>
        <w:tabs>
          <w:tab w:val="left" w:pos="1440"/>
        </w:tabs>
        <w:ind w:left="0" w:firstLine="0"/>
      </w:pPr>
      <w:rPr>
        <w:rFonts w:hint="eastAsia" w:ascii="仿宋_GB2312" w:eastAsia="仿宋_GB2312"/>
        <w:b w:val="0"/>
        <w:i w:val="0"/>
        <w:sz w:val="28"/>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5089670E"/>
    <w:multiLevelType w:val="multilevel"/>
    <w:tmpl w:val="5089670E"/>
    <w:lvl w:ilvl="0" w:tentative="0">
      <w:start w:val="1"/>
      <w:numFmt w:val="decimal"/>
      <w:suff w:val="space"/>
      <w:lvlText w:val="%1"/>
      <w:lvlJc w:val="left"/>
      <w:pPr>
        <w:ind w:left="140" w:firstLine="0"/>
      </w:pPr>
      <w:rPr>
        <w:rFonts w:hint="eastAsia" w:ascii="黑体" w:eastAsia="黑体"/>
        <w:b w:val="0"/>
        <w:bCs w:val="0"/>
        <w:i w:val="0"/>
        <w:iCs w:val="0"/>
        <w:color w:val="auto"/>
        <w:sz w:val="28"/>
        <w:szCs w:val="28"/>
      </w:rPr>
    </w:lvl>
    <w:lvl w:ilvl="1" w:tentative="0">
      <w:start w:val="1"/>
      <w:numFmt w:val="decimal"/>
      <w:suff w:val="space"/>
      <w:lvlText w:val="%1.%2"/>
      <w:lvlJc w:val="left"/>
      <w:pPr>
        <w:ind w:left="4962" w:firstLine="0"/>
      </w:pPr>
      <w:rPr>
        <w:rFonts w:hint="eastAsia" w:ascii="黑体" w:eastAsia="黑体" w:cs="Times New Roman"/>
        <w:b w:val="0"/>
        <w:bCs w:val="0"/>
        <w:i w:val="0"/>
        <w:iCs w:val="0"/>
        <w:caps w:val="0"/>
        <w:smallCaps w:val="0"/>
        <w:strike w:val="0"/>
        <w:dstrike w:val="0"/>
        <w:vanish w:val="0"/>
        <w:color w:val="000000"/>
        <w:spacing w:val="0"/>
        <w:position w:val="0"/>
        <w:sz w:val="28"/>
        <w:szCs w:val="28"/>
        <w:u w:val="none"/>
        <w:vertAlign w:val="baseline"/>
      </w:rPr>
    </w:lvl>
    <w:lvl w:ilvl="2" w:tentative="0">
      <w:start w:val="1"/>
      <w:numFmt w:val="decimal"/>
      <w:suff w:val="space"/>
      <w:lvlText w:val="%1.%2.%3"/>
      <w:lvlJc w:val="left"/>
      <w:pPr>
        <w:ind w:left="700" w:firstLine="0"/>
      </w:pPr>
      <w:rPr>
        <w:rFonts w:hint="eastAsia" w:ascii="宋体" w:eastAsia="宋体"/>
        <w:b w:val="0"/>
        <w:bCs w:val="0"/>
        <w:i w:val="0"/>
        <w:iCs w:val="0"/>
        <w:caps w:val="0"/>
        <w:smallCaps w:val="0"/>
        <w:strike w:val="0"/>
        <w:color w:val="auto"/>
        <w:spacing w:val="0"/>
        <w:sz w:val="28"/>
        <w:szCs w:val="28"/>
        <w:u w:val="none"/>
      </w:rPr>
    </w:lvl>
    <w:lvl w:ilvl="3" w:tentative="0">
      <w:start w:val="1"/>
      <w:numFmt w:val="decimal"/>
      <w:suff w:val="space"/>
      <w:lvlText w:val="%1.%2.%3.%4"/>
      <w:lvlJc w:val="left"/>
      <w:pPr>
        <w:ind w:left="0" w:firstLine="0"/>
      </w:pPr>
      <w:rPr>
        <w:rFonts w:hint="eastAsia" w:ascii="宋体" w:hAnsi="Arial" w:eastAsia="宋体"/>
        <w:b w:val="0"/>
        <w:bCs w:val="0"/>
        <w:i w:val="0"/>
        <w:iCs w:val="0"/>
        <w:color w:val="auto"/>
        <w:sz w:val="28"/>
        <w:szCs w:val="28"/>
      </w:rPr>
    </w:lvl>
    <w:lvl w:ilvl="4" w:tentative="0">
      <w:start w:val="1"/>
      <w:numFmt w:val="decimal"/>
      <w:pStyle w:val="593"/>
      <w:suff w:val="space"/>
      <w:lvlText w:val="%5)"/>
      <w:lvlJc w:val="left"/>
      <w:pPr>
        <w:ind w:left="-567" w:firstLine="567"/>
      </w:pPr>
      <w:rPr>
        <w:rFonts w:hint="eastAsia" w:ascii="宋体" w:eastAsia="宋体"/>
        <w:b w:val="0"/>
        <w:i w:val="0"/>
        <w:sz w:val="28"/>
        <w:szCs w:val="28"/>
      </w:rPr>
    </w:lvl>
    <w:lvl w:ilvl="5" w:tentative="0">
      <w:start w:val="1"/>
      <w:numFmt w:val="decimal"/>
      <w:suff w:val="space"/>
      <w:lvlText w:val="(%6)"/>
      <w:lvlJc w:val="left"/>
      <w:pPr>
        <w:ind w:left="-427" w:firstLine="567"/>
      </w:pPr>
      <w:rPr>
        <w:rFonts w:hint="eastAsia" w:ascii="宋体" w:eastAsia="宋体"/>
        <w:b w:val="0"/>
        <w:bCs w:val="0"/>
        <w:i w:val="0"/>
        <w:iCs w:val="0"/>
        <w:sz w:val="28"/>
        <w:szCs w:val="28"/>
      </w:rPr>
    </w:lvl>
    <w:lvl w:ilvl="6" w:tentative="0">
      <w:start w:val="1"/>
      <w:numFmt w:val="decimal"/>
      <w:lvlText w:val="%1.%2.%3.%4.%5.%6.%7"/>
      <w:lvlJc w:val="left"/>
      <w:pPr>
        <w:tabs>
          <w:tab w:val="left" w:pos="936"/>
        </w:tabs>
        <w:ind w:left="936" w:hanging="1296"/>
      </w:pPr>
      <w:rPr>
        <w:rFonts w:hint="eastAsia"/>
      </w:rPr>
    </w:lvl>
    <w:lvl w:ilvl="7" w:tentative="0">
      <w:start w:val="1"/>
      <w:numFmt w:val="decimal"/>
      <w:lvlText w:val="%1.%2.%3.%4.%5.%6.%7.%8"/>
      <w:lvlJc w:val="left"/>
      <w:pPr>
        <w:tabs>
          <w:tab w:val="left" w:pos="1080"/>
        </w:tabs>
        <w:ind w:left="1080" w:hanging="1440"/>
      </w:pPr>
      <w:rPr>
        <w:rFonts w:hint="eastAsia"/>
      </w:rPr>
    </w:lvl>
    <w:lvl w:ilvl="8" w:tentative="0">
      <w:start w:val="1"/>
      <w:numFmt w:val="decimal"/>
      <w:lvlText w:val="%1.%2.%3.%4.%5.%6.%7.%8.%9"/>
      <w:lvlJc w:val="left"/>
      <w:pPr>
        <w:tabs>
          <w:tab w:val="left" w:pos="1224"/>
        </w:tabs>
        <w:ind w:left="1224" w:hanging="1584"/>
      </w:pPr>
      <w:rPr>
        <w:rFonts w:hint="eastAsia"/>
      </w:rPr>
    </w:lvl>
  </w:abstractNum>
  <w:abstractNum w:abstractNumId="17">
    <w:nsid w:val="557C2AF5"/>
    <w:multiLevelType w:val="multilevel"/>
    <w:tmpl w:val="557C2AF5"/>
    <w:lvl w:ilvl="0" w:tentative="0">
      <w:start w:val="1"/>
      <w:numFmt w:val="decimal"/>
      <w:pStyle w:val="63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46260FA"/>
    <w:multiLevelType w:val="multilevel"/>
    <w:tmpl w:val="646260FA"/>
    <w:lvl w:ilvl="0" w:tentative="0">
      <w:start w:val="1"/>
      <w:numFmt w:val="decimal"/>
      <w:pStyle w:val="96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6724FAC"/>
    <w:multiLevelType w:val="singleLevel"/>
    <w:tmpl w:val="66724FAC"/>
    <w:lvl w:ilvl="0" w:tentative="0">
      <w:start w:val="1"/>
      <w:numFmt w:val="chineseCounting"/>
      <w:suff w:val="nothing"/>
      <w:lvlText w:val="%1、"/>
      <w:lvlJc w:val="left"/>
      <w:rPr>
        <w:rFonts w:hint="eastAsia"/>
      </w:rPr>
    </w:lvl>
  </w:abstractNum>
  <w:abstractNum w:abstractNumId="20">
    <w:nsid w:val="766D7B15"/>
    <w:multiLevelType w:val="multilevel"/>
    <w:tmpl w:val="766D7B15"/>
    <w:lvl w:ilvl="0" w:tentative="0">
      <w:start w:val="1"/>
      <w:numFmt w:val="decimal"/>
      <w:pStyle w:val="286"/>
      <w:lvlText w:val="%1"/>
      <w:lvlJc w:val="left"/>
      <w:pPr>
        <w:tabs>
          <w:tab w:val="left" w:pos="425"/>
        </w:tabs>
        <w:ind w:left="425" w:hanging="425"/>
      </w:pPr>
      <w:rPr>
        <w:rFonts w:hint="eastAsia"/>
      </w:rPr>
    </w:lvl>
    <w:lvl w:ilvl="1" w:tentative="0">
      <w:start w:val="1"/>
      <w:numFmt w:val="decimal"/>
      <w:lvlText w:val="%1.%2"/>
      <w:lvlJc w:val="left"/>
      <w:pPr>
        <w:tabs>
          <w:tab w:val="left" w:pos="1865"/>
        </w:tabs>
        <w:ind w:left="992" w:hanging="567"/>
      </w:pPr>
      <w:rPr>
        <w:rFonts w:hint="eastAsia"/>
      </w:rPr>
    </w:lvl>
    <w:lvl w:ilvl="2" w:tentative="0">
      <w:start w:val="1"/>
      <w:numFmt w:val="decimal"/>
      <w:lvlText w:val="%1.%2.%3"/>
      <w:lvlJc w:val="left"/>
      <w:pPr>
        <w:tabs>
          <w:tab w:val="left" w:pos="3011"/>
        </w:tabs>
        <w:ind w:left="1418" w:hanging="567"/>
      </w:pPr>
      <w:rPr>
        <w:rFonts w:hint="eastAsia"/>
      </w:rPr>
    </w:lvl>
    <w:lvl w:ilvl="3" w:tentative="0">
      <w:start w:val="1"/>
      <w:numFmt w:val="decimal"/>
      <w:lvlText w:val="%1.%2.%3.%4"/>
      <w:lvlJc w:val="left"/>
      <w:pPr>
        <w:tabs>
          <w:tab w:val="left" w:pos="4156"/>
        </w:tabs>
        <w:ind w:left="1984" w:hanging="708"/>
      </w:pPr>
      <w:rPr>
        <w:rFonts w:hint="eastAsia"/>
      </w:rPr>
    </w:lvl>
    <w:lvl w:ilvl="4" w:tentative="0">
      <w:start w:val="1"/>
      <w:numFmt w:val="decimal"/>
      <w:lvlText w:val="%1.%2.%3.%4.%5"/>
      <w:lvlJc w:val="left"/>
      <w:pPr>
        <w:tabs>
          <w:tab w:val="left" w:pos="5301"/>
        </w:tabs>
        <w:ind w:left="2551" w:hanging="850"/>
      </w:pPr>
      <w:rPr>
        <w:rFonts w:hint="eastAsia"/>
      </w:rPr>
    </w:lvl>
    <w:lvl w:ilvl="5" w:tentative="0">
      <w:start w:val="1"/>
      <w:numFmt w:val="decimal"/>
      <w:lvlText w:val="%1.%2.%3.%4.%5.%6"/>
      <w:lvlJc w:val="left"/>
      <w:pPr>
        <w:tabs>
          <w:tab w:val="left" w:pos="6446"/>
        </w:tabs>
        <w:ind w:left="3260" w:hanging="1134"/>
      </w:pPr>
      <w:rPr>
        <w:rFonts w:hint="eastAsia"/>
      </w:rPr>
    </w:lvl>
    <w:lvl w:ilvl="6" w:tentative="0">
      <w:start w:val="1"/>
      <w:numFmt w:val="decimal"/>
      <w:lvlText w:val="%1.%2.%3.%4.%5.%6.%7"/>
      <w:lvlJc w:val="left"/>
      <w:pPr>
        <w:tabs>
          <w:tab w:val="left" w:pos="7591"/>
        </w:tabs>
        <w:ind w:left="3827" w:hanging="1276"/>
      </w:pPr>
      <w:rPr>
        <w:rFonts w:hint="eastAsia"/>
      </w:rPr>
    </w:lvl>
    <w:lvl w:ilvl="7" w:tentative="0">
      <w:start w:val="1"/>
      <w:numFmt w:val="decimal"/>
      <w:lvlText w:val="%1.%2.%3.%4.%5.%6.%7.%8"/>
      <w:lvlJc w:val="left"/>
      <w:pPr>
        <w:tabs>
          <w:tab w:val="left" w:pos="8736"/>
        </w:tabs>
        <w:ind w:left="4394" w:hanging="1418"/>
      </w:pPr>
      <w:rPr>
        <w:rFonts w:hint="eastAsia"/>
      </w:rPr>
    </w:lvl>
    <w:lvl w:ilvl="8" w:tentative="0">
      <w:start w:val="1"/>
      <w:numFmt w:val="decimal"/>
      <w:lvlText w:val="%1.%2.%3.%4.%5.%6.%7.%8.%9"/>
      <w:lvlJc w:val="left"/>
      <w:pPr>
        <w:tabs>
          <w:tab w:val="left" w:pos="10242"/>
        </w:tabs>
        <w:ind w:left="5102" w:hanging="1700"/>
      </w:pPr>
      <w:rPr>
        <w:rFonts w:hint="eastAsia"/>
      </w:rPr>
    </w:lvl>
  </w:abstractNum>
  <w:abstractNum w:abstractNumId="21">
    <w:nsid w:val="7B606C55"/>
    <w:multiLevelType w:val="multilevel"/>
    <w:tmpl w:val="7B606C5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0"/>
  </w:num>
  <w:num w:numId="3">
    <w:abstractNumId w:val="2"/>
  </w:num>
  <w:num w:numId="4">
    <w:abstractNumId w:val="11"/>
  </w:num>
  <w:num w:numId="5">
    <w:abstractNumId w:val="16"/>
  </w:num>
  <w:num w:numId="6">
    <w:abstractNumId w:val="17"/>
  </w:num>
  <w:num w:numId="7">
    <w:abstractNumId w:val="12"/>
  </w:num>
  <w:num w:numId="8">
    <w:abstractNumId w:val="4"/>
  </w:num>
  <w:num w:numId="9">
    <w:abstractNumId w:val="9"/>
  </w:num>
  <w:num w:numId="10">
    <w:abstractNumId w:val="18"/>
  </w:num>
  <w:num w:numId="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3"/>
  </w:num>
  <w:num w:numId="15">
    <w:abstractNumId w:val="5"/>
  </w:num>
  <w:num w:numId="16">
    <w:abstractNumId w:val="7"/>
  </w:num>
  <w:num w:numId="17">
    <w:abstractNumId w:val="19"/>
  </w:num>
  <w:num w:numId="18">
    <w:abstractNumId w:val="10"/>
  </w:num>
  <w:num w:numId="19">
    <w:abstractNumId w:val="8"/>
  </w:num>
  <w:num w:numId="20">
    <w:abstractNumId w:val="0"/>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evenAndOddHeaders w:val="1"/>
  <w:displayHorizontalDrawingGridEvery w:val="1"/>
  <w:displayVerticalDrawingGridEvery w:val="1"/>
  <w:noPunctuationKerning w:val="1"/>
  <w:characterSpacingControl w:val="doNotCompress"/>
  <w:noLineBreaksAfter w:lang="zh-CN" w:val="([{·‘“〈《「『【〔〖（．［｛￡￥"/>
  <w:noLineBreaksBefore w:lang="zh-CN" w:val="!),.:;?]}¨·ˇˉ―‖’”…∶、。〃々〉》」』】〕〗！＂＇），．：；？］｀｜｝～￠"/>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OGMxNWE5YjdmOTExMTJlZDQyZDdiNzdhMzVhMzAifQ=="/>
  </w:docVars>
  <w:rsids>
    <w:rsidRoot w:val="00172A27"/>
    <w:rsid w:val="00002589"/>
    <w:rsid w:val="000035A2"/>
    <w:rsid w:val="00003DF0"/>
    <w:rsid w:val="000055E6"/>
    <w:rsid w:val="0000564F"/>
    <w:rsid w:val="000060B3"/>
    <w:rsid w:val="000069AE"/>
    <w:rsid w:val="00006FBF"/>
    <w:rsid w:val="00007CD0"/>
    <w:rsid w:val="00010986"/>
    <w:rsid w:val="00014574"/>
    <w:rsid w:val="00014AF0"/>
    <w:rsid w:val="00016298"/>
    <w:rsid w:val="00016C4D"/>
    <w:rsid w:val="0001762C"/>
    <w:rsid w:val="00025B61"/>
    <w:rsid w:val="00031913"/>
    <w:rsid w:val="00034071"/>
    <w:rsid w:val="00034098"/>
    <w:rsid w:val="000343A4"/>
    <w:rsid w:val="00041A3C"/>
    <w:rsid w:val="00042F19"/>
    <w:rsid w:val="00043081"/>
    <w:rsid w:val="0004364B"/>
    <w:rsid w:val="000468DB"/>
    <w:rsid w:val="00050F17"/>
    <w:rsid w:val="00054F1D"/>
    <w:rsid w:val="00057C67"/>
    <w:rsid w:val="00061B1F"/>
    <w:rsid w:val="00061EB2"/>
    <w:rsid w:val="00062CF9"/>
    <w:rsid w:val="000630D7"/>
    <w:rsid w:val="00066831"/>
    <w:rsid w:val="00066DC8"/>
    <w:rsid w:val="00067205"/>
    <w:rsid w:val="00070292"/>
    <w:rsid w:val="000706A2"/>
    <w:rsid w:val="00070C7E"/>
    <w:rsid w:val="00071AB9"/>
    <w:rsid w:val="00071B94"/>
    <w:rsid w:val="000733C4"/>
    <w:rsid w:val="00074783"/>
    <w:rsid w:val="00076D47"/>
    <w:rsid w:val="0008070B"/>
    <w:rsid w:val="000810AC"/>
    <w:rsid w:val="00081A02"/>
    <w:rsid w:val="00082231"/>
    <w:rsid w:val="00082364"/>
    <w:rsid w:val="000835C2"/>
    <w:rsid w:val="000835F4"/>
    <w:rsid w:val="00085022"/>
    <w:rsid w:val="000851C5"/>
    <w:rsid w:val="000901FE"/>
    <w:rsid w:val="000904AF"/>
    <w:rsid w:val="00092834"/>
    <w:rsid w:val="00092D38"/>
    <w:rsid w:val="0009377B"/>
    <w:rsid w:val="00093910"/>
    <w:rsid w:val="000956D2"/>
    <w:rsid w:val="00097967"/>
    <w:rsid w:val="000A03C7"/>
    <w:rsid w:val="000A0848"/>
    <w:rsid w:val="000A1480"/>
    <w:rsid w:val="000A20C9"/>
    <w:rsid w:val="000A265A"/>
    <w:rsid w:val="000A5422"/>
    <w:rsid w:val="000A7A44"/>
    <w:rsid w:val="000A7D45"/>
    <w:rsid w:val="000B058F"/>
    <w:rsid w:val="000B11C2"/>
    <w:rsid w:val="000B1C40"/>
    <w:rsid w:val="000B4467"/>
    <w:rsid w:val="000B4DB9"/>
    <w:rsid w:val="000C0328"/>
    <w:rsid w:val="000C09AC"/>
    <w:rsid w:val="000C1A6F"/>
    <w:rsid w:val="000C31CA"/>
    <w:rsid w:val="000C3482"/>
    <w:rsid w:val="000C3C3C"/>
    <w:rsid w:val="000C3F8C"/>
    <w:rsid w:val="000C6BC9"/>
    <w:rsid w:val="000C767F"/>
    <w:rsid w:val="000C7E7A"/>
    <w:rsid w:val="000D11D6"/>
    <w:rsid w:val="000D2BB3"/>
    <w:rsid w:val="000D4200"/>
    <w:rsid w:val="000D45ED"/>
    <w:rsid w:val="000D5A44"/>
    <w:rsid w:val="000D5F3C"/>
    <w:rsid w:val="000E14CD"/>
    <w:rsid w:val="000E3ED2"/>
    <w:rsid w:val="000E6D10"/>
    <w:rsid w:val="000E7B81"/>
    <w:rsid w:val="000F11D5"/>
    <w:rsid w:val="000F3738"/>
    <w:rsid w:val="000F469A"/>
    <w:rsid w:val="000F51C3"/>
    <w:rsid w:val="000F6572"/>
    <w:rsid w:val="000F79DF"/>
    <w:rsid w:val="00100296"/>
    <w:rsid w:val="00100FDD"/>
    <w:rsid w:val="00104497"/>
    <w:rsid w:val="001045EC"/>
    <w:rsid w:val="00106FC5"/>
    <w:rsid w:val="001079BE"/>
    <w:rsid w:val="00114F6E"/>
    <w:rsid w:val="00120431"/>
    <w:rsid w:val="00121FCD"/>
    <w:rsid w:val="00124362"/>
    <w:rsid w:val="001250FE"/>
    <w:rsid w:val="00125332"/>
    <w:rsid w:val="00126237"/>
    <w:rsid w:val="00127CBE"/>
    <w:rsid w:val="00130F40"/>
    <w:rsid w:val="00131C9E"/>
    <w:rsid w:val="00131F42"/>
    <w:rsid w:val="001357F1"/>
    <w:rsid w:val="00135A3C"/>
    <w:rsid w:val="001364DA"/>
    <w:rsid w:val="00136A6C"/>
    <w:rsid w:val="001378FE"/>
    <w:rsid w:val="00140FA8"/>
    <w:rsid w:val="00141F3F"/>
    <w:rsid w:val="001425EA"/>
    <w:rsid w:val="001428ED"/>
    <w:rsid w:val="00142E31"/>
    <w:rsid w:val="00142FEB"/>
    <w:rsid w:val="00143A2D"/>
    <w:rsid w:val="00144B6D"/>
    <w:rsid w:val="00145A41"/>
    <w:rsid w:val="001506EE"/>
    <w:rsid w:val="00151675"/>
    <w:rsid w:val="00157435"/>
    <w:rsid w:val="001574E9"/>
    <w:rsid w:val="001604C1"/>
    <w:rsid w:val="00162D90"/>
    <w:rsid w:val="001631FB"/>
    <w:rsid w:val="001640CC"/>
    <w:rsid w:val="00165D9A"/>
    <w:rsid w:val="00172A27"/>
    <w:rsid w:val="00174459"/>
    <w:rsid w:val="00174601"/>
    <w:rsid w:val="0017504D"/>
    <w:rsid w:val="00175C54"/>
    <w:rsid w:val="00175DAA"/>
    <w:rsid w:val="0017671A"/>
    <w:rsid w:val="00177422"/>
    <w:rsid w:val="00177DC1"/>
    <w:rsid w:val="00182C14"/>
    <w:rsid w:val="00183A88"/>
    <w:rsid w:val="0018418C"/>
    <w:rsid w:val="00184590"/>
    <w:rsid w:val="00185566"/>
    <w:rsid w:val="001870D1"/>
    <w:rsid w:val="00187190"/>
    <w:rsid w:val="0018781E"/>
    <w:rsid w:val="00192460"/>
    <w:rsid w:val="0019262D"/>
    <w:rsid w:val="00194B39"/>
    <w:rsid w:val="00194C2D"/>
    <w:rsid w:val="00194F0F"/>
    <w:rsid w:val="00195BE8"/>
    <w:rsid w:val="001A004B"/>
    <w:rsid w:val="001A1AAC"/>
    <w:rsid w:val="001A1B35"/>
    <w:rsid w:val="001A3B4D"/>
    <w:rsid w:val="001A4025"/>
    <w:rsid w:val="001A48A2"/>
    <w:rsid w:val="001A6F61"/>
    <w:rsid w:val="001B24B0"/>
    <w:rsid w:val="001B3E5E"/>
    <w:rsid w:val="001B4C8C"/>
    <w:rsid w:val="001B5BBB"/>
    <w:rsid w:val="001B72B8"/>
    <w:rsid w:val="001C0F3C"/>
    <w:rsid w:val="001C1F22"/>
    <w:rsid w:val="001C4E4E"/>
    <w:rsid w:val="001C5C85"/>
    <w:rsid w:val="001C6132"/>
    <w:rsid w:val="001C6772"/>
    <w:rsid w:val="001C69B3"/>
    <w:rsid w:val="001D057D"/>
    <w:rsid w:val="001D0961"/>
    <w:rsid w:val="001D0BCF"/>
    <w:rsid w:val="001D0C2A"/>
    <w:rsid w:val="001D0E1F"/>
    <w:rsid w:val="001D19FE"/>
    <w:rsid w:val="001D3425"/>
    <w:rsid w:val="001D3496"/>
    <w:rsid w:val="001D5595"/>
    <w:rsid w:val="001D5EB1"/>
    <w:rsid w:val="001D7874"/>
    <w:rsid w:val="001D7F22"/>
    <w:rsid w:val="001E100F"/>
    <w:rsid w:val="001E21D6"/>
    <w:rsid w:val="001E3A81"/>
    <w:rsid w:val="001E4929"/>
    <w:rsid w:val="001E4A86"/>
    <w:rsid w:val="001E683C"/>
    <w:rsid w:val="001F0DD6"/>
    <w:rsid w:val="001F0F17"/>
    <w:rsid w:val="001F2DFC"/>
    <w:rsid w:val="001F3347"/>
    <w:rsid w:val="001F5BDC"/>
    <w:rsid w:val="001F69E4"/>
    <w:rsid w:val="00202E1A"/>
    <w:rsid w:val="00204101"/>
    <w:rsid w:val="002101F0"/>
    <w:rsid w:val="002115BA"/>
    <w:rsid w:val="00211DFB"/>
    <w:rsid w:val="002125B4"/>
    <w:rsid w:val="00212C4C"/>
    <w:rsid w:val="002155B8"/>
    <w:rsid w:val="00215DB5"/>
    <w:rsid w:val="0022014A"/>
    <w:rsid w:val="0022094E"/>
    <w:rsid w:val="00220DF1"/>
    <w:rsid w:val="002210E2"/>
    <w:rsid w:val="00221154"/>
    <w:rsid w:val="00224839"/>
    <w:rsid w:val="002249B2"/>
    <w:rsid w:val="00226574"/>
    <w:rsid w:val="0022659E"/>
    <w:rsid w:val="002278D0"/>
    <w:rsid w:val="002278EC"/>
    <w:rsid w:val="00231A41"/>
    <w:rsid w:val="0023280E"/>
    <w:rsid w:val="00233005"/>
    <w:rsid w:val="00233D88"/>
    <w:rsid w:val="002343EC"/>
    <w:rsid w:val="00234D4E"/>
    <w:rsid w:val="002365FF"/>
    <w:rsid w:val="0023726D"/>
    <w:rsid w:val="002377D1"/>
    <w:rsid w:val="00237A6E"/>
    <w:rsid w:val="00240190"/>
    <w:rsid w:val="0024055C"/>
    <w:rsid w:val="00240B30"/>
    <w:rsid w:val="002467F1"/>
    <w:rsid w:val="002506BC"/>
    <w:rsid w:val="002506E7"/>
    <w:rsid w:val="00252AD3"/>
    <w:rsid w:val="00253CD2"/>
    <w:rsid w:val="00253F2C"/>
    <w:rsid w:val="00254345"/>
    <w:rsid w:val="00255871"/>
    <w:rsid w:val="002603CE"/>
    <w:rsid w:val="00263FAB"/>
    <w:rsid w:val="002642F9"/>
    <w:rsid w:val="00264557"/>
    <w:rsid w:val="00265398"/>
    <w:rsid w:val="00273026"/>
    <w:rsid w:val="0027364A"/>
    <w:rsid w:val="002741F2"/>
    <w:rsid w:val="00274222"/>
    <w:rsid w:val="0027458C"/>
    <w:rsid w:val="002752D0"/>
    <w:rsid w:val="002805AB"/>
    <w:rsid w:val="00282534"/>
    <w:rsid w:val="002831F2"/>
    <w:rsid w:val="00284204"/>
    <w:rsid w:val="00287C49"/>
    <w:rsid w:val="00290561"/>
    <w:rsid w:val="00291773"/>
    <w:rsid w:val="00294441"/>
    <w:rsid w:val="00297BCE"/>
    <w:rsid w:val="002A168C"/>
    <w:rsid w:val="002A1F1C"/>
    <w:rsid w:val="002A3DC7"/>
    <w:rsid w:val="002A4A9E"/>
    <w:rsid w:val="002A57A3"/>
    <w:rsid w:val="002A5F78"/>
    <w:rsid w:val="002A7329"/>
    <w:rsid w:val="002B18BB"/>
    <w:rsid w:val="002B1A80"/>
    <w:rsid w:val="002B3243"/>
    <w:rsid w:val="002B49E2"/>
    <w:rsid w:val="002B7B00"/>
    <w:rsid w:val="002B7C44"/>
    <w:rsid w:val="002B7E77"/>
    <w:rsid w:val="002C1C6E"/>
    <w:rsid w:val="002C2B17"/>
    <w:rsid w:val="002C2FA6"/>
    <w:rsid w:val="002C60B1"/>
    <w:rsid w:val="002C6243"/>
    <w:rsid w:val="002D3D85"/>
    <w:rsid w:val="002D3DD0"/>
    <w:rsid w:val="002D6881"/>
    <w:rsid w:val="002D7DB7"/>
    <w:rsid w:val="002E0A7F"/>
    <w:rsid w:val="002E0B3B"/>
    <w:rsid w:val="002E15EF"/>
    <w:rsid w:val="002E1EA6"/>
    <w:rsid w:val="002E1F3A"/>
    <w:rsid w:val="002E25EF"/>
    <w:rsid w:val="002E298A"/>
    <w:rsid w:val="002E375C"/>
    <w:rsid w:val="002E3A0E"/>
    <w:rsid w:val="002E3D82"/>
    <w:rsid w:val="002F0FAE"/>
    <w:rsid w:val="002F2912"/>
    <w:rsid w:val="002F3517"/>
    <w:rsid w:val="002F6387"/>
    <w:rsid w:val="002F6D50"/>
    <w:rsid w:val="00301978"/>
    <w:rsid w:val="00301F1F"/>
    <w:rsid w:val="00302DDF"/>
    <w:rsid w:val="00302E31"/>
    <w:rsid w:val="0030332C"/>
    <w:rsid w:val="00303736"/>
    <w:rsid w:val="00304FD9"/>
    <w:rsid w:val="003051C2"/>
    <w:rsid w:val="00305467"/>
    <w:rsid w:val="00306F6C"/>
    <w:rsid w:val="00307CFA"/>
    <w:rsid w:val="00310218"/>
    <w:rsid w:val="00312296"/>
    <w:rsid w:val="00312891"/>
    <w:rsid w:val="00314D3B"/>
    <w:rsid w:val="00314F0E"/>
    <w:rsid w:val="003155D0"/>
    <w:rsid w:val="00316929"/>
    <w:rsid w:val="00316B2F"/>
    <w:rsid w:val="0032008D"/>
    <w:rsid w:val="0032058C"/>
    <w:rsid w:val="003211E1"/>
    <w:rsid w:val="00321D8E"/>
    <w:rsid w:val="00325928"/>
    <w:rsid w:val="00325DE0"/>
    <w:rsid w:val="003319DE"/>
    <w:rsid w:val="00332863"/>
    <w:rsid w:val="003349D0"/>
    <w:rsid w:val="003352FE"/>
    <w:rsid w:val="0033684D"/>
    <w:rsid w:val="00337B42"/>
    <w:rsid w:val="00340096"/>
    <w:rsid w:val="00341B42"/>
    <w:rsid w:val="0034348F"/>
    <w:rsid w:val="00343E4C"/>
    <w:rsid w:val="003461E0"/>
    <w:rsid w:val="00347CA0"/>
    <w:rsid w:val="00354CEE"/>
    <w:rsid w:val="003563AE"/>
    <w:rsid w:val="00356653"/>
    <w:rsid w:val="00356958"/>
    <w:rsid w:val="0035743F"/>
    <w:rsid w:val="00357BE2"/>
    <w:rsid w:val="0036170C"/>
    <w:rsid w:val="00361D0A"/>
    <w:rsid w:val="00363E54"/>
    <w:rsid w:val="0036585E"/>
    <w:rsid w:val="00366E0F"/>
    <w:rsid w:val="00366E75"/>
    <w:rsid w:val="00366F1E"/>
    <w:rsid w:val="00367B2E"/>
    <w:rsid w:val="003762AD"/>
    <w:rsid w:val="00377510"/>
    <w:rsid w:val="003813A8"/>
    <w:rsid w:val="00381A72"/>
    <w:rsid w:val="00381AD3"/>
    <w:rsid w:val="0038205F"/>
    <w:rsid w:val="0038258E"/>
    <w:rsid w:val="0038392B"/>
    <w:rsid w:val="00384676"/>
    <w:rsid w:val="00390857"/>
    <w:rsid w:val="00392BCE"/>
    <w:rsid w:val="00392D24"/>
    <w:rsid w:val="0039337C"/>
    <w:rsid w:val="003953C9"/>
    <w:rsid w:val="00395E15"/>
    <w:rsid w:val="00397890"/>
    <w:rsid w:val="003A0F1D"/>
    <w:rsid w:val="003A1F83"/>
    <w:rsid w:val="003A46AE"/>
    <w:rsid w:val="003A4BF3"/>
    <w:rsid w:val="003A5905"/>
    <w:rsid w:val="003B1812"/>
    <w:rsid w:val="003B420D"/>
    <w:rsid w:val="003B5253"/>
    <w:rsid w:val="003B53F8"/>
    <w:rsid w:val="003B5571"/>
    <w:rsid w:val="003B7AE8"/>
    <w:rsid w:val="003B7E62"/>
    <w:rsid w:val="003C0F5A"/>
    <w:rsid w:val="003C1A77"/>
    <w:rsid w:val="003C475F"/>
    <w:rsid w:val="003C4A38"/>
    <w:rsid w:val="003C51D2"/>
    <w:rsid w:val="003C6A9B"/>
    <w:rsid w:val="003C6C16"/>
    <w:rsid w:val="003D113D"/>
    <w:rsid w:val="003D2656"/>
    <w:rsid w:val="003D3D2D"/>
    <w:rsid w:val="003D4562"/>
    <w:rsid w:val="003D4935"/>
    <w:rsid w:val="003D5B07"/>
    <w:rsid w:val="003D5E0E"/>
    <w:rsid w:val="003D66CB"/>
    <w:rsid w:val="003D6FDA"/>
    <w:rsid w:val="003D794D"/>
    <w:rsid w:val="003D7FB3"/>
    <w:rsid w:val="003E0446"/>
    <w:rsid w:val="003E2630"/>
    <w:rsid w:val="003E2FAB"/>
    <w:rsid w:val="003E3058"/>
    <w:rsid w:val="003E4B7C"/>
    <w:rsid w:val="003E550C"/>
    <w:rsid w:val="003E65D7"/>
    <w:rsid w:val="003E76A9"/>
    <w:rsid w:val="003E7777"/>
    <w:rsid w:val="003F0809"/>
    <w:rsid w:val="003F14DD"/>
    <w:rsid w:val="003F2259"/>
    <w:rsid w:val="003F33DD"/>
    <w:rsid w:val="003F36BE"/>
    <w:rsid w:val="003F448B"/>
    <w:rsid w:val="003F4501"/>
    <w:rsid w:val="003F6A8C"/>
    <w:rsid w:val="003F755C"/>
    <w:rsid w:val="003F778D"/>
    <w:rsid w:val="003F7D25"/>
    <w:rsid w:val="00406F01"/>
    <w:rsid w:val="00407B0F"/>
    <w:rsid w:val="00412C5D"/>
    <w:rsid w:val="00413436"/>
    <w:rsid w:val="00414248"/>
    <w:rsid w:val="00414830"/>
    <w:rsid w:val="004148E2"/>
    <w:rsid w:val="00415604"/>
    <w:rsid w:val="0041619A"/>
    <w:rsid w:val="00416D50"/>
    <w:rsid w:val="00416FD5"/>
    <w:rsid w:val="00417772"/>
    <w:rsid w:val="00420E6A"/>
    <w:rsid w:val="004219F9"/>
    <w:rsid w:val="00425A9E"/>
    <w:rsid w:val="00426D6B"/>
    <w:rsid w:val="0043115C"/>
    <w:rsid w:val="004316E8"/>
    <w:rsid w:val="00431E6C"/>
    <w:rsid w:val="004322BD"/>
    <w:rsid w:val="00432B5C"/>
    <w:rsid w:val="00432B6B"/>
    <w:rsid w:val="00433C4E"/>
    <w:rsid w:val="00433CE7"/>
    <w:rsid w:val="00435175"/>
    <w:rsid w:val="004378E5"/>
    <w:rsid w:val="00440AEE"/>
    <w:rsid w:val="00441404"/>
    <w:rsid w:val="00442F41"/>
    <w:rsid w:val="00444228"/>
    <w:rsid w:val="00444240"/>
    <w:rsid w:val="004442BD"/>
    <w:rsid w:val="004507D6"/>
    <w:rsid w:val="004524CB"/>
    <w:rsid w:val="00452738"/>
    <w:rsid w:val="00456091"/>
    <w:rsid w:val="0046004D"/>
    <w:rsid w:val="00464594"/>
    <w:rsid w:val="00466321"/>
    <w:rsid w:val="0046679F"/>
    <w:rsid w:val="00467CBE"/>
    <w:rsid w:val="00470236"/>
    <w:rsid w:val="00471180"/>
    <w:rsid w:val="004723A7"/>
    <w:rsid w:val="004741DA"/>
    <w:rsid w:val="0047773D"/>
    <w:rsid w:val="00477BC3"/>
    <w:rsid w:val="004807C7"/>
    <w:rsid w:val="0048230B"/>
    <w:rsid w:val="0048259B"/>
    <w:rsid w:val="00484B9B"/>
    <w:rsid w:val="004855F6"/>
    <w:rsid w:val="0048661E"/>
    <w:rsid w:val="0048770F"/>
    <w:rsid w:val="0049000E"/>
    <w:rsid w:val="00492DA2"/>
    <w:rsid w:val="00493262"/>
    <w:rsid w:val="00494670"/>
    <w:rsid w:val="00495457"/>
    <w:rsid w:val="00495D23"/>
    <w:rsid w:val="004A1BCC"/>
    <w:rsid w:val="004A2AAC"/>
    <w:rsid w:val="004A3823"/>
    <w:rsid w:val="004A4B89"/>
    <w:rsid w:val="004A6D4F"/>
    <w:rsid w:val="004A7152"/>
    <w:rsid w:val="004A72DE"/>
    <w:rsid w:val="004B2A5A"/>
    <w:rsid w:val="004B62B7"/>
    <w:rsid w:val="004C5910"/>
    <w:rsid w:val="004C59EE"/>
    <w:rsid w:val="004C5CA4"/>
    <w:rsid w:val="004C7902"/>
    <w:rsid w:val="004D118B"/>
    <w:rsid w:val="004D2A10"/>
    <w:rsid w:val="004E08A6"/>
    <w:rsid w:val="004E1971"/>
    <w:rsid w:val="004E23AC"/>
    <w:rsid w:val="004E2A69"/>
    <w:rsid w:val="004E55B5"/>
    <w:rsid w:val="004E63C9"/>
    <w:rsid w:val="004E6946"/>
    <w:rsid w:val="004F1AD8"/>
    <w:rsid w:val="004F2BC0"/>
    <w:rsid w:val="004F39A7"/>
    <w:rsid w:val="004F615A"/>
    <w:rsid w:val="004F6BDC"/>
    <w:rsid w:val="005000A4"/>
    <w:rsid w:val="005000E3"/>
    <w:rsid w:val="00500552"/>
    <w:rsid w:val="00503328"/>
    <w:rsid w:val="005039CB"/>
    <w:rsid w:val="00503BB2"/>
    <w:rsid w:val="0050558F"/>
    <w:rsid w:val="005058C3"/>
    <w:rsid w:val="00505C0F"/>
    <w:rsid w:val="00506286"/>
    <w:rsid w:val="00506FE3"/>
    <w:rsid w:val="00507F3A"/>
    <w:rsid w:val="00510488"/>
    <w:rsid w:val="00510813"/>
    <w:rsid w:val="00510B08"/>
    <w:rsid w:val="00510F86"/>
    <w:rsid w:val="00511184"/>
    <w:rsid w:val="005116DD"/>
    <w:rsid w:val="00511803"/>
    <w:rsid w:val="00511990"/>
    <w:rsid w:val="00511DE0"/>
    <w:rsid w:val="00512EA4"/>
    <w:rsid w:val="0051457C"/>
    <w:rsid w:val="00514870"/>
    <w:rsid w:val="00514B9B"/>
    <w:rsid w:val="005176AF"/>
    <w:rsid w:val="0051777A"/>
    <w:rsid w:val="00517F02"/>
    <w:rsid w:val="00520292"/>
    <w:rsid w:val="00524303"/>
    <w:rsid w:val="005258A2"/>
    <w:rsid w:val="0053194B"/>
    <w:rsid w:val="00536B9E"/>
    <w:rsid w:val="00537EA3"/>
    <w:rsid w:val="005400F1"/>
    <w:rsid w:val="005401AE"/>
    <w:rsid w:val="00541332"/>
    <w:rsid w:val="00542E07"/>
    <w:rsid w:val="00545424"/>
    <w:rsid w:val="00551A38"/>
    <w:rsid w:val="00554A7B"/>
    <w:rsid w:val="0055572C"/>
    <w:rsid w:val="005573CB"/>
    <w:rsid w:val="0056106A"/>
    <w:rsid w:val="00561550"/>
    <w:rsid w:val="005620FB"/>
    <w:rsid w:val="0056378B"/>
    <w:rsid w:val="005656C6"/>
    <w:rsid w:val="00566D35"/>
    <w:rsid w:val="005720AE"/>
    <w:rsid w:val="005725E7"/>
    <w:rsid w:val="00576DBA"/>
    <w:rsid w:val="00582585"/>
    <w:rsid w:val="00582C01"/>
    <w:rsid w:val="005843A0"/>
    <w:rsid w:val="00593A2B"/>
    <w:rsid w:val="00594D77"/>
    <w:rsid w:val="00594E42"/>
    <w:rsid w:val="005969E4"/>
    <w:rsid w:val="005A06B7"/>
    <w:rsid w:val="005A0E3F"/>
    <w:rsid w:val="005A1759"/>
    <w:rsid w:val="005A2574"/>
    <w:rsid w:val="005A68A7"/>
    <w:rsid w:val="005A71AD"/>
    <w:rsid w:val="005A7A21"/>
    <w:rsid w:val="005B2817"/>
    <w:rsid w:val="005B51D3"/>
    <w:rsid w:val="005B574A"/>
    <w:rsid w:val="005B5B1A"/>
    <w:rsid w:val="005B5CF7"/>
    <w:rsid w:val="005B6BDD"/>
    <w:rsid w:val="005C1454"/>
    <w:rsid w:val="005C1D96"/>
    <w:rsid w:val="005C2848"/>
    <w:rsid w:val="005C75EB"/>
    <w:rsid w:val="005D2EDE"/>
    <w:rsid w:val="005D2F06"/>
    <w:rsid w:val="005D36AB"/>
    <w:rsid w:val="005D6CFE"/>
    <w:rsid w:val="005D77E3"/>
    <w:rsid w:val="005E1A34"/>
    <w:rsid w:val="005E1F69"/>
    <w:rsid w:val="005E27D7"/>
    <w:rsid w:val="005E29B5"/>
    <w:rsid w:val="005E39F6"/>
    <w:rsid w:val="005E55A8"/>
    <w:rsid w:val="005F312C"/>
    <w:rsid w:val="005F44BA"/>
    <w:rsid w:val="005F5AFB"/>
    <w:rsid w:val="006021A6"/>
    <w:rsid w:val="00602368"/>
    <w:rsid w:val="00604025"/>
    <w:rsid w:val="00605FA6"/>
    <w:rsid w:val="006100E8"/>
    <w:rsid w:val="00612192"/>
    <w:rsid w:val="00614897"/>
    <w:rsid w:val="00617CC3"/>
    <w:rsid w:val="00625240"/>
    <w:rsid w:val="00625A17"/>
    <w:rsid w:val="00626631"/>
    <w:rsid w:val="00626FBE"/>
    <w:rsid w:val="00627A70"/>
    <w:rsid w:val="00631FAF"/>
    <w:rsid w:val="00632AA2"/>
    <w:rsid w:val="00634D7B"/>
    <w:rsid w:val="006377A6"/>
    <w:rsid w:val="00637A3D"/>
    <w:rsid w:val="00637AB4"/>
    <w:rsid w:val="006411EF"/>
    <w:rsid w:val="00646778"/>
    <w:rsid w:val="00651E53"/>
    <w:rsid w:val="00653CC9"/>
    <w:rsid w:val="006544CA"/>
    <w:rsid w:val="00656BD3"/>
    <w:rsid w:val="00656EFC"/>
    <w:rsid w:val="00661B18"/>
    <w:rsid w:val="00663822"/>
    <w:rsid w:val="00664039"/>
    <w:rsid w:val="00664DE7"/>
    <w:rsid w:val="006651B9"/>
    <w:rsid w:val="00665795"/>
    <w:rsid w:val="0066793E"/>
    <w:rsid w:val="006726F8"/>
    <w:rsid w:val="00672826"/>
    <w:rsid w:val="00673DE2"/>
    <w:rsid w:val="006748B8"/>
    <w:rsid w:val="00674B9E"/>
    <w:rsid w:val="0067512F"/>
    <w:rsid w:val="00676052"/>
    <w:rsid w:val="0067757F"/>
    <w:rsid w:val="006775C3"/>
    <w:rsid w:val="00680742"/>
    <w:rsid w:val="00684078"/>
    <w:rsid w:val="00684A51"/>
    <w:rsid w:val="00684AD4"/>
    <w:rsid w:val="006862E4"/>
    <w:rsid w:val="006872DE"/>
    <w:rsid w:val="00687B7A"/>
    <w:rsid w:val="006902F2"/>
    <w:rsid w:val="00692356"/>
    <w:rsid w:val="006927A1"/>
    <w:rsid w:val="0069290A"/>
    <w:rsid w:val="006969BB"/>
    <w:rsid w:val="0069775A"/>
    <w:rsid w:val="00697813"/>
    <w:rsid w:val="00697926"/>
    <w:rsid w:val="006A06F8"/>
    <w:rsid w:val="006A1D9B"/>
    <w:rsid w:val="006A3EE8"/>
    <w:rsid w:val="006A438D"/>
    <w:rsid w:val="006A72BF"/>
    <w:rsid w:val="006B03F2"/>
    <w:rsid w:val="006B1213"/>
    <w:rsid w:val="006B24FF"/>
    <w:rsid w:val="006B37DC"/>
    <w:rsid w:val="006B4F68"/>
    <w:rsid w:val="006B6AC1"/>
    <w:rsid w:val="006B7113"/>
    <w:rsid w:val="006C0592"/>
    <w:rsid w:val="006C0813"/>
    <w:rsid w:val="006C21B6"/>
    <w:rsid w:val="006C272E"/>
    <w:rsid w:val="006C5479"/>
    <w:rsid w:val="006D13B5"/>
    <w:rsid w:val="006D1D54"/>
    <w:rsid w:val="006D5A27"/>
    <w:rsid w:val="006E12FF"/>
    <w:rsid w:val="006E196C"/>
    <w:rsid w:val="006E42C0"/>
    <w:rsid w:val="006E607E"/>
    <w:rsid w:val="006E690A"/>
    <w:rsid w:val="006F1AC8"/>
    <w:rsid w:val="006F6E68"/>
    <w:rsid w:val="006F7B83"/>
    <w:rsid w:val="006F7E41"/>
    <w:rsid w:val="007008C8"/>
    <w:rsid w:val="00700E55"/>
    <w:rsid w:val="00701372"/>
    <w:rsid w:val="00701C47"/>
    <w:rsid w:val="00703DC3"/>
    <w:rsid w:val="00703E1A"/>
    <w:rsid w:val="00705C29"/>
    <w:rsid w:val="00705D7F"/>
    <w:rsid w:val="00706C5D"/>
    <w:rsid w:val="007119ED"/>
    <w:rsid w:val="00724A82"/>
    <w:rsid w:val="0072630F"/>
    <w:rsid w:val="00726BBF"/>
    <w:rsid w:val="00732922"/>
    <w:rsid w:val="00732F99"/>
    <w:rsid w:val="0073383D"/>
    <w:rsid w:val="0073704F"/>
    <w:rsid w:val="00740B6A"/>
    <w:rsid w:val="007427F9"/>
    <w:rsid w:val="00744178"/>
    <w:rsid w:val="007462A3"/>
    <w:rsid w:val="00746357"/>
    <w:rsid w:val="00746F1F"/>
    <w:rsid w:val="00750651"/>
    <w:rsid w:val="0075154C"/>
    <w:rsid w:val="0075162E"/>
    <w:rsid w:val="00752005"/>
    <w:rsid w:val="00753494"/>
    <w:rsid w:val="00754034"/>
    <w:rsid w:val="00754DCC"/>
    <w:rsid w:val="00756556"/>
    <w:rsid w:val="007577DE"/>
    <w:rsid w:val="00760D26"/>
    <w:rsid w:val="007618C4"/>
    <w:rsid w:val="007652E6"/>
    <w:rsid w:val="00766C94"/>
    <w:rsid w:val="00767750"/>
    <w:rsid w:val="00767980"/>
    <w:rsid w:val="00770B19"/>
    <w:rsid w:val="00770DF0"/>
    <w:rsid w:val="007734A6"/>
    <w:rsid w:val="0077463F"/>
    <w:rsid w:val="007751FA"/>
    <w:rsid w:val="00775565"/>
    <w:rsid w:val="007769DA"/>
    <w:rsid w:val="007806A7"/>
    <w:rsid w:val="00780A0F"/>
    <w:rsid w:val="00781982"/>
    <w:rsid w:val="007836EA"/>
    <w:rsid w:val="00783A69"/>
    <w:rsid w:val="00784CDA"/>
    <w:rsid w:val="007871E0"/>
    <w:rsid w:val="007906C4"/>
    <w:rsid w:val="00791A43"/>
    <w:rsid w:val="00791C86"/>
    <w:rsid w:val="007940EA"/>
    <w:rsid w:val="0079431D"/>
    <w:rsid w:val="007967E8"/>
    <w:rsid w:val="00797A0D"/>
    <w:rsid w:val="007A1EB0"/>
    <w:rsid w:val="007A2170"/>
    <w:rsid w:val="007A22BF"/>
    <w:rsid w:val="007A3323"/>
    <w:rsid w:val="007A40F6"/>
    <w:rsid w:val="007B07DF"/>
    <w:rsid w:val="007B093F"/>
    <w:rsid w:val="007B2E79"/>
    <w:rsid w:val="007B31ED"/>
    <w:rsid w:val="007B43DB"/>
    <w:rsid w:val="007B528A"/>
    <w:rsid w:val="007B72B8"/>
    <w:rsid w:val="007B7A58"/>
    <w:rsid w:val="007C21B5"/>
    <w:rsid w:val="007C2D4F"/>
    <w:rsid w:val="007D2316"/>
    <w:rsid w:val="007D67FA"/>
    <w:rsid w:val="007E243D"/>
    <w:rsid w:val="007E31FF"/>
    <w:rsid w:val="007E3EE2"/>
    <w:rsid w:val="007E3FC6"/>
    <w:rsid w:val="007E4BD2"/>
    <w:rsid w:val="007E522C"/>
    <w:rsid w:val="007F1CDF"/>
    <w:rsid w:val="007F5919"/>
    <w:rsid w:val="007F5F20"/>
    <w:rsid w:val="007F7DB4"/>
    <w:rsid w:val="00801393"/>
    <w:rsid w:val="00802B03"/>
    <w:rsid w:val="00802F88"/>
    <w:rsid w:val="00803139"/>
    <w:rsid w:val="00803CB9"/>
    <w:rsid w:val="0081203E"/>
    <w:rsid w:val="0081293E"/>
    <w:rsid w:val="0081357C"/>
    <w:rsid w:val="00815465"/>
    <w:rsid w:val="00815DD8"/>
    <w:rsid w:val="00817E9A"/>
    <w:rsid w:val="00823053"/>
    <w:rsid w:val="00824DA0"/>
    <w:rsid w:val="0082778F"/>
    <w:rsid w:val="008278AC"/>
    <w:rsid w:val="008306BD"/>
    <w:rsid w:val="00831A80"/>
    <w:rsid w:val="00831D99"/>
    <w:rsid w:val="00833743"/>
    <w:rsid w:val="008340A4"/>
    <w:rsid w:val="00841137"/>
    <w:rsid w:val="00841994"/>
    <w:rsid w:val="00844864"/>
    <w:rsid w:val="00847158"/>
    <w:rsid w:val="008475A9"/>
    <w:rsid w:val="0084798A"/>
    <w:rsid w:val="00850518"/>
    <w:rsid w:val="008519B6"/>
    <w:rsid w:val="00851E59"/>
    <w:rsid w:val="00852065"/>
    <w:rsid w:val="0085240B"/>
    <w:rsid w:val="00853A06"/>
    <w:rsid w:val="00855E23"/>
    <w:rsid w:val="00856799"/>
    <w:rsid w:val="00857337"/>
    <w:rsid w:val="00862301"/>
    <w:rsid w:val="00866396"/>
    <w:rsid w:val="00866506"/>
    <w:rsid w:val="00870174"/>
    <w:rsid w:val="00870883"/>
    <w:rsid w:val="0087135F"/>
    <w:rsid w:val="00872D94"/>
    <w:rsid w:val="00873988"/>
    <w:rsid w:val="00873B38"/>
    <w:rsid w:val="00873E43"/>
    <w:rsid w:val="00876944"/>
    <w:rsid w:val="00877E36"/>
    <w:rsid w:val="00877ED7"/>
    <w:rsid w:val="00880364"/>
    <w:rsid w:val="00884567"/>
    <w:rsid w:val="008858C2"/>
    <w:rsid w:val="00885AD0"/>
    <w:rsid w:val="00886B9B"/>
    <w:rsid w:val="00887462"/>
    <w:rsid w:val="00891592"/>
    <w:rsid w:val="00891E9E"/>
    <w:rsid w:val="0089547D"/>
    <w:rsid w:val="00897735"/>
    <w:rsid w:val="008A2F68"/>
    <w:rsid w:val="008A3947"/>
    <w:rsid w:val="008A573F"/>
    <w:rsid w:val="008A589B"/>
    <w:rsid w:val="008A5DDB"/>
    <w:rsid w:val="008A7A44"/>
    <w:rsid w:val="008B24E5"/>
    <w:rsid w:val="008B4E2D"/>
    <w:rsid w:val="008B4FA6"/>
    <w:rsid w:val="008B5282"/>
    <w:rsid w:val="008B5C94"/>
    <w:rsid w:val="008B63AA"/>
    <w:rsid w:val="008B6646"/>
    <w:rsid w:val="008B7290"/>
    <w:rsid w:val="008B72A6"/>
    <w:rsid w:val="008B787A"/>
    <w:rsid w:val="008B7C17"/>
    <w:rsid w:val="008C2D01"/>
    <w:rsid w:val="008C40E6"/>
    <w:rsid w:val="008D0302"/>
    <w:rsid w:val="008D038C"/>
    <w:rsid w:val="008D03E6"/>
    <w:rsid w:val="008D0A6C"/>
    <w:rsid w:val="008D0F7A"/>
    <w:rsid w:val="008D25EB"/>
    <w:rsid w:val="008D3C06"/>
    <w:rsid w:val="008D52D9"/>
    <w:rsid w:val="008D68E4"/>
    <w:rsid w:val="008D6FC1"/>
    <w:rsid w:val="008D72F1"/>
    <w:rsid w:val="008E0506"/>
    <w:rsid w:val="008E0B50"/>
    <w:rsid w:val="008E0CFF"/>
    <w:rsid w:val="008E1774"/>
    <w:rsid w:val="008E2BC9"/>
    <w:rsid w:val="008E389A"/>
    <w:rsid w:val="008E4E49"/>
    <w:rsid w:val="008E5D6B"/>
    <w:rsid w:val="008E641C"/>
    <w:rsid w:val="008E643D"/>
    <w:rsid w:val="008E6BA1"/>
    <w:rsid w:val="008E76F0"/>
    <w:rsid w:val="008E7E95"/>
    <w:rsid w:val="008F15FE"/>
    <w:rsid w:val="008F2144"/>
    <w:rsid w:val="008F2D29"/>
    <w:rsid w:val="008F35C2"/>
    <w:rsid w:val="008F37F9"/>
    <w:rsid w:val="008F4649"/>
    <w:rsid w:val="008F5187"/>
    <w:rsid w:val="008F60D8"/>
    <w:rsid w:val="008F6CCE"/>
    <w:rsid w:val="008F7B73"/>
    <w:rsid w:val="009002DB"/>
    <w:rsid w:val="00902727"/>
    <w:rsid w:val="00903050"/>
    <w:rsid w:val="0090312B"/>
    <w:rsid w:val="00903C44"/>
    <w:rsid w:val="00904232"/>
    <w:rsid w:val="00910736"/>
    <w:rsid w:val="00915748"/>
    <w:rsid w:val="0091736D"/>
    <w:rsid w:val="009212DF"/>
    <w:rsid w:val="009218A3"/>
    <w:rsid w:val="00925C07"/>
    <w:rsid w:val="0093037A"/>
    <w:rsid w:val="009317D9"/>
    <w:rsid w:val="00932239"/>
    <w:rsid w:val="00941400"/>
    <w:rsid w:val="0094154D"/>
    <w:rsid w:val="0094186B"/>
    <w:rsid w:val="00943111"/>
    <w:rsid w:val="009438FB"/>
    <w:rsid w:val="0095155F"/>
    <w:rsid w:val="009521B9"/>
    <w:rsid w:val="00953C5C"/>
    <w:rsid w:val="00954429"/>
    <w:rsid w:val="00955321"/>
    <w:rsid w:val="009555DD"/>
    <w:rsid w:val="009562FF"/>
    <w:rsid w:val="009563CE"/>
    <w:rsid w:val="00956A52"/>
    <w:rsid w:val="00962796"/>
    <w:rsid w:val="009651F4"/>
    <w:rsid w:val="00966969"/>
    <w:rsid w:val="00972646"/>
    <w:rsid w:val="0097577F"/>
    <w:rsid w:val="00975E46"/>
    <w:rsid w:val="00976045"/>
    <w:rsid w:val="00976328"/>
    <w:rsid w:val="009763B2"/>
    <w:rsid w:val="009767CA"/>
    <w:rsid w:val="0097680D"/>
    <w:rsid w:val="009808FC"/>
    <w:rsid w:val="00980C3F"/>
    <w:rsid w:val="00980DF8"/>
    <w:rsid w:val="009813BA"/>
    <w:rsid w:val="00981A0E"/>
    <w:rsid w:val="00981D4C"/>
    <w:rsid w:val="00982438"/>
    <w:rsid w:val="00982E89"/>
    <w:rsid w:val="0098404C"/>
    <w:rsid w:val="009846E6"/>
    <w:rsid w:val="00985283"/>
    <w:rsid w:val="00985548"/>
    <w:rsid w:val="00985767"/>
    <w:rsid w:val="00986438"/>
    <w:rsid w:val="00987073"/>
    <w:rsid w:val="00987458"/>
    <w:rsid w:val="00987E22"/>
    <w:rsid w:val="00990634"/>
    <w:rsid w:val="00991E43"/>
    <w:rsid w:val="00995992"/>
    <w:rsid w:val="009966F7"/>
    <w:rsid w:val="009A03E5"/>
    <w:rsid w:val="009A0F3B"/>
    <w:rsid w:val="009A1BB4"/>
    <w:rsid w:val="009A2628"/>
    <w:rsid w:val="009A3200"/>
    <w:rsid w:val="009A4930"/>
    <w:rsid w:val="009A618E"/>
    <w:rsid w:val="009B04B9"/>
    <w:rsid w:val="009B0897"/>
    <w:rsid w:val="009B0CEC"/>
    <w:rsid w:val="009B42A7"/>
    <w:rsid w:val="009B4B6E"/>
    <w:rsid w:val="009B7571"/>
    <w:rsid w:val="009B7BD9"/>
    <w:rsid w:val="009C180A"/>
    <w:rsid w:val="009C196D"/>
    <w:rsid w:val="009C27DC"/>
    <w:rsid w:val="009C2F3C"/>
    <w:rsid w:val="009C5784"/>
    <w:rsid w:val="009C6BE7"/>
    <w:rsid w:val="009C7B29"/>
    <w:rsid w:val="009C7DD5"/>
    <w:rsid w:val="009D3368"/>
    <w:rsid w:val="009D5A1C"/>
    <w:rsid w:val="009D63DA"/>
    <w:rsid w:val="009D69FB"/>
    <w:rsid w:val="009E0587"/>
    <w:rsid w:val="009E0651"/>
    <w:rsid w:val="009E0850"/>
    <w:rsid w:val="009E08D7"/>
    <w:rsid w:val="009E227D"/>
    <w:rsid w:val="009E39AD"/>
    <w:rsid w:val="009E43A3"/>
    <w:rsid w:val="009E5019"/>
    <w:rsid w:val="009E55AB"/>
    <w:rsid w:val="009F0442"/>
    <w:rsid w:val="009F0AF6"/>
    <w:rsid w:val="009F43CE"/>
    <w:rsid w:val="009F4EC9"/>
    <w:rsid w:val="009F4EFF"/>
    <w:rsid w:val="009F5151"/>
    <w:rsid w:val="00A0044F"/>
    <w:rsid w:val="00A00F81"/>
    <w:rsid w:val="00A04F1B"/>
    <w:rsid w:val="00A0501B"/>
    <w:rsid w:val="00A11633"/>
    <w:rsid w:val="00A13132"/>
    <w:rsid w:val="00A14947"/>
    <w:rsid w:val="00A17461"/>
    <w:rsid w:val="00A22340"/>
    <w:rsid w:val="00A2259C"/>
    <w:rsid w:val="00A24335"/>
    <w:rsid w:val="00A247FC"/>
    <w:rsid w:val="00A2542C"/>
    <w:rsid w:val="00A26E42"/>
    <w:rsid w:val="00A2719A"/>
    <w:rsid w:val="00A30BAD"/>
    <w:rsid w:val="00A31151"/>
    <w:rsid w:val="00A32A83"/>
    <w:rsid w:val="00A3457F"/>
    <w:rsid w:val="00A368DB"/>
    <w:rsid w:val="00A423AA"/>
    <w:rsid w:val="00A46FA6"/>
    <w:rsid w:val="00A47645"/>
    <w:rsid w:val="00A52358"/>
    <w:rsid w:val="00A53B63"/>
    <w:rsid w:val="00A53EC3"/>
    <w:rsid w:val="00A53EC6"/>
    <w:rsid w:val="00A54DA5"/>
    <w:rsid w:val="00A55C0F"/>
    <w:rsid w:val="00A568C5"/>
    <w:rsid w:val="00A615B2"/>
    <w:rsid w:val="00A645D5"/>
    <w:rsid w:val="00A66C7C"/>
    <w:rsid w:val="00A67B61"/>
    <w:rsid w:val="00A7207F"/>
    <w:rsid w:val="00A72565"/>
    <w:rsid w:val="00A839BB"/>
    <w:rsid w:val="00A8713F"/>
    <w:rsid w:val="00A87AC1"/>
    <w:rsid w:val="00A90805"/>
    <w:rsid w:val="00A90BA1"/>
    <w:rsid w:val="00A92CD7"/>
    <w:rsid w:val="00A92CEB"/>
    <w:rsid w:val="00A93BCC"/>
    <w:rsid w:val="00A97A9A"/>
    <w:rsid w:val="00AA0671"/>
    <w:rsid w:val="00AA0B0C"/>
    <w:rsid w:val="00AA20BB"/>
    <w:rsid w:val="00AA2531"/>
    <w:rsid w:val="00AA3214"/>
    <w:rsid w:val="00AA4782"/>
    <w:rsid w:val="00AA57AE"/>
    <w:rsid w:val="00AA5DCC"/>
    <w:rsid w:val="00AA7347"/>
    <w:rsid w:val="00AA75F1"/>
    <w:rsid w:val="00AB045C"/>
    <w:rsid w:val="00AB1E09"/>
    <w:rsid w:val="00AB1F80"/>
    <w:rsid w:val="00AB28C7"/>
    <w:rsid w:val="00AB454D"/>
    <w:rsid w:val="00AB49D8"/>
    <w:rsid w:val="00AB5330"/>
    <w:rsid w:val="00AB6EBD"/>
    <w:rsid w:val="00AB7747"/>
    <w:rsid w:val="00AC14CE"/>
    <w:rsid w:val="00AC182E"/>
    <w:rsid w:val="00AC2A56"/>
    <w:rsid w:val="00AC390C"/>
    <w:rsid w:val="00AC6B0C"/>
    <w:rsid w:val="00AC6EE1"/>
    <w:rsid w:val="00AC7196"/>
    <w:rsid w:val="00AC791F"/>
    <w:rsid w:val="00AC7CF7"/>
    <w:rsid w:val="00AD0511"/>
    <w:rsid w:val="00AD055E"/>
    <w:rsid w:val="00AD28B2"/>
    <w:rsid w:val="00AD4469"/>
    <w:rsid w:val="00AD47A7"/>
    <w:rsid w:val="00AD47AC"/>
    <w:rsid w:val="00AE24FA"/>
    <w:rsid w:val="00AE2F2D"/>
    <w:rsid w:val="00AE3194"/>
    <w:rsid w:val="00AE3D5E"/>
    <w:rsid w:val="00AE3E37"/>
    <w:rsid w:val="00AE3F62"/>
    <w:rsid w:val="00AE44F9"/>
    <w:rsid w:val="00AE4604"/>
    <w:rsid w:val="00AE6C02"/>
    <w:rsid w:val="00AE7859"/>
    <w:rsid w:val="00AF0BCB"/>
    <w:rsid w:val="00AF0CBF"/>
    <w:rsid w:val="00AF257F"/>
    <w:rsid w:val="00AF33CF"/>
    <w:rsid w:val="00AF464A"/>
    <w:rsid w:val="00AF4C91"/>
    <w:rsid w:val="00AF4D50"/>
    <w:rsid w:val="00AF6179"/>
    <w:rsid w:val="00AF731C"/>
    <w:rsid w:val="00AF7B33"/>
    <w:rsid w:val="00B006D1"/>
    <w:rsid w:val="00B00D97"/>
    <w:rsid w:val="00B00E60"/>
    <w:rsid w:val="00B03504"/>
    <w:rsid w:val="00B04105"/>
    <w:rsid w:val="00B0620B"/>
    <w:rsid w:val="00B12256"/>
    <w:rsid w:val="00B12953"/>
    <w:rsid w:val="00B1295A"/>
    <w:rsid w:val="00B13196"/>
    <w:rsid w:val="00B17160"/>
    <w:rsid w:val="00B17B45"/>
    <w:rsid w:val="00B17D1E"/>
    <w:rsid w:val="00B207A8"/>
    <w:rsid w:val="00B20A45"/>
    <w:rsid w:val="00B2154A"/>
    <w:rsid w:val="00B22C5C"/>
    <w:rsid w:val="00B23E56"/>
    <w:rsid w:val="00B242E4"/>
    <w:rsid w:val="00B24F30"/>
    <w:rsid w:val="00B268B9"/>
    <w:rsid w:val="00B269B1"/>
    <w:rsid w:val="00B269BD"/>
    <w:rsid w:val="00B31ABF"/>
    <w:rsid w:val="00B32C50"/>
    <w:rsid w:val="00B33BE3"/>
    <w:rsid w:val="00B341A1"/>
    <w:rsid w:val="00B34FA4"/>
    <w:rsid w:val="00B35C93"/>
    <w:rsid w:val="00B40FD8"/>
    <w:rsid w:val="00B41FC8"/>
    <w:rsid w:val="00B43BC1"/>
    <w:rsid w:val="00B45BE5"/>
    <w:rsid w:val="00B501DF"/>
    <w:rsid w:val="00B53B5D"/>
    <w:rsid w:val="00B57EF6"/>
    <w:rsid w:val="00B6055E"/>
    <w:rsid w:val="00B6317D"/>
    <w:rsid w:val="00B64669"/>
    <w:rsid w:val="00B64E77"/>
    <w:rsid w:val="00B657AF"/>
    <w:rsid w:val="00B6662B"/>
    <w:rsid w:val="00B6680E"/>
    <w:rsid w:val="00B7047C"/>
    <w:rsid w:val="00B72670"/>
    <w:rsid w:val="00B73444"/>
    <w:rsid w:val="00B751B3"/>
    <w:rsid w:val="00B760CC"/>
    <w:rsid w:val="00B76F8C"/>
    <w:rsid w:val="00B7723F"/>
    <w:rsid w:val="00B80534"/>
    <w:rsid w:val="00B82AB5"/>
    <w:rsid w:val="00B82D47"/>
    <w:rsid w:val="00B8412C"/>
    <w:rsid w:val="00B8433C"/>
    <w:rsid w:val="00B87491"/>
    <w:rsid w:val="00B940F7"/>
    <w:rsid w:val="00B97C2B"/>
    <w:rsid w:val="00BA0ED8"/>
    <w:rsid w:val="00BA29E9"/>
    <w:rsid w:val="00BA3617"/>
    <w:rsid w:val="00BA7142"/>
    <w:rsid w:val="00BA7380"/>
    <w:rsid w:val="00BA74FA"/>
    <w:rsid w:val="00BB237C"/>
    <w:rsid w:val="00BB2681"/>
    <w:rsid w:val="00BB3A60"/>
    <w:rsid w:val="00BB41A3"/>
    <w:rsid w:val="00BB6604"/>
    <w:rsid w:val="00BC0043"/>
    <w:rsid w:val="00BC17BB"/>
    <w:rsid w:val="00BC32DC"/>
    <w:rsid w:val="00BC35B6"/>
    <w:rsid w:val="00BD0BF1"/>
    <w:rsid w:val="00BD1556"/>
    <w:rsid w:val="00BD15CF"/>
    <w:rsid w:val="00BD1B51"/>
    <w:rsid w:val="00BD2D38"/>
    <w:rsid w:val="00BD4206"/>
    <w:rsid w:val="00BD4596"/>
    <w:rsid w:val="00BD5221"/>
    <w:rsid w:val="00BD5D70"/>
    <w:rsid w:val="00BD64A6"/>
    <w:rsid w:val="00BD64FD"/>
    <w:rsid w:val="00BD7A2B"/>
    <w:rsid w:val="00BE1405"/>
    <w:rsid w:val="00BE2C9A"/>
    <w:rsid w:val="00BE312D"/>
    <w:rsid w:val="00BE58ED"/>
    <w:rsid w:val="00BF1054"/>
    <w:rsid w:val="00BF1C20"/>
    <w:rsid w:val="00BF381B"/>
    <w:rsid w:val="00BF709E"/>
    <w:rsid w:val="00BF716C"/>
    <w:rsid w:val="00C00061"/>
    <w:rsid w:val="00C017A4"/>
    <w:rsid w:val="00C01C9E"/>
    <w:rsid w:val="00C06BD6"/>
    <w:rsid w:val="00C10578"/>
    <w:rsid w:val="00C135BC"/>
    <w:rsid w:val="00C13C3E"/>
    <w:rsid w:val="00C15554"/>
    <w:rsid w:val="00C15C95"/>
    <w:rsid w:val="00C20012"/>
    <w:rsid w:val="00C202CA"/>
    <w:rsid w:val="00C202CB"/>
    <w:rsid w:val="00C2075F"/>
    <w:rsid w:val="00C21B47"/>
    <w:rsid w:val="00C22A2E"/>
    <w:rsid w:val="00C25503"/>
    <w:rsid w:val="00C2596A"/>
    <w:rsid w:val="00C27537"/>
    <w:rsid w:val="00C3042D"/>
    <w:rsid w:val="00C323FA"/>
    <w:rsid w:val="00C328FE"/>
    <w:rsid w:val="00C33507"/>
    <w:rsid w:val="00C33BFB"/>
    <w:rsid w:val="00C424E7"/>
    <w:rsid w:val="00C43791"/>
    <w:rsid w:val="00C43A36"/>
    <w:rsid w:val="00C43BEA"/>
    <w:rsid w:val="00C4409D"/>
    <w:rsid w:val="00C44E72"/>
    <w:rsid w:val="00C45A06"/>
    <w:rsid w:val="00C464B5"/>
    <w:rsid w:val="00C47E5B"/>
    <w:rsid w:val="00C50A74"/>
    <w:rsid w:val="00C52752"/>
    <w:rsid w:val="00C544CC"/>
    <w:rsid w:val="00C54D0B"/>
    <w:rsid w:val="00C55E3D"/>
    <w:rsid w:val="00C60300"/>
    <w:rsid w:val="00C60EA1"/>
    <w:rsid w:val="00C6170F"/>
    <w:rsid w:val="00C61E4B"/>
    <w:rsid w:val="00C64353"/>
    <w:rsid w:val="00C64BFF"/>
    <w:rsid w:val="00C65169"/>
    <w:rsid w:val="00C6721F"/>
    <w:rsid w:val="00C701AB"/>
    <w:rsid w:val="00C704E9"/>
    <w:rsid w:val="00C71764"/>
    <w:rsid w:val="00C74614"/>
    <w:rsid w:val="00C7467F"/>
    <w:rsid w:val="00C75095"/>
    <w:rsid w:val="00C75B0C"/>
    <w:rsid w:val="00C75BE6"/>
    <w:rsid w:val="00C763C9"/>
    <w:rsid w:val="00C80057"/>
    <w:rsid w:val="00C82232"/>
    <w:rsid w:val="00C822B3"/>
    <w:rsid w:val="00C82913"/>
    <w:rsid w:val="00C8386E"/>
    <w:rsid w:val="00C838A7"/>
    <w:rsid w:val="00C872F4"/>
    <w:rsid w:val="00C877C2"/>
    <w:rsid w:val="00C878A2"/>
    <w:rsid w:val="00C90BD6"/>
    <w:rsid w:val="00C924B0"/>
    <w:rsid w:val="00C95951"/>
    <w:rsid w:val="00C972B1"/>
    <w:rsid w:val="00CA2CCE"/>
    <w:rsid w:val="00CA3227"/>
    <w:rsid w:val="00CA43FD"/>
    <w:rsid w:val="00CA51FA"/>
    <w:rsid w:val="00CA5D66"/>
    <w:rsid w:val="00CA6678"/>
    <w:rsid w:val="00CA786E"/>
    <w:rsid w:val="00CA7EF8"/>
    <w:rsid w:val="00CB0355"/>
    <w:rsid w:val="00CB2DEF"/>
    <w:rsid w:val="00CB5D3B"/>
    <w:rsid w:val="00CC11D2"/>
    <w:rsid w:val="00CC1C8A"/>
    <w:rsid w:val="00CC2332"/>
    <w:rsid w:val="00CC25DB"/>
    <w:rsid w:val="00CC489B"/>
    <w:rsid w:val="00CC57C4"/>
    <w:rsid w:val="00CC5BE3"/>
    <w:rsid w:val="00CC7588"/>
    <w:rsid w:val="00CD1FE5"/>
    <w:rsid w:val="00CD2BCD"/>
    <w:rsid w:val="00CD2C15"/>
    <w:rsid w:val="00CD3A4C"/>
    <w:rsid w:val="00CD4CCF"/>
    <w:rsid w:val="00CD538F"/>
    <w:rsid w:val="00CD6D0D"/>
    <w:rsid w:val="00CD7776"/>
    <w:rsid w:val="00CD7ED1"/>
    <w:rsid w:val="00CD7ED6"/>
    <w:rsid w:val="00CE10E9"/>
    <w:rsid w:val="00CE163C"/>
    <w:rsid w:val="00CE2910"/>
    <w:rsid w:val="00CE2A16"/>
    <w:rsid w:val="00CE3AAB"/>
    <w:rsid w:val="00CE5393"/>
    <w:rsid w:val="00CE694C"/>
    <w:rsid w:val="00CF0F41"/>
    <w:rsid w:val="00CF3123"/>
    <w:rsid w:val="00CF36BE"/>
    <w:rsid w:val="00CF56E3"/>
    <w:rsid w:val="00CF6000"/>
    <w:rsid w:val="00D003F3"/>
    <w:rsid w:val="00D0179B"/>
    <w:rsid w:val="00D033AF"/>
    <w:rsid w:val="00D0364F"/>
    <w:rsid w:val="00D03AA5"/>
    <w:rsid w:val="00D0402C"/>
    <w:rsid w:val="00D056DC"/>
    <w:rsid w:val="00D06834"/>
    <w:rsid w:val="00D06EED"/>
    <w:rsid w:val="00D10483"/>
    <w:rsid w:val="00D10AC6"/>
    <w:rsid w:val="00D111F1"/>
    <w:rsid w:val="00D16F06"/>
    <w:rsid w:val="00D17D08"/>
    <w:rsid w:val="00D2250A"/>
    <w:rsid w:val="00D23B7B"/>
    <w:rsid w:val="00D24183"/>
    <w:rsid w:val="00D251B3"/>
    <w:rsid w:val="00D256C2"/>
    <w:rsid w:val="00D308ED"/>
    <w:rsid w:val="00D3477B"/>
    <w:rsid w:val="00D34EB1"/>
    <w:rsid w:val="00D36D86"/>
    <w:rsid w:val="00D423A9"/>
    <w:rsid w:val="00D428AA"/>
    <w:rsid w:val="00D4697B"/>
    <w:rsid w:val="00D503F2"/>
    <w:rsid w:val="00D50A34"/>
    <w:rsid w:val="00D53EFA"/>
    <w:rsid w:val="00D5544C"/>
    <w:rsid w:val="00D56E6D"/>
    <w:rsid w:val="00D6087A"/>
    <w:rsid w:val="00D618BE"/>
    <w:rsid w:val="00D66EB1"/>
    <w:rsid w:val="00D677FC"/>
    <w:rsid w:val="00D67CE6"/>
    <w:rsid w:val="00D7259C"/>
    <w:rsid w:val="00D73CA8"/>
    <w:rsid w:val="00D74F18"/>
    <w:rsid w:val="00D77E33"/>
    <w:rsid w:val="00D81DA1"/>
    <w:rsid w:val="00D83B25"/>
    <w:rsid w:val="00D86C43"/>
    <w:rsid w:val="00D87DF9"/>
    <w:rsid w:val="00D9231C"/>
    <w:rsid w:val="00D92443"/>
    <w:rsid w:val="00D927E7"/>
    <w:rsid w:val="00D93D02"/>
    <w:rsid w:val="00D940C0"/>
    <w:rsid w:val="00D94A7C"/>
    <w:rsid w:val="00D95896"/>
    <w:rsid w:val="00D975DF"/>
    <w:rsid w:val="00DA03E4"/>
    <w:rsid w:val="00DA1E89"/>
    <w:rsid w:val="00DA2EE7"/>
    <w:rsid w:val="00DA68DE"/>
    <w:rsid w:val="00DA7FE5"/>
    <w:rsid w:val="00DB0085"/>
    <w:rsid w:val="00DB1B50"/>
    <w:rsid w:val="00DB2100"/>
    <w:rsid w:val="00DB237A"/>
    <w:rsid w:val="00DB2983"/>
    <w:rsid w:val="00DB3857"/>
    <w:rsid w:val="00DC1257"/>
    <w:rsid w:val="00DC37EC"/>
    <w:rsid w:val="00DC3CD4"/>
    <w:rsid w:val="00DC3DC0"/>
    <w:rsid w:val="00DC5B2B"/>
    <w:rsid w:val="00DC676E"/>
    <w:rsid w:val="00DD318D"/>
    <w:rsid w:val="00DD3AFD"/>
    <w:rsid w:val="00DD47C6"/>
    <w:rsid w:val="00DD6335"/>
    <w:rsid w:val="00DD6368"/>
    <w:rsid w:val="00DD648B"/>
    <w:rsid w:val="00DE0847"/>
    <w:rsid w:val="00DE14FA"/>
    <w:rsid w:val="00DE4F52"/>
    <w:rsid w:val="00DE6865"/>
    <w:rsid w:val="00DE773F"/>
    <w:rsid w:val="00DE7D45"/>
    <w:rsid w:val="00DF093E"/>
    <w:rsid w:val="00DF291D"/>
    <w:rsid w:val="00DF29F5"/>
    <w:rsid w:val="00DF2E12"/>
    <w:rsid w:val="00DF3F28"/>
    <w:rsid w:val="00DF514A"/>
    <w:rsid w:val="00DF6690"/>
    <w:rsid w:val="00DF6804"/>
    <w:rsid w:val="00E000DC"/>
    <w:rsid w:val="00E01798"/>
    <w:rsid w:val="00E0358D"/>
    <w:rsid w:val="00E04323"/>
    <w:rsid w:val="00E04D74"/>
    <w:rsid w:val="00E070A2"/>
    <w:rsid w:val="00E07915"/>
    <w:rsid w:val="00E13B47"/>
    <w:rsid w:val="00E17F0A"/>
    <w:rsid w:val="00E21C38"/>
    <w:rsid w:val="00E23B9C"/>
    <w:rsid w:val="00E2644F"/>
    <w:rsid w:val="00E2656A"/>
    <w:rsid w:val="00E3316B"/>
    <w:rsid w:val="00E33BEE"/>
    <w:rsid w:val="00E35E9A"/>
    <w:rsid w:val="00E35F8D"/>
    <w:rsid w:val="00E377FC"/>
    <w:rsid w:val="00E4015C"/>
    <w:rsid w:val="00E40F77"/>
    <w:rsid w:val="00E412D0"/>
    <w:rsid w:val="00E42934"/>
    <w:rsid w:val="00E44D3D"/>
    <w:rsid w:val="00E46754"/>
    <w:rsid w:val="00E50F9E"/>
    <w:rsid w:val="00E5122A"/>
    <w:rsid w:val="00E51327"/>
    <w:rsid w:val="00E53B7C"/>
    <w:rsid w:val="00E5438E"/>
    <w:rsid w:val="00E56322"/>
    <w:rsid w:val="00E57AE0"/>
    <w:rsid w:val="00E57F89"/>
    <w:rsid w:val="00E605EB"/>
    <w:rsid w:val="00E60982"/>
    <w:rsid w:val="00E62C62"/>
    <w:rsid w:val="00E63453"/>
    <w:rsid w:val="00E652B2"/>
    <w:rsid w:val="00E654C1"/>
    <w:rsid w:val="00E65D97"/>
    <w:rsid w:val="00E67662"/>
    <w:rsid w:val="00E71F02"/>
    <w:rsid w:val="00E725F3"/>
    <w:rsid w:val="00E72A5A"/>
    <w:rsid w:val="00E73354"/>
    <w:rsid w:val="00E74187"/>
    <w:rsid w:val="00E74537"/>
    <w:rsid w:val="00E75537"/>
    <w:rsid w:val="00E7594D"/>
    <w:rsid w:val="00E803B1"/>
    <w:rsid w:val="00E8256A"/>
    <w:rsid w:val="00E82ACB"/>
    <w:rsid w:val="00E8383A"/>
    <w:rsid w:val="00E83D66"/>
    <w:rsid w:val="00E84A49"/>
    <w:rsid w:val="00E8752F"/>
    <w:rsid w:val="00E9242D"/>
    <w:rsid w:val="00E927B2"/>
    <w:rsid w:val="00E9304E"/>
    <w:rsid w:val="00E93F84"/>
    <w:rsid w:val="00E940FD"/>
    <w:rsid w:val="00EA011D"/>
    <w:rsid w:val="00EA0DA4"/>
    <w:rsid w:val="00EA1332"/>
    <w:rsid w:val="00EA3F4C"/>
    <w:rsid w:val="00EA4258"/>
    <w:rsid w:val="00EB0411"/>
    <w:rsid w:val="00EB26AC"/>
    <w:rsid w:val="00EB50EF"/>
    <w:rsid w:val="00EB5255"/>
    <w:rsid w:val="00EB5C47"/>
    <w:rsid w:val="00EB6FC0"/>
    <w:rsid w:val="00EB756C"/>
    <w:rsid w:val="00EB780D"/>
    <w:rsid w:val="00EB7FDD"/>
    <w:rsid w:val="00EC44D8"/>
    <w:rsid w:val="00EC4B6F"/>
    <w:rsid w:val="00EC5C48"/>
    <w:rsid w:val="00EC5F16"/>
    <w:rsid w:val="00ED0639"/>
    <w:rsid w:val="00ED0ED0"/>
    <w:rsid w:val="00ED2062"/>
    <w:rsid w:val="00ED41F7"/>
    <w:rsid w:val="00ED59C7"/>
    <w:rsid w:val="00EE60DD"/>
    <w:rsid w:val="00EF18E7"/>
    <w:rsid w:val="00EF3021"/>
    <w:rsid w:val="00EF4755"/>
    <w:rsid w:val="00EF583C"/>
    <w:rsid w:val="00EF7135"/>
    <w:rsid w:val="00F001FD"/>
    <w:rsid w:val="00F027DB"/>
    <w:rsid w:val="00F02F34"/>
    <w:rsid w:val="00F04899"/>
    <w:rsid w:val="00F057A3"/>
    <w:rsid w:val="00F05E1E"/>
    <w:rsid w:val="00F05F7C"/>
    <w:rsid w:val="00F14A7A"/>
    <w:rsid w:val="00F2037E"/>
    <w:rsid w:val="00F22985"/>
    <w:rsid w:val="00F23E1C"/>
    <w:rsid w:val="00F27874"/>
    <w:rsid w:val="00F326D3"/>
    <w:rsid w:val="00F3383E"/>
    <w:rsid w:val="00F3556B"/>
    <w:rsid w:val="00F36141"/>
    <w:rsid w:val="00F3633A"/>
    <w:rsid w:val="00F3668E"/>
    <w:rsid w:val="00F36FCD"/>
    <w:rsid w:val="00F37073"/>
    <w:rsid w:val="00F37622"/>
    <w:rsid w:val="00F446F6"/>
    <w:rsid w:val="00F44BFC"/>
    <w:rsid w:val="00F465A7"/>
    <w:rsid w:val="00F50B7C"/>
    <w:rsid w:val="00F550E6"/>
    <w:rsid w:val="00F56017"/>
    <w:rsid w:val="00F56EB5"/>
    <w:rsid w:val="00F57684"/>
    <w:rsid w:val="00F57DB7"/>
    <w:rsid w:val="00F61C6D"/>
    <w:rsid w:val="00F64EE0"/>
    <w:rsid w:val="00F66EAD"/>
    <w:rsid w:val="00F675A1"/>
    <w:rsid w:val="00F7160E"/>
    <w:rsid w:val="00F72565"/>
    <w:rsid w:val="00F728B2"/>
    <w:rsid w:val="00F74345"/>
    <w:rsid w:val="00F74624"/>
    <w:rsid w:val="00F75466"/>
    <w:rsid w:val="00F77C52"/>
    <w:rsid w:val="00F804C1"/>
    <w:rsid w:val="00F80A0A"/>
    <w:rsid w:val="00F825D6"/>
    <w:rsid w:val="00F82B19"/>
    <w:rsid w:val="00F84779"/>
    <w:rsid w:val="00F86B90"/>
    <w:rsid w:val="00F9212D"/>
    <w:rsid w:val="00F92658"/>
    <w:rsid w:val="00F965DA"/>
    <w:rsid w:val="00F96709"/>
    <w:rsid w:val="00F9744C"/>
    <w:rsid w:val="00FA04C8"/>
    <w:rsid w:val="00FA406A"/>
    <w:rsid w:val="00FA6112"/>
    <w:rsid w:val="00FB1A3F"/>
    <w:rsid w:val="00FB32CA"/>
    <w:rsid w:val="00FB3795"/>
    <w:rsid w:val="00FB503A"/>
    <w:rsid w:val="00FB516C"/>
    <w:rsid w:val="00FB5B40"/>
    <w:rsid w:val="00FC1E7A"/>
    <w:rsid w:val="00FC3B9A"/>
    <w:rsid w:val="00FC47F0"/>
    <w:rsid w:val="00FC6ADD"/>
    <w:rsid w:val="00FD0236"/>
    <w:rsid w:val="00FD18F4"/>
    <w:rsid w:val="00FD54DB"/>
    <w:rsid w:val="00FD619F"/>
    <w:rsid w:val="00FD7D4D"/>
    <w:rsid w:val="00FE0885"/>
    <w:rsid w:val="00FE0BA5"/>
    <w:rsid w:val="00FE6760"/>
    <w:rsid w:val="00FE68B4"/>
    <w:rsid w:val="00FE6A7E"/>
    <w:rsid w:val="00FF103A"/>
    <w:rsid w:val="00FF10F6"/>
    <w:rsid w:val="00FF40C6"/>
    <w:rsid w:val="00FF4454"/>
    <w:rsid w:val="01290F7E"/>
    <w:rsid w:val="013637D1"/>
    <w:rsid w:val="015D1E09"/>
    <w:rsid w:val="017F4C7E"/>
    <w:rsid w:val="01985FCB"/>
    <w:rsid w:val="01AC75F0"/>
    <w:rsid w:val="01FB40D3"/>
    <w:rsid w:val="022352DD"/>
    <w:rsid w:val="024F3E0A"/>
    <w:rsid w:val="02697903"/>
    <w:rsid w:val="02C167B0"/>
    <w:rsid w:val="02CE12C7"/>
    <w:rsid w:val="02F16316"/>
    <w:rsid w:val="02F96569"/>
    <w:rsid w:val="036F2169"/>
    <w:rsid w:val="03C16FD8"/>
    <w:rsid w:val="03DF0436"/>
    <w:rsid w:val="03EA7B21"/>
    <w:rsid w:val="04290887"/>
    <w:rsid w:val="04D379E7"/>
    <w:rsid w:val="05027E6C"/>
    <w:rsid w:val="05474BB5"/>
    <w:rsid w:val="05C235C9"/>
    <w:rsid w:val="05F83EAE"/>
    <w:rsid w:val="062220DC"/>
    <w:rsid w:val="063E7D85"/>
    <w:rsid w:val="06B9343A"/>
    <w:rsid w:val="06D33870"/>
    <w:rsid w:val="06DF1460"/>
    <w:rsid w:val="07293586"/>
    <w:rsid w:val="07295285"/>
    <w:rsid w:val="07636392"/>
    <w:rsid w:val="07770C56"/>
    <w:rsid w:val="07C57F88"/>
    <w:rsid w:val="07F438B2"/>
    <w:rsid w:val="08104767"/>
    <w:rsid w:val="08134822"/>
    <w:rsid w:val="0838450F"/>
    <w:rsid w:val="08DF64BB"/>
    <w:rsid w:val="08E06CF9"/>
    <w:rsid w:val="0907134B"/>
    <w:rsid w:val="092217DD"/>
    <w:rsid w:val="093A7294"/>
    <w:rsid w:val="095D768E"/>
    <w:rsid w:val="0A05247C"/>
    <w:rsid w:val="0A0867D9"/>
    <w:rsid w:val="0A263993"/>
    <w:rsid w:val="0A287A2F"/>
    <w:rsid w:val="0A2D3AC2"/>
    <w:rsid w:val="0A775E1F"/>
    <w:rsid w:val="0A955F39"/>
    <w:rsid w:val="0A99080F"/>
    <w:rsid w:val="0AA755DF"/>
    <w:rsid w:val="0AE0655C"/>
    <w:rsid w:val="0B04687D"/>
    <w:rsid w:val="0B120D44"/>
    <w:rsid w:val="0B2C3BE5"/>
    <w:rsid w:val="0B99503A"/>
    <w:rsid w:val="0BA650B0"/>
    <w:rsid w:val="0BD27BF6"/>
    <w:rsid w:val="0C3B3C7D"/>
    <w:rsid w:val="0C6C7ADF"/>
    <w:rsid w:val="0C727688"/>
    <w:rsid w:val="0C8064A1"/>
    <w:rsid w:val="0CAB2EAE"/>
    <w:rsid w:val="0CFA1B57"/>
    <w:rsid w:val="0D117E17"/>
    <w:rsid w:val="0D621C7D"/>
    <w:rsid w:val="0D88050D"/>
    <w:rsid w:val="0E2A3CED"/>
    <w:rsid w:val="0E5054DE"/>
    <w:rsid w:val="0E73034D"/>
    <w:rsid w:val="0E9E6F6E"/>
    <w:rsid w:val="0EC17E0E"/>
    <w:rsid w:val="0EE04D7C"/>
    <w:rsid w:val="0F13775A"/>
    <w:rsid w:val="0F2D5AA7"/>
    <w:rsid w:val="0F3240DF"/>
    <w:rsid w:val="0F386966"/>
    <w:rsid w:val="0F5F45FE"/>
    <w:rsid w:val="0F7B788F"/>
    <w:rsid w:val="0F9A112B"/>
    <w:rsid w:val="0F9C0108"/>
    <w:rsid w:val="0FA51A26"/>
    <w:rsid w:val="106D2F64"/>
    <w:rsid w:val="10844DD5"/>
    <w:rsid w:val="10A26BE6"/>
    <w:rsid w:val="10B63710"/>
    <w:rsid w:val="10BA1208"/>
    <w:rsid w:val="10F10820"/>
    <w:rsid w:val="10FE598E"/>
    <w:rsid w:val="111C2F7A"/>
    <w:rsid w:val="113C74D4"/>
    <w:rsid w:val="114F1CDB"/>
    <w:rsid w:val="11533EE2"/>
    <w:rsid w:val="11621A79"/>
    <w:rsid w:val="11665CA1"/>
    <w:rsid w:val="11835941"/>
    <w:rsid w:val="11CD6857"/>
    <w:rsid w:val="125F15C4"/>
    <w:rsid w:val="128E1AE3"/>
    <w:rsid w:val="12A06CFD"/>
    <w:rsid w:val="12B97E2D"/>
    <w:rsid w:val="138C54D3"/>
    <w:rsid w:val="13951726"/>
    <w:rsid w:val="13B95B4F"/>
    <w:rsid w:val="14396509"/>
    <w:rsid w:val="147F6DE6"/>
    <w:rsid w:val="148D7E6F"/>
    <w:rsid w:val="14DD2C3C"/>
    <w:rsid w:val="14EB396E"/>
    <w:rsid w:val="15437E13"/>
    <w:rsid w:val="15480AE3"/>
    <w:rsid w:val="15EE6A63"/>
    <w:rsid w:val="16087E1D"/>
    <w:rsid w:val="16134661"/>
    <w:rsid w:val="16C03316"/>
    <w:rsid w:val="16E45CEE"/>
    <w:rsid w:val="17497BD2"/>
    <w:rsid w:val="174D62B3"/>
    <w:rsid w:val="1767603B"/>
    <w:rsid w:val="176D7F93"/>
    <w:rsid w:val="17701D14"/>
    <w:rsid w:val="17735226"/>
    <w:rsid w:val="177469AA"/>
    <w:rsid w:val="178A26E7"/>
    <w:rsid w:val="17E56F60"/>
    <w:rsid w:val="17E66E5F"/>
    <w:rsid w:val="186F4456"/>
    <w:rsid w:val="189C1C81"/>
    <w:rsid w:val="189F624C"/>
    <w:rsid w:val="18AA234F"/>
    <w:rsid w:val="18BA531B"/>
    <w:rsid w:val="18BB4448"/>
    <w:rsid w:val="18BC23B6"/>
    <w:rsid w:val="1966549E"/>
    <w:rsid w:val="197C38F4"/>
    <w:rsid w:val="198A6011"/>
    <w:rsid w:val="1A1342F8"/>
    <w:rsid w:val="1A1C66C0"/>
    <w:rsid w:val="1A1F0E4F"/>
    <w:rsid w:val="1A3D7454"/>
    <w:rsid w:val="1A42393B"/>
    <w:rsid w:val="1A647C43"/>
    <w:rsid w:val="1A9B6BCF"/>
    <w:rsid w:val="1AAD45DE"/>
    <w:rsid w:val="1B046F80"/>
    <w:rsid w:val="1B1F577F"/>
    <w:rsid w:val="1B292471"/>
    <w:rsid w:val="1B3267B5"/>
    <w:rsid w:val="1B40161D"/>
    <w:rsid w:val="1B441859"/>
    <w:rsid w:val="1B6606B1"/>
    <w:rsid w:val="1B6F3F5F"/>
    <w:rsid w:val="1BB26287"/>
    <w:rsid w:val="1BF65BDF"/>
    <w:rsid w:val="1BFB5A6A"/>
    <w:rsid w:val="1C2C7808"/>
    <w:rsid w:val="1C5E7925"/>
    <w:rsid w:val="1C964CCC"/>
    <w:rsid w:val="1CD65C5D"/>
    <w:rsid w:val="1CFD070F"/>
    <w:rsid w:val="1CFE203E"/>
    <w:rsid w:val="1D1075D0"/>
    <w:rsid w:val="1D506D2A"/>
    <w:rsid w:val="1D54148D"/>
    <w:rsid w:val="1D56268C"/>
    <w:rsid w:val="1D5F6196"/>
    <w:rsid w:val="1D6132A5"/>
    <w:rsid w:val="1D707442"/>
    <w:rsid w:val="1D8E56D5"/>
    <w:rsid w:val="1E0C3498"/>
    <w:rsid w:val="1E206F43"/>
    <w:rsid w:val="1E7A43DA"/>
    <w:rsid w:val="1E7B133C"/>
    <w:rsid w:val="1E9B2DD4"/>
    <w:rsid w:val="1EB5581B"/>
    <w:rsid w:val="1F2611F4"/>
    <w:rsid w:val="1F452AE1"/>
    <w:rsid w:val="1F9811E7"/>
    <w:rsid w:val="1FE46201"/>
    <w:rsid w:val="1FE7539E"/>
    <w:rsid w:val="20064085"/>
    <w:rsid w:val="205E1FA5"/>
    <w:rsid w:val="20671BE0"/>
    <w:rsid w:val="206C46C2"/>
    <w:rsid w:val="20963CB8"/>
    <w:rsid w:val="20A81A1B"/>
    <w:rsid w:val="20B07FB6"/>
    <w:rsid w:val="20B646FB"/>
    <w:rsid w:val="20C93AF9"/>
    <w:rsid w:val="213B74B1"/>
    <w:rsid w:val="214320A3"/>
    <w:rsid w:val="215A2310"/>
    <w:rsid w:val="21A8797C"/>
    <w:rsid w:val="21CA6954"/>
    <w:rsid w:val="21CE77C5"/>
    <w:rsid w:val="21D56325"/>
    <w:rsid w:val="21DE318A"/>
    <w:rsid w:val="21E14C3C"/>
    <w:rsid w:val="21EF5B80"/>
    <w:rsid w:val="22222456"/>
    <w:rsid w:val="22576990"/>
    <w:rsid w:val="226E036B"/>
    <w:rsid w:val="22902CA4"/>
    <w:rsid w:val="22F47480"/>
    <w:rsid w:val="23645BCD"/>
    <w:rsid w:val="239A1546"/>
    <w:rsid w:val="23DE1C48"/>
    <w:rsid w:val="240210CD"/>
    <w:rsid w:val="24447577"/>
    <w:rsid w:val="24BF09F7"/>
    <w:rsid w:val="24F30A06"/>
    <w:rsid w:val="252D53FE"/>
    <w:rsid w:val="25EC2D81"/>
    <w:rsid w:val="25EF28D1"/>
    <w:rsid w:val="26516E72"/>
    <w:rsid w:val="26527EB6"/>
    <w:rsid w:val="268B2A9D"/>
    <w:rsid w:val="2731127B"/>
    <w:rsid w:val="27333506"/>
    <w:rsid w:val="2762606A"/>
    <w:rsid w:val="277057A2"/>
    <w:rsid w:val="27735D42"/>
    <w:rsid w:val="27AE656C"/>
    <w:rsid w:val="27D30E88"/>
    <w:rsid w:val="28045F82"/>
    <w:rsid w:val="28B371A5"/>
    <w:rsid w:val="28C12F19"/>
    <w:rsid w:val="28DE54FC"/>
    <w:rsid w:val="28F171AF"/>
    <w:rsid w:val="29206EB8"/>
    <w:rsid w:val="29370FFC"/>
    <w:rsid w:val="29595666"/>
    <w:rsid w:val="29874881"/>
    <w:rsid w:val="29D566A1"/>
    <w:rsid w:val="29E325E0"/>
    <w:rsid w:val="29EE7EF6"/>
    <w:rsid w:val="29FF252A"/>
    <w:rsid w:val="2A452503"/>
    <w:rsid w:val="2A4E5039"/>
    <w:rsid w:val="2AE3365B"/>
    <w:rsid w:val="2AF83194"/>
    <w:rsid w:val="2B1C10CE"/>
    <w:rsid w:val="2B716447"/>
    <w:rsid w:val="2B911481"/>
    <w:rsid w:val="2BA936A8"/>
    <w:rsid w:val="2BB24858"/>
    <w:rsid w:val="2BD70F6D"/>
    <w:rsid w:val="2C315A5A"/>
    <w:rsid w:val="2C4B1C25"/>
    <w:rsid w:val="2C7C7A3B"/>
    <w:rsid w:val="2C8F5FE1"/>
    <w:rsid w:val="2D37400A"/>
    <w:rsid w:val="2D6C440C"/>
    <w:rsid w:val="2D8C2804"/>
    <w:rsid w:val="2D9E56F5"/>
    <w:rsid w:val="2E667F96"/>
    <w:rsid w:val="2E67471B"/>
    <w:rsid w:val="2E6B1D1B"/>
    <w:rsid w:val="2E6B5F9A"/>
    <w:rsid w:val="2E8226AB"/>
    <w:rsid w:val="2E942B39"/>
    <w:rsid w:val="2F1A761F"/>
    <w:rsid w:val="2F3A60E3"/>
    <w:rsid w:val="2F8B75DA"/>
    <w:rsid w:val="2FCE5C39"/>
    <w:rsid w:val="2FD065E6"/>
    <w:rsid w:val="2FD96870"/>
    <w:rsid w:val="300D1DD0"/>
    <w:rsid w:val="30254764"/>
    <w:rsid w:val="30580BC9"/>
    <w:rsid w:val="30990E96"/>
    <w:rsid w:val="30AE4E49"/>
    <w:rsid w:val="30C73EA4"/>
    <w:rsid w:val="30D65765"/>
    <w:rsid w:val="311E2ED7"/>
    <w:rsid w:val="312A59EA"/>
    <w:rsid w:val="315619EE"/>
    <w:rsid w:val="315C449C"/>
    <w:rsid w:val="31A57A34"/>
    <w:rsid w:val="31B82709"/>
    <w:rsid w:val="31D05482"/>
    <w:rsid w:val="32400B34"/>
    <w:rsid w:val="32897E1C"/>
    <w:rsid w:val="32981379"/>
    <w:rsid w:val="329E6876"/>
    <w:rsid w:val="32AB5D01"/>
    <w:rsid w:val="32BD56A6"/>
    <w:rsid w:val="32C74BA9"/>
    <w:rsid w:val="32F72E8D"/>
    <w:rsid w:val="331F3816"/>
    <w:rsid w:val="332C16ED"/>
    <w:rsid w:val="333015F2"/>
    <w:rsid w:val="334B6320"/>
    <w:rsid w:val="334E6636"/>
    <w:rsid w:val="33501E4A"/>
    <w:rsid w:val="33527747"/>
    <w:rsid w:val="335E4607"/>
    <w:rsid w:val="337376D3"/>
    <w:rsid w:val="33D934D4"/>
    <w:rsid w:val="33EA31A7"/>
    <w:rsid w:val="33FE2F6A"/>
    <w:rsid w:val="340E07E5"/>
    <w:rsid w:val="34235BF7"/>
    <w:rsid w:val="34383D9A"/>
    <w:rsid w:val="343C6163"/>
    <w:rsid w:val="3495179E"/>
    <w:rsid w:val="357D0C50"/>
    <w:rsid w:val="3586450E"/>
    <w:rsid w:val="35883A00"/>
    <w:rsid w:val="358C5FA8"/>
    <w:rsid w:val="3596327C"/>
    <w:rsid w:val="35A61EB8"/>
    <w:rsid w:val="35B8665A"/>
    <w:rsid w:val="35C15DF1"/>
    <w:rsid w:val="36074A7F"/>
    <w:rsid w:val="3641163C"/>
    <w:rsid w:val="36577894"/>
    <w:rsid w:val="366F21BD"/>
    <w:rsid w:val="36923549"/>
    <w:rsid w:val="36B75FBF"/>
    <w:rsid w:val="36BD0C45"/>
    <w:rsid w:val="37166D64"/>
    <w:rsid w:val="37862924"/>
    <w:rsid w:val="37B97C84"/>
    <w:rsid w:val="37E00298"/>
    <w:rsid w:val="37EC5FE6"/>
    <w:rsid w:val="38561E35"/>
    <w:rsid w:val="38911C54"/>
    <w:rsid w:val="38B302F9"/>
    <w:rsid w:val="38F12CD3"/>
    <w:rsid w:val="38F94775"/>
    <w:rsid w:val="39203FFE"/>
    <w:rsid w:val="392971ED"/>
    <w:rsid w:val="39325651"/>
    <w:rsid w:val="39C0008E"/>
    <w:rsid w:val="3A1D5EDB"/>
    <w:rsid w:val="3A56477C"/>
    <w:rsid w:val="3A751F6D"/>
    <w:rsid w:val="3A872856"/>
    <w:rsid w:val="3A8A1C91"/>
    <w:rsid w:val="3AA76476"/>
    <w:rsid w:val="3B337E5E"/>
    <w:rsid w:val="3B3763D1"/>
    <w:rsid w:val="3B4C1E1D"/>
    <w:rsid w:val="3B5123CB"/>
    <w:rsid w:val="3B614791"/>
    <w:rsid w:val="3B6D76D3"/>
    <w:rsid w:val="3BED2703"/>
    <w:rsid w:val="3C2F6E1E"/>
    <w:rsid w:val="3C4F64BA"/>
    <w:rsid w:val="3C6B4749"/>
    <w:rsid w:val="3C6D73A0"/>
    <w:rsid w:val="3CDA245A"/>
    <w:rsid w:val="3D1E06B7"/>
    <w:rsid w:val="3D3D5401"/>
    <w:rsid w:val="3D917A06"/>
    <w:rsid w:val="3DC56D68"/>
    <w:rsid w:val="3DF31F7D"/>
    <w:rsid w:val="3DF73CE7"/>
    <w:rsid w:val="3DFD6240"/>
    <w:rsid w:val="3E29379B"/>
    <w:rsid w:val="3E765781"/>
    <w:rsid w:val="3E7E7642"/>
    <w:rsid w:val="3E806EB1"/>
    <w:rsid w:val="3E8A4F9E"/>
    <w:rsid w:val="3ECA4B48"/>
    <w:rsid w:val="3ECC2AA4"/>
    <w:rsid w:val="3EDA0523"/>
    <w:rsid w:val="3EEE0039"/>
    <w:rsid w:val="3EF00600"/>
    <w:rsid w:val="3F0B3A0A"/>
    <w:rsid w:val="3F6E64A0"/>
    <w:rsid w:val="3F926809"/>
    <w:rsid w:val="403503FB"/>
    <w:rsid w:val="407A6407"/>
    <w:rsid w:val="40905F1A"/>
    <w:rsid w:val="409B5894"/>
    <w:rsid w:val="40AF790C"/>
    <w:rsid w:val="40B3417D"/>
    <w:rsid w:val="41091CFF"/>
    <w:rsid w:val="410F2C4D"/>
    <w:rsid w:val="411E335F"/>
    <w:rsid w:val="412020E6"/>
    <w:rsid w:val="415B7F84"/>
    <w:rsid w:val="418A51A1"/>
    <w:rsid w:val="419378A9"/>
    <w:rsid w:val="41B41965"/>
    <w:rsid w:val="41B75138"/>
    <w:rsid w:val="41DB2618"/>
    <w:rsid w:val="41DF5F1B"/>
    <w:rsid w:val="4200449D"/>
    <w:rsid w:val="42366486"/>
    <w:rsid w:val="423A3BCC"/>
    <w:rsid w:val="423C4631"/>
    <w:rsid w:val="423D5921"/>
    <w:rsid w:val="42435874"/>
    <w:rsid w:val="424E57D2"/>
    <w:rsid w:val="42B26C49"/>
    <w:rsid w:val="42DD3505"/>
    <w:rsid w:val="430A6196"/>
    <w:rsid w:val="433A6FE6"/>
    <w:rsid w:val="43480868"/>
    <w:rsid w:val="4350713C"/>
    <w:rsid w:val="43566DE0"/>
    <w:rsid w:val="435B519B"/>
    <w:rsid w:val="435F23CA"/>
    <w:rsid w:val="436653E0"/>
    <w:rsid w:val="43C4431A"/>
    <w:rsid w:val="43C54BB5"/>
    <w:rsid w:val="43CC740D"/>
    <w:rsid w:val="44083ACA"/>
    <w:rsid w:val="440A0153"/>
    <w:rsid w:val="44935E12"/>
    <w:rsid w:val="44B951CC"/>
    <w:rsid w:val="44CD14E0"/>
    <w:rsid w:val="44F20B0B"/>
    <w:rsid w:val="452E5F4C"/>
    <w:rsid w:val="454551A7"/>
    <w:rsid w:val="45612018"/>
    <w:rsid w:val="458946E9"/>
    <w:rsid w:val="45A47C0E"/>
    <w:rsid w:val="4607616F"/>
    <w:rsid w:val="46577FD6"/>
    <w:rsid w:val="465B64BB"/>
    <w:rsid w:val="4662784A"/>
    <w:rsid w:val="46CD624D"/>
    <w:rsid w:val="46D955A7"/>
    <w:rsid w:val="47133957"/>
    <w:rsid w:val="47A07E0C"/>
    <w:rsid w:val="47D2124A"/>
    <w:rsid w:val="47DE0B15"/>
    <w:rsid w:val="47E440F8"/>
    <w:rsid w:val="47F16A4D"/>
    <w:rsid w:val="480F05D2"/>
    <w:rsid w:val="48541414"/>
    <w:rsid w:val="4870272E"/>
    <w:rsid w:val="4896651A"/>
    <w:rsid w:val="48D34A2F"/>
    <w:rsid w:val="48EC175E"/>
    <w:rsid w:val="492A3BE4"/>
    <w:rsid w:val="494A7116"/>
    <w:rsid w:val="495B1666"/>
    <w:rsid w:val="496433AE"/>
    <w:rsid w:val="4970210B"/>
    <w:rsid w:val="49917DE8"/>
    <w:rsid w:val="499B3937"/>
    <w:rsid w:val="49D35DF5"/>
    <w:rsid w:val="49DC7715"/>
    <w:rsid w:val="4A023139"/>
    <w:rsid w:val="4A062EB1"/>
    <w:rsid w:val="4A1D1740"/>
    <w:rsid w:val="4A7B576F"/>
    <w:rsid w:val="4A875FDB"/>
    <w:rsid w:val="4AE72962"/>
    <w:rsid w:val="4AF561A9"/>
    <w:rsid w:val="4B0F73DE"/>
    <w:rsid w:val="4B0F78AC"/>
    <w:rsid w:val="4B3D3B99"/>
    <w:rsid w:val="4BF23577"/>
    <w:rsid w:val="4BFE25DB"/>
    <w:rsid w:val="4C4634F1"/>
    <w:rsid w:val="4C4A0649"/>
    <w:rsid w:val="4C78250B"/>
    <w:rsid w:val="4C7E5ECA"/>
    <w:rsid w:val="4C8311CB"/>
    <w:rsid w:val="4C876AA5"/>
    <w:rsid w:val="4D0E00FB"/>
    <w:rsid w:val="4D112048"/>
    <w:rsid w:val="4D176606"/>
    <w:rsid w:val="4D6B5C52"/>
    <w:rsid w:val="4D6F4A7B"/>
    <w:rsid w:val="4DA90454"/>
    <w:rsid w:val="4DEC4FB0"/>
    <w:rsid w:val="4E075D8A"/>
    <w:rsid w:val="4E0F1241"/>
    <w:rsid w:val="4EC00FAD"/>
    <w:rsid w:val="4EC5306C"/>
    <w:rsid w:val="4F05568E"/>
    <w:rsid w:val="4F5575B8"/>
    <w:rsid w:val="4F7C5744"/>
    <w:rsid w:val="4F9843DC"/>
    <w:rsid w:val="4FB82BD0"/>
    <w:rsid w:val="4FC153E4"/>
    <w:rsid w:val="4FC62A8C"/>
    <w:rsid w:val="4FE20F0D"/>
    <w:rsid w:val="4FE51552"/>
    <w:rsid w:val="50504C4B"/>
    <w:rsid w:val="505446A7"/>
    <w:rsid w:val="509C6E7C"/>
    <w:rsid w:val="50CB07DD"/>
    <w:rsid w:val="50CE7C05"/>
    <w:rsid w:val="510238A1"/>
    <w:rsid w:val="5162104E"/>
    <w:rsid w:val="51D0595D"/>
    <w:rsid w:val="52043EAB"/>
    <w:rsid w:val="5229557F"/>
    <w:rsid w:val="52C27F12"/>
    <w:rsid w:val="52D14142"/>
    <w:rsid w:val="52FF2454"/>
    <w:rsid w:val="5363150A"/>
    <w:rsid w:val="53A039CC"/>
    <w:rsid w:val="53A1505A"/>
    <w:rsid w:val="53C03E02"/>
    <w:rsid w:val="53CE5EE0"/>
    <w:rsid w:val="53D669F4"/>
    <w:rsid w:val="54063E08"/>
    <w:rsid w:val="543437E8"/>
    <w:rsid w:val="54382F12"/>
    <w:rsid w:val="544F1C48"/>
    <w:rsid w:val="54C00BB1"/>
    <w:rsid w:val="54F73313"/>
    <w:rsid w:val="54F80955"/>
    <w:rsid w:val="555170A7"/>
    <w:rsid w:val="556E6389"/>
    <w:rsid w:val="5587536D"/>
    <w:rsid w:val="559B174B"/>
    <w:rsid w:val="55CE0CF4"/>
    <w:rsid w:val="56B22A9C"/>
    <w:rsid w:val="570551D0"/>
    <w:rsid w:val="57727B09"/>
    <w:rsid w:val="578130E3"/>
    <w:rsid w:val="57B72A76"/>
    <w:rsid w:val="57C049F1"/>
    <w:rsid w:val="57C3426C"/>
    <w:rsid w:val="57CE1F93"/>
    <w:rsid w:val="58000136"/>
    <w:rsid w:val="58101699"/>
    <w:rsid w:val="58124717"/>
    <w:rsid w:val="585B01EC"/>
    <w:rsid w:val="586144EF"/>
    <w:rsid w:val="586F67F3"/>
    <w:rsid w:val="588743D1"/>
    <w:rsid w:val="5887701A"/>
    <w:rsid w:val="58B8740D"/>
    <w:rsid w:val="58BD19D9"/>
    <w:rsid w:val="58C55960"/>
    <w:rsid w:val="58C94FFB"/>
    <w:rsid w:val="58E714F5"/>
    <w:rsid w:val="592A27C6"/>
    <w:rsid w:val="59C0439F"/>
    <w:rsid w:val="59D949F9"/>
    <w:rsid w:val="59EF593E"/>
    <w:rsid w:val="5ABE2233"/>
    <w:rsid w:val="5AD32CC4"/>
    <w:rsid w:val="5AE83531"/>
    <w:rsid w:val="5B372BFB"/>
    <w:rsid w:val="5B435268"/>
    <w:rsid w:val="5B52500C"/>
    <w:rsid w:val="5B6D7E13"/>
    <w:rsid w:val="5B9261ED"/>
    <w:rsid w:val="5BC53F6F"/>
    <w:rsid w:val="5BDE1292"/>
    <w:rsid w:val="5BDF5D95"/>
    <w:rsid w:val="5BFE7528"/>
    <w:rsid w:val="5CBF3F55"/>
    <w:rsid w:val="5E2467F1"/>
    <w:rsid w:val="5E2735E1"/>
    <w:rsid w:val="5E2D53C8"/>
    <w:rsid w:val="5E3C4389"/>
    <w:rsid w:val="5F1A2B43"/>
    <w:rsid w:val="5F3E1E41"/>
    <w:rsid w:val="5FB837BB"/>
    <w:rsid w:val="60151BC1"/>
    <w:rsid w:val="603A6B7E"/>
    <w:rsid w:val="606C695F"/>
    <w:rsid w:val="608C0FF4"/>
    <w:rsid w:val="60CC405A"/>
    <w:rsid w:val="60D07D7A"/>
    <w:rsid w:val="61357BDD"/>
    <w:rsid w:val="61E215D8"/>
    <w:rsid w:val="621B3775"/>
    <w:rsid w:val="62364782"/>
    <w:rsid w:val="6271012F"/>
    <w:rsid w:val="62AC242B"/>
    <w:rsid w:val="62F553D0"/>
    <w:rsid w:val="63072016"/>
    <w:rsid w:val="63650113"/>
    <w:rsid w:val="6394356A"/>
    <w:rsid w:val="63B77607"/>
    <w:rsid w:val="63C61B2C"/>
    <w:rsid w:val="63D40BE9"/>
    <w:rsid w:val="63F70A4B"/>
    <w:rsid w:val="64033421"/>
    <w:rsid w:val="64102431"/>
    <w:rsid w:val="64452173"/>
    <w:rsid w:val="647A2BDD"/>
    <w:rsid w:val="64915A72"/>
    <w:rsid w:val="64986E00"/>
    <w:rsid w:val="64A5243A"/>
    <w:rsid w:val="64F531DE"/>
    <w:rsid w:val="65373578"/>
    <w:rsid w:val="653D09BB"/>
    <w:rsid w:val="6543450A"/>
    <w:rsid w:val="6557354E"/>
    <w:rsid w:val="658070D6"/>
    <w:rsid w:val="658C3B58"/>
    <w:rsid w:val="65C9123C"/>
    <w:rsid w:val="66072780"/>
    <w:rsid w:val="664C1584"/>
    <w:rsid w:val="66560D21"/>
    <w:rsid w:val="667A11E5"/>
    <w:rsid w:val="66DD2A6B"/>
    <w:rsid w:val="671F124A"/>
    <w:rsid w:val="6739419F"/>
    <w:rsid w:val="6746111A"/>
    <w:rsid w:val="677A33C6"/>
    <w:rsid w:val="68064081"/>
    <w:rsid w:val="681F6961"/>
    <w:rsid w:val="68442DFB"/>
    <w:rsid w:val="68610A2F"/>
    <w:rsid w:val="68805514"/>
    <w:rsid w:val="6892654B"/>
    <w:rsid w:val="68C53F3C"/>
    <w:rsid w:val="68FD25A3"/>
    <w:rsid w:val="69066C92"/>
    <w:rsid w:val="69316E2F"/>
    <w:rsid w:val="694E2071"/>
    <w:rsid w:val="69747D96"/>
    <w:rsid w:val="69766163"/>
    <w:rsid w:val="697A3B33"/>
    <w:rsid w:val="69CE6E20"/>
    <w:rsid w:val="69D44760"/>
    <w:rsid w:val="69FB2B09"/>
    <w:rsid w:val="69FE3A8B"/>
    <w:rsid w:val="6A0D3B18"/>
    <w:rsid w:val="6A520EC7"/>
    <w:rsid w:val="6A5C26FE"/>
    <w:rsid w:val="6A622E47"/>
    <w:rsid w:val="6A74729B"/>
    <w:rsid w:val="6A8556AB"/>
    <w:rsid w:val="6A902328"/>
    <w:rsid w:val="6AD82F38"/>
    <w:rsid w:val="6AF87E20"/>
    <w:rsid w:val="6B2F022A"/>
    <w:rsid w:val="6B322639"/>
    <w:rsid w:val="6B4B3105"/>
    <w:rsid w:val="6BEA0A76"/>
    <w:rsid w:val="6C636C38"/>
    <w:rsid w:val="6D033F9F"/>
    <w:rsid w:val="6D113010"/>
    <w:rsid w:val="6D8545BE"/>
    <w:rsid w:val="6DA63E09"/>
    <w:rsid w:val="6DB34098"/>
    <w:rsid w:val="6DB545B6"/>
    <w:rsid w:val="6DE02FB4"/>
    <w:rsid w:val="6DFB21AE"/>
    <w:rsid w:val="6E514CED"/>
    <w:rsid w:val="6E67025A"/>
    <w:rsid w:val="6E706FDE"/>
    <w:rsid w:val="6E9B51D1"/>
    <w:rsid w:val="6EA33CF4"/>
    <w:rsid w:val="6EB563D5"/>
    <w:rsid w:val="6ED92677"/>
    <w:rsid w:val="6EF94770"/>
    <w:rsid w:val="6F225983"/>
    <w:rsid w:val="6FBD613F"/>
    <w:rsid w:val="6FEE27CB"/>
    <w:rsid w:val="6FFC5590"/>
    <w:rsid w:val="70010AB8"/>
    <w:rsid w:val="701201E0"/>
    <w:rsid w:val="706D1DD0"/>
    <w:rsid w:val="70700C31"/>
    <w:rsid w:val="707A08E1"/>
    <w:rsid w:val="70856B87"/>
    <w:rsid w:val="708D0F8E"/>
    <w:rsid w:val="70A419DB"/>
    <w:rsid w:val="70D527EE"/>
    <w:rsid w:val="710E21F8"/>
    <w:rsid w:val="715A0AFD"/>
    <w:rsid w:val="715B5300"/>
    <w:rsid w:val="71664AA5"/>
    <w:rsid w:val="71A142CC"/>
    <w:rsid w:val="71D27F8A"/>
    <w:rsid w:val="72261199"/>
    <w:rsid w:val="72553024"/>
    <w:rsid w:val="72921C61"/>
    <w:rsid w:val="730A137F"/>
    <w:rsid w:val="73122968"/>
    <w:rsid w:val="73142D6B"/>
    <w:rsid w:val="731F5D5E"/>
    <w:rsid w:val="73857529"/>
    <w:rsid w:val="73A478B6"/>
    <w:rsid w:val="73AC46F7"/>
    <w:rsid w:val="73C51AD5"/>
    <w:rsid w:val="740C2DE4"/>
    <w:rsid w:val="741E793C"/>
    <w:rsid w:val="745E3944"/>
    <w:rsid w:val="74762A65"/>
    <w:rsid w:val="74856C75"/>
    <w:rsid w:val="74C10547"/>
    <w:rsid w:val="75073186"/>
    <w:rsid w:val="75963B29"/>
    <w:rsid w:val="75E91F88"/>
    <w:rsid w:val="76052538"/>
    <w:rsid w:val="7635099D"/>
    <w:rsid w:val="767D7C04"/>
    <w:rsid w:val="76953855"/>
    <w:rsid w:val="76C21ABB"/>
    <w:rsid w:val="77762421"/>
    <w:rsid w:val="77B56B1F"/>
    <w:rsid w:val="77B92741"/>
    <w:rsid w:val="780F09F4"/>
    <w:rsid w:val="786E1D9F"/>
    <w:rsid w:val="78A90480"/>
    <w:rsid w:val="79CE276B"/>
    <w:rsid w:val="7A1C3FAC"/>
    <w:rsid w:val="7A29287B"/>
    <w:rsid w:val="7A364017"/>
    <w:rsid w:val="7A8265E1"/>
    <w:rsid w:val="7A9F497D"/>
    <w:rsid w:val="7AA97EC5"/>
    <w:rsid w:val="7AB07205"/>
    <w:rsid w:val="7AE92E4B"/>
    <w:rsid w:val="7B686D42"/>
    <w:rsid w:val="7B772DF8"/>
    <w:rsid w:val="7B825CBD"/>
    <w:rsid w:val="7B841746"/>
    <w:rsid w:val="7B9642F1"/>
    <w:rsid w:val="7BB720BB"/>
    <w:rsid w:val="7C6C5AC7"/>
    <w:rsid w:val="7C954B88"/>
    <w:rsid w:val="7CC6544B"/>
    <w:rsid w:val="7CD32E12"/>
    <w:rsid w:val="7CDC0712"/>
    <w:rsid w:val="7D0239FF"/>
    <w:rsid w:val="7D592A4D"/>
    <w:rsid w:val="7D5E40CD"/>
    <w:rsid w:val="7D6848ED"/>
    <w:rsid w:val="7D9B6C51"/>
    <w:rsid w:val="7DCD56F2"/>
    <w:rsid w:val="7DF7700A"/>
    <w:rsid w:val="7E282B4B"/>
    <w:rsid w:val="7E3C487A"/>
    <w:rsid w:val="7E454594"/>
    <w:rsid w:val="7E6C5C55"/>
    <w:rsid w:val="7EDF70A6"/>
    <w:rsid w:val="7F001CE7"/>
    <w:rsid w:val="7F176D3A"/>
    <w:rsid w:val="7F357588"/>
    <w:rsid w:val="7F58120E"/>
    <w:rsid w:val="7FD7741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ocked="1"/>
    <w:lsdException w:unhideWhenUsed="0" w:uiPriority="0" w:semiHidden="0" w:name="index 2" w:locked="1"/>
    <w:lsdException w:unhideWhenUsed="0" w:uiPriority="0" w:semiHidden="0" w:name="index 3" w:locked="1"/>
    <w:lsdException w:qFormat="1"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ocked="1"/>
    <w:lsdException w:qFormat="1" w:unhideWhenUsed="0" w:uiPriority="35"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99" w:semiHidden="0" w:name="Hyperlink" w:locked="1"/>
    <w:lsdException w:qFormat="1" w:uiPriority="99" w:semiHidden="0" w:name="FollowedHyperlink" w:locked="1"/>
    <w:lsdException w:qFormat="1" w:unhideWhenUsed="0" w:uiPriority="0" w:semiHidden="0" w:name="Strong" w:locked="1"/>
    <w:lsdException w:qFormat="1" w:unhideWhenUsed="0" w:uiPriority="0" w:semiHidden="0" w:name="Emphasis" w:locked="1"/>
    <w:lsdException w:qFormat="1" w:unhideWhenUsed="0" w:uiPriority="99"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ocked="1"/>
    <w:lsdException w:uiPriority="0" w:name="Table Grid 2" w:locked="1"/>
    <w:lsdException w:uiPriority="0" w:name="Table Grid 3" w:locked="1"/>
    <w:lsdException w:uiPriority="0" w:name="Table Grid 4" w:locked="1"/>
    <w:lsdException w:qFormat="1" w:unhideWhenUsed="0" w:uiPriority="0" w:semiHidden="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qFormat="1" w:unhideWhenUsed="0" w:uiPriority="0" w:semiHidden="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99" w:semiHidden="0" w:name="Table Grid"/>
    <w:lsdException w:qFormat="1" w:unhideWhenUsed="0" w:uiPriority="0" w:semiHidden="0" w:name="Table Theme" w:locked="1"/>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104"/>
    <w:qFormat/>
    <w:locked/>
    <w:uiPriority w:val="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8">
    <w:name w:val="heading 2"/>
    <w:basedOn w:val="1"/>
    <w:next w:val="1"/>
    <w:link w:val="105"/>
    <w:qFormat/>
    <w:locked/>
    <w:uiPriority w:val="9"/>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106"/>
    <w:qFormat/>
    <w:locked/>
    <w:uiPriority w:val="9"/>
    <w:pPr>
      <w:keepNext/>
      <w:keepLines/>
      <w:spacing w:before="260" w:after="260" w:line="416" w:lineRule="auto"/>
      <w:outlineLvl w:val="2"/>
    </w:pPr>
    <w:rPr>
      <w:b/>
      <w:bCs/>
      <w:sz w:val="32"/>
      <w:szCs w:val="32"/>
    </w:rPr>
  </w:style>
  <w:style w:type="paragraph" w:styleId="10">
    <w:name w:val="heading 4"/>
    <w:basedOn w:val="1"/>
    <w:next w:val="1"/>
    <w:link w:val="107"/>
    <w:qFormat/>
    <w:locked/>
    <w:uiPriority w:val="0"/>
    <w:pPr>
      <w:keepNext/>
      <w:keepLines/>
      <w:spacing w:before="280" w:after="290" w:line="376" w:lineRule="auto"/>
      <w:outlineLvl w:val="3"/>
    </w:pPr>
    <w:rPr>
      <w:rFonts w:ascii="Cambria" w:hAnsi="Cambria"/>
      <w:b/>
      <w:bCs/>
      <w:sz w:val="28"/>
      <w:szCs w:val="28"/>
    </w:rPr>
  </w:style>
  <w:style w:type="paragraph" w:styleId="11">
    <w:name w:val="heading 5"/>
    <w:basedOn w:val="1"/>
    <w:next w:val="12"/>
    <w:link w:val="108"/>
    <w:qFormat/>
    <w:locked/>
    <w:uiPriority w:val="0"/>
    <w:pPr>
      <w:keepNext/>
      <w:keepLines/>
      <w:tabs>
        <w:tab w:val="left" w:pos="1008"/>
      </w:tabs>
      <w:spacing w:before="280" w:after="290" w:line="376" w:lineRule="auto"/>
      <w:ind w:left="1008" w:hanging="1008"/>
      <w:outlineLvl w:val="4"/>
    </w:pPr>
    <w:rPr>
      <w:b/>
      <w:sz w:val="28"/>
      <w:szCs w:val="20"/>
    </w:rPr>
  </w:style>
  <w:style w:type="paragraph" w:styleId="13">
    <w:name w:val="heading 6"/>
    <w:basedOn w:val="1"/>
    <w:next w:val="1"/>
    <w:link w:val="110"/>
    <w:qFormat/>
    <w:locked/>
    <w:uiPriority w:val="0"/>
    <w:pPr>
      <w:keepNext/>
      <w:keepLines/>
      <w:spacing w:line="360" w:lineRule="auto"/>
      <w:jc w:val="center"/>
      <w:outlineLvl w:val="5"/>
    </w:pPr>
    <w:rPr>
      <w:rFonts w:ascii="Arial" w:hAnsi="Arial"/>
      <w:b/>
      <w:bCs/>
      <w:sz w:val="24"/>
    </w:rPr>
  </w:style>
  <w:style w:type="paragraph" w:styleId="14">
    <w:name w:val="heading 7"/>
    <w:basedOn w:val="1"/>
    <w:next w:val="1"/>
    <w:link w:val="111"/>
    <w:qFormat/>
    <w:locked/>
    <w:uiPriority w:val="0"/>
    <w:pPr>
      <w:keepNext/>
      <w:keepLines/>
      <w:tabs>
        <w:tab w:val="left" w:pos="1296"/>
      </w:tabs>
      <w:adjustRightInd w:val="0"/>
      <w:snapToGrid w:val="0"/>
      <w:spacing w:before="240" w:after="64" w:line="320" w:lineRule="auto"/>
      <w:ind w:left="1296" w:leftChars="200" w:hanging="1296"/>
      <w:jc w:val="left"/>
      <w:outlineLvl w:val="6"/>
    </w:pPr>
    <w:rPr>
      <w:b/>
      <w:bCs/>
      <w:sz w:val="24"/>
    </w:rPr>
  </w:style>
  <w:style w:type="paragraph" w:styleId="15">
    <w:name w:val="heading 8"/>
    <w:basedOn w:val="1"/>
    <w:next w:val="12"/>
    <w:link w:val="112"/>
    <w:qFormat/>
    <w:locked/>
    <w:uiPriority w:val="0"/>
    <w:pPr>
      <w:keepNext/>
      <w:keepLines/>
      <w:tabs>
        <w:tab w:val="left" w:pos="1440"/>
      </w:tabs>
      <w:adjustRightInd w:val="0"/>
      <w:spacing w:line="360" w:lineRule="auto"/>
      <w:ind w:left="1440" w:hanging="1440"/>
      <w:textAlignment w:val="baseline"/>
      <w:outlineLvl w:val="7"/>
    </w:pPr>
    <w:rPr>
      <w:rFonts w:ascii="Arial" w:hAnsi="Arial"/>
      <w:kern w:val="0"/>
      <w:sz w:val="24"/>
      <w:szCs w:val="20"/>
    </w:rPr>
  </w:style>
  <w:style w:type="paragraph" w:styleId="16">
    <w:name w:val="heading 9"/>
    <w:basedOn w:val="1"/>
    <w:next w:val="12"/>
    <w:link w:val="113"/>
    <w:qFormat/>
    <w:locked/>
    <w:uiPriority w:val="0"/>
    <w:pPr>
      <w:keepNext/>
      <w:keepLines/>
      <w:tabs>
        <w:tab w:val="left" w:pos="1584"/>
      </w:tabs>
      <w:adjustRightInd w:val="0"/>
      <w:spacing w:line="360" w:lineRule="auto"/>
      <w:ind w:left="1584" w:hanging="1584"/>
      <w:textAlignment w:val="baseline"/>
      <w:outlineLvl w:val="8"/>
    </w:pPr>
    <w:rPr>
      <w:rFonts w:ascii="Arial" w:hAnsi="Arial"/>
      <w:kern w:val="0"/>
      <w:sz w:val="24"/>
      <w:szCs w:val="20"/>
    </w:rPr>
  </w:style>
  <w:style w:type="character" w:default="1" w:styleId="91">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43"/>
    <w:unhideWhenUsed/>
    <w:qFormat/>
    <w:locked/>
    <w:uiPriority w:val="99"/>
    <w:pPr>
      <w:ind w:firstLine="420" w:firstLineChars="200"/>
    </w:pPr>
    <w:rPr>
      <w:szCs w:val="24"/>
    </w:rPr>
  </w:style>
  <w:style w:type="paragraph" w:styleId="3">
    <w:name w:val="Body Text Indent"/>
    <w:basedOn w:val="1"/>
    <w:next w:val="4"/>
    <w:link w:val="123"/>
    <w:qFormat/>
    <w:uiPriority w:val="99"/>
    <w:pPr>
      <w:spacing w:after="120"/>
      <w:ind w:left="420" w:leftChars="200"/>
    </w:pPr>
    <w:rPr>
      <w:kern w:val="0"/>
      <w:sz w:val="24"/>
      <w:szCs w:val="20"/>
    </w:rPr>
  </w:style>
  <w:style w:type="paragraph" w:customStyle="1" w:styleId="4">
    <w:name w:val="样式 正文文本缩进 + 行距: 1.5 倍行距"/>
    <w:basedOn w:val="5"/>
    <w:next w:val="1"/>
    <w:qFormat/>
    <w:uiPriority w:val="0"/>
    <w:pPr>
      <w:ind w:left="90" w:leftChars="32" w:firstLine="560"/>
    </w:pPr>
    <w:rPr>
      <w:rFonts w:cs="宋体"/>
    </w:rPr>
  </w:style>
  <w:style w:type="paragraph" w:customStyle="1" w:styleId="5">
    <w:name w:val="正文文本缩进1"/>
    <w:basedOn w:val="1"/>
    <w:next w:val="4"/>
    <w:qFormat/>
    <w:uiPriority w:val="0"/>
    <w:pPr>
      <w:spacing w:after="120" w:line="360" w:lineRule="auto"/>
      <w:ind w:left="420" w:leftChars="200" w:firstLine="200" w:firstLineChars="200"/>
    </w:pPr>
    <w:rPr>
      <w:sz w:val="24"/>
    </w:rPr>
  </w:style>
  <w:style w:type="paragraph" w:styleId="6">
    <w:name w:val="macro"/>
    <w:basedOn w:val="1"/>
    <w:link w:val="103"/>
    <w:qFormat/>
    <w:locked/>
    <w:uiPriority w:val="0"/>
    <w:pPr>
      <w:widowControl/>
      <w:spacing w:before="100" w:beforeAutospacing="1" w:after="100" w:afterAutospacing="1"/>
      <w:jc w:val="left"/>
    </w:pPr>
    <w:rPr>
      <w:rFonts w:ascii="宋体" w:hAnsi="宋体"/>
      <w:sz w:val="24"/>
    </w:rPr>
  </w:style>
  <w:style w:type="paragraph" w:styleId="12">
    <w:name w:val="Normal Indent"/>
    <w:basedOn w:val="1"/>
    <w:link w:val="109"/>
    <w:qFormat/>
    <w:locked/>
    <w:uiPriority w:val="99"/>
    <w:pPr>
      <w:ind w:firstLine="420" w:firstLineChars="200"/>
    </w:pPr>
  </w:style>
  <w:style w:type="paragraph" w:styleId="17">
    <w:name w:val="List 3"/>
    <w:basedOn w:val="1"/>
    <w:qFormat/>
    <w:locked/>
    <w:uiPriority w:val="0"/>
    <w:pPr>
      <w:spacing w:before="60"/>
      <w:ind w:left="1260" w:hanging="420"/>
    </w:pPr>
    <w:rPr>
      <w:rFonts w:ascii="Arial" w:hAnsi="Arial" w:eastAsia="仿宋_GB2312"/>
      <w:kern w:val="0"/>
      <w:sz w:val="24"/>
      <w:szCs w:val="20"/>
    </w:rPr>
  </w:style>
  <w:style w:type="paragraph" w:styleId="18">
    <w:name w:val="toc 7"/>
    <w:basedOn w:val="1"/>
    <w:next w:val="1"/>
    <w:qFormat/>
    <w:locked/>
    <w:uiPriority w:val="39"/>
    <w:pPr>
      <w:snapToGrid w:val="0"/>
      <w:spacing w:line="500" w:lineRule="exact"/>
      <w:ind w:left="1440"/>
      <w:jc w:val="left"/>
    </w:pPr>
    <w:rPr>
      <w:sz w:val="18"/>
      <w:szCs w:val="18"/>
    </w:rPr>
  </w:style>
  <w:style w:type="paragraph" w:styleId="19">
    <w:name w:val="List Number 2"/>
    <w:basedOn w:val="1"/>
    <w:qFormat/>
    <w:locked/>
    <w:uiPriority w:val="0"/>
    <w:pPr>
      <w:tabs>
        <w:tab w:val="left" w:pos="780"/>
      </w:tabs>
      <w:spacing w:before="60"/>
      <w:ind w:left="780" w:hanging="360"/>
    </w:pPr>
    <w:rPr>
      <w:rFonts w:ascii="Arial" w:hAnsi="Arial" w:eastAsia="仿宋_GB2312"/>
      <w:kern w:val="0"/>
      <w:sz w:val="24"/>
      <w:szCs w:val="20"/>
    </w:rPr>
  </w:style>
  <w:style w:type="paragraph" w:styleId="20">
    <w:name w:val="table of authorities"/>
    <w:basedOn w:val="1"/>
    <w:next w:val="1"/>
    <w:qFormat/>
    <w:locked/>
    <w:uiPriority w:val="0"/>
    <w:pPr>
      <w:ind w:left="210" w:hanging="210"/>
      <w:jc w:val="left"/>
    </w:pPr>
    <w:rPr>
      <w:sz w:val="20"/>
      <w:szCs w:val="20"/>
    </w:rPr>
  </w:style>
  <w:style w:type="paragraph" w:styleId="21">
    <w:name w:val="Note Heading"/>
    <w:basedOn w:val="1"/>
    <w:next w:val="1"/>
    <w:link w:val="114"/>
    <w:qFormat/>
    <w:locked/>
    <w:uiPriority w:val="0"/>
    <w:pPr>
      <w:jc w:val="center"/>
    </w:pPr>
    <w:rPr>
      <w:rFonts w:ascii="Arial" w:hAnsi="Arial"/>
      <w:bCs/>
      <w:sz w:val="28"/>
      <w:szCs w:val="28"/>
    </w:rPr>
  </w:style>
  <w:style w:type="paragraph" w:styleId="22">
    <w:name w:val="List Bullet 4"/>
    <w:basedOn w:val="1"/>
    <w:qFormat/>
    <w:locked/>
    <w:uiPriority w:val="0"/>
    <w:pPr>
      <w:tabs>
        <w:tab w:val="left" w:pos="1620"/>
      </w:tabs>
      <w:spacing w:before="60"/>
      <w:ind w:left="1620" w:leftChars="600" w:hanging="360" w:hangingChars="200"/>
    </w:pPr>
    <w:rPr>
      <w:rFonts w:ascii="Arial" w:hAnsi="Arial" w:eastAsia="仿宋_GB2312"/>
      <w:kern w:val="0"/>
      <w:sz w:val="24"/>
      <w:szCs w:val="20"/>
    </w:rPr>
  </w:style>
  <w:style w:type="paragraph" w:styleId="23">
    <w:name w:val="E-mail Signature"/>
    <w:basedOn w:val="1"/>
    <w:link w:val="115"/>
    <w:qFormat/>
    <w:locked/>
    <w:uiPriority w:val="0"/>
    <w:pPr>
      <w:spacing w:before="60"/>
      <w:ind w:firstLine="482"/>
    </w:pPr>
    <w:rPr>
      <w:rFonts w:ascii="Arial" w:hAnsi="Arial" w:eastAsia="仿宋_GB2312"/>
      <w:sz w:val="24"/>
      <w:szCs w:val="22"/>
    </w:rPr>
  </w:style>
  <w:style w:type="paragraph" w:styleId="24">
    <w:name w:val="List Number"/>
    <w:basedOn w:val="1"/>
    <w:qFormat/>
    <w:locked/>
    <w:uiPriority w:val="0"/>
    <w:pPr>
      <w:tabs>
        <w:tab w:val="left" w:pos="360"/>
      </w:tabs>
      <w:spacing w:before="60"/>
      <w:ind w:left="360" w:hanging="360" w:hangingChars="200"/>
    </w:pPr>
    <w:rPr>
      <w:rFonts w:ascii="Arial" w:hAnsi="Arial" w:eastAsia="仿宋_GB2312"/>
      <w:kern w:val="0"/>
      <w:sz w:val="24"/>
      <w:szCs w:val="20"/>
    </w:rPr>
  </w:style>
  <w:style w:type="paragraph" w:styleId="25">
    <w:name w:val="caption"/>
    <w:basedOn w:val="1"/>
    <w:next w:val="1"/>
    <w:link w:val="116"/>
    <w:qFormat/>
    <w:locked/>
    <w:uiPriority w:val="35"/>
    <w:pPr>
      <w:snapToGrid w:val="0"/>
      <w:spacing w:line="500" w:lineRule="exact"/>
      <w:jc w:val="left"/>
    </w:pPr>
    <w:rPr>
      <w:rFonts w:ascii="Arial" w:hAnsi="Arial" w:eastAsia="黑体" w:cs="Arial"/>
      <w:sz w:val="20"/>
      <w:szCs w:val="20"/>
    </w:rPr>
  </w:style>
  <w:style w:type="paragraph" w:styleId="26">
    <w:name w:val="List Bullet"/>
    <w:basedOn w:val="1"/>
    <w:qFormat/>
    <w:locked/>
    <w:uiPriority w:val="0"/>
    <w:pPr>
      <w:numPr>
        <w:ilvl w:val="0"/>
        <w:numId w:val="1"/>
      </w:numPr>
      <w:spacing w:line="360" w:lineRule="auto"/>
    </w:pPr>
    <w:rPr>
      <w:sz w:val="24"/>
    </w:rPr>
  </w:style>
  <w:style w:type="paragraph" w:styleId="27">
    <w:name w:val="envelope address"/>
    <w:basedOn w:val="1"/>
    <w:qFormat/>
    <w:locked/>
    <w:uiPriority w:val="0"/>
    <w:pPr>
      <w:snapToGrid w:val="0"/>
      <w:spacing w:before="60"/>
      <w:ind w:left="2880" w:firstLine="482"/>
    </w:pPr>
    <w:rPr>
      <w:rFonts w:ascii="Arial" w:hAnsi="Arial" w:eastAsia="仿宋_GB2312" w:cs="Arial"/>
      <w:kern w:val="0"/>
      <w:sz w:val="24"/>
      <w:szCs w:val="20"/>
    </w:rPr>
  </w:style>
  <w:style w:type="paragraph" w:styleId="28">
    <w:name w:val="Document Map"/>
    <w:basedOn w:val="1"/>
    <w:link w:val="117"/>
    <w:qFormat/>
    <w:locked/>
    <w:uiPriority w:val="99"/>
    <w:pPr>
      <w:shd w:val="clear" w:color="auto" w:fill="000080"/>
    </w:pPr>
  </w:style>
  <w:style w:type="paragraph" w:styleId="29">
    <w:name w:val="toa heading"/>
    <w:basedOn w:val="1"/>
    <w:next w:val="1"/>
    <w:qFormat/>
    <w:locked/>
    <w:uiPriority w:val="0"/>
    <w:pPr>
      <w:spacing w:before="120"/>
    </w:pPr>
    <w:rPr>
      <w:rFonts w:ascii="Arial" w:hAnsi="Arial" w:cs="Arial"/>
      <w:sz w:val="24"/>
    </w:rPr>
  </w:style>
  <w:style w:type="paragraph" w:styleId="30">
    <w:name w:val="annotation text"/>
    <w:basedOn w:val="1"/>
    <w:link w:val="118"/>
    <w:qFormat/>
    <w:uiPriority w:val="0"/>
    <w:pPr>
      <w:jc w:val="left"/>
    </w:pPr>
    <w:rPr>
      <w:kern w:val="0"/>
      <w:sz w:val="24"/>
      <w:szCs w:val="20"/>
    </w:rPr>
  </w:style>
  <w:style w:type="paragraph" w:styleId="31">
    <w:name w:val="Salutation"/>
    <w:basedOn w:val="1"/>
    <w:next w:val="1"/>
    <w:link w:val="119"/>
    <w:qFormat/>
    <w:locked/>
    <w:uiPriority w:val="0"/>
  </w:style>
  <w:style w:type="paragraph" w:styleId="32">
    <w:name w:val="Body Text 3"/>
    <w:basedOn w:val="1"/>
    <w:link w:val="120"/>
    <w:qFormat/>
    <w:locked/>
    <w:uiPriority w:val="0"/>
    <w:pPr>
      <w:spacing w:line="360" w:lineRule="auto"/>
    </w:pPr>
    <w:rPr>
      <w:rFonts w:ascii="宋体" w:hAnsi="宋体"/>
      <w:sz w:val="24"/>
    </w:rPr>
  </w:style>
  <w:style w:type="paragraph" w:styleId="33">
    <w:name w:val="Closing"/>
    <w:basedOn w:val="1"/>
    <w:link w:val="121"/>
    <w:qFormat/>
    <w:locked/>
    <w:uiPriority w:val="0"/>
    <w:pPr>
      <w:spacing w:before="60"/>
      <w:ind w:left="4320" w:firstLine="482"/>
    </w:pPr>
    <w:rPr>
      <w:rFonts w:ascii="Arial" w:hAnsi="Arial" w:eastAsia="仿宋_GB2312"/>
      <w:sz w:val="24"/>
      <w:szCs w:val="22"/>
    </w:rPr>
  </w:style>
  <w:style w:type="paragraph" w:styleId="34">
    <w:name w:val="List Bullet 3"/>
    <w:basedOn w:val="1"/>
    <w:qFormat/>
    <w:locked/>
    <w:uiPriority w:val="0"/>
    <w:pPr>
      <w:tabs>
        <w:tab w:val="left" w:pos="1200"/>
      </w:tabs>
      <w:spacing w:before="60"/>
      <w:ind w:left="1200" w:hanging="360"/>
    </w:pPr>
    <w:rPr>
      <w:rFonts w:ascii="Arial" w:hAnsi="Arial" w:eastAsia="仿宋_GB2312"/>
      <w:kern w:val="0"/>
      <w:sz w:val="24"/>
      <w:szCs w:val="20"/>
    </w:rPr>
  </w:style>
  <w:style w:type="paragraph" w:styleId="35">
    <w:name w:val="Body Text"/>
    <w:basedOn w:val="1"/>
    <w:next w:val="36"/>
    <w:link w:val="122"/>
    <w:qFormat/>
    <w:uiPriority w:val="0"/>
    <w:pPr>
      <w:widowControl/>
      <w:snapToGrid w:val="0"/>
      <w:spacing w:before="60" w:after="160" w:line="259" w:lineRule="auto"/>
      <w:ind w:right="113"/>
    </w:pPr>
    <w:rPr>
      <w:kern w:val="0"/>
      <w:sz w:val="18"/>
      <w:szCs w:val="20"/>
    </w:rPr>
  </w:style>
  <w:style w:type="paragraph" w:styleId="36">
    <w:name w:val="List Bullet 5"/>
    <w:basedOn w:val="1"/>
    <w:qFormat/>
    <w:locked/>
    <w:uiPriority w:val="0"/>
    <w:pPr>
      <w:tabs>
        <w:tab w:val="left" w:pos="2040"/>
      </w:tabs>
      <w:spacing w:before="60"/>
      <w:ind w:left="2040" w:hanging="360"/>
    </w:pPr>
    <w:rPr>
      <w:rFonts w:ascii="Arial" w:hAnsi="Arial" w:eastAsia="仿宋_GB2312"/>
      <w:kern w:val="0"/>
      <w:sz w:val="24"/>
      <w:szCs w:val="20"/>
    </w:rPr>
  </w:style>
  <w:style w:type="paragraph" w:styleId="37">
    <w:name w:val="List Number 3"/>
    <w:basedOn w:val="1"/>
    <w:qFormat/>
    <w:locked/>
    <w:uiPriority w:val="0"/>
    <w:pPr>
      <w:tabs>
        <w:tab w:val="left" w:pos="1200"/>
      </w:tabs>
      <w:spacing w:before="60"/>
      <w:ind w:left="1200" w:hanging="360"/>
    </w:pPr>
    <w:rPr>
      <w:rFonts w:ascii="Arial" w:hAnsi="Arial" w:eastAsia="仿宋_GB2312"/>
      <w:kern w:val="0"/>
      <w:sz w:val="24"/>
      <w:szCs w:val="20"/>
    </w:rPr>
  </w:style>
  <w:style w:type="paragraph" w:styleId="38">
    <w:name w:val="List 2"/>
    <w:basedOn w:val="1"/>
    <w:qFormat/>
    <w:locked/>
    <w:uiPriority w:val="0"/>
    <w:pPr>
      <w:ind w:left="100" w:leftChars="200" w:hanging="200" w:hangingChars="200"/>
    </w:pPr>
    <w:rPr>
      <w:rFonts w:eastAsia="仿宋_GB2312"/>
      <w:snapToGrid w:val="0"/>
      <w:color w:val="000000"/>
      <w:kern w:val="0"/>
      <w:sz w:val="28"/>
      <w:szCs w:val="32"/>
    </w:rPr>
  </w:style>
  <w:style w:type="paragraph" w:styleId="39">
    <w:name w:val="List Continue"/>
    <w:basedOn w:val="1"/>
    <w:qFormat/>
    <w:locked/>
    <w:uiPriority w:val="0"/>
    <w:pPr>
      <w:spacing w:after="120"/>
      <w:ind w:left="420" w:leftChars="200"/>
    </w:pPr>
  </w:style>
  <w:style w:type="paragraph" w:styleId="40">
    <w:name w:val="Block Text"/>
    <w:basedOn w:val="1"/>
    <w:qFormat/>
    <w:locked/>
    <w:uiPriority w:val="0"/>
    <w:pPr>
      <w:autoSpaceDE w:val="0"/>
      <w:autoSpaceDN w:val="0"/>
      <w:adjustRightInd w:val="0"/>
      <w:ind w:left="98" w:right="72" w:firstLine="490" w:firstLineChars="175"/>
      <w:jc w:val="left"/>
    </w:pPr>
    <w:rPr>
      <w:rFonts w:ascii="宋体" w:hAnsi="宋体"/>
      <w:kern w:val="0"/>
      <w:sz w:val="28"/>
      <w:szCs w:val="26"/>
    </w:rPr>
  </w:style>
  <w:style w:type="paragraph" w:styleId="41">
    <w:name w:val="List Bullet 2"/>
    <w:basedOn w:val="1"/>
    <w:qFormat/>
    <w:locked/>
    <w:uiPriority w:val="0"/>
    <w:pPr>
      <w:tabs>
        <w:tab w:val="left" w:pos="780"/>
      </w:tabs>
      <w:spacing w:before="60"/>
      <w:ind w:left="780" w:leftChars="200" w:hanging="360" w:hangingChars="200"/>
    </w:pPr>
    <w:rPr>
      <w:rFonts w:ascii="Arial" w:hAnsi="Arial" w:eastAsia="仿宋_GB2312"/>
      <w:kern w:val="0"/>
      <w:sz w:val="24"/>
      <w:szCs w:val="20"/>
    </w:rPr>
  </w:style>
  <w:style w:type="paragraph" w:styleId="42">
    <w:name w:val="HTML Address"/>
    <w:basedOn w:val="1"/>
    <w:link w:val="125"/>
    <w:qFormat/>
    <w:locked/>
    <w:uiPriority w:val="0"/>
    <w:pPr>
      <w:spacing w:before="60"/>
      <w:ind w:firstLine="482"/>
    </w:pPr>
    <w:rPr>
      <w:rFonts w:ascii="Arial" w:hAnsi="Arial" w:eastAsia="仿宋_GB2312"/>
      <w:i/>
      <w:iCs/>
      <w:sz w:val="24"/>
      <w:szCs w:val="22"/>
    </w:rPr>
  </w:style>
  <w:style w:type="paragraph" w:styleId="43">
    <w:name w:val="index 4"/>
    <w:basedOn w:val="1"/>
    <w:next w:val="1"/>
    <w:qFormat/>
    <w:locked/>
    <w:uiPriority w:val="0"/>
    <w:pPr>
      <w:spacing w:line="360" w:lineRule="auto"/>
      <w:ind w:left="600" w:leftChars="600" w:firstLine="200" w:firstLineChars="200"/>
    </w:pPr>
    <w:rPr>
      <w:rFonts w:ascii="宋体"/>
      <w:sz w:val="24"/>
    </w:rPr>
  </w:style>
  <w:style w:type="paragraph" w:styleId="44">
    <w:name w:val="toc 5"/>
    <w:basedOn w:val="1"/>
    <w:next w:val="1"/>
    <w:qFormat/>
    <w:locked/>
    <w:uiPriority w:val="39"/>
    <w:pPr>
      <w:snapToGrid w:val="0"/>
      <w:spacing w:line="500" w:lineRule="exact"/>
      <w:ind w:left="960"/>
      <w:jc w:val="left"/>
    </w:pPr>
    <w:rPr>
      <w:sz w:val="18"/>
      <w:szCs w:val="18"/>
    </w:rPr>
  </w:style>
  <w:style w:type="paragraph" w:styleId="45">
    <w:name w:val="toc 3"/>
    <w:basedOn w:val="1"/>
    <w:next w:val="1"/>
    <w:qFormat/>
    <w:locked/>
    <w:uiPriority w:val="39"/>
    <w:pPr>
      <w:snapToGrid w:val="0"/>
      <w:spacing w:line="500" w:lineRule="exact"/>
      <w:ind w:left="480"/>
      <w:jc w:val="left"/>
    </w:pPr>
    <w:rPr>
      <w:i/>
      <w:iCs/>
      <w:sz w:val="20"/>
      <w:szCs w:val="20"/>
    </w:rPr>
  </w:style>
  <w:style w:type="paragraph" w:styleId="46">
    <w:name w:val="Plain Text"/>
    <w:basedOn w:val="1"/>
    <w:link w:val="102"/>
    <w:qFormat/>
    <w:locked/>
    <w:uiPriority w:val="0"/>
    <w:rPr>
      <w:rFonts w:ascii="宋体" w:hAnsi="Courier New" w:cs="Courier New"/>
    </w:rPr>
  </w:style>
  <w:style w:type="paragraph" w:styleId="47">
    <w:name w:val="List Number 4"/>
    <w:basedOn w:val="1"/>
    <w:qFormat/>
    <w:locked/>
    <w:uiPriority w:val="0"/>
    <w:pPr>
      <w:tabs>
        <w:tab w:val="left" w:pos="1620"/>
      </w:tabs>
      <w:spacing w:before="60"/>
      <w:ind w:left="1620" w:hanging="360"/>
    </w:pPr>
    <w:rPr>
      <w:rFonts w:ascii="Arial" w:hAnsi="Arial" w:eastAsia="仿宋_GB2312"/>
      <w:kern w:val="0"/>
      <w:sz w:val="24"/>
      <w:szCs w:val="20"/>
    </w:rPr>
  </w:style>
  <w:style w:type="paragraph" w:styleId="48">
    <w:name w:val="toc 8"/>
    <w:basedOn w:val="1"/>
    <w:next w:val="1"/>
    <w:qFormat/>
    <w:locked/>
    <w:uiPriority w:val="39"/>
    <w:pPr>
      <w:snapToGrid w:val="0"/>
      <w:spacing w:line="500" w:lineRule="exact"/>
      <w:ind w:left="1680"/>
      <w:jc w:val="left"/>
    </w:pPr>
    <w:rPr>
      <w:sz w:val="18"/>
      <w:szCs w:val="18"/>
    </w:rPr>
  </w:style>
  <w:style w:type="paragraph" w:styleId="49">
    <w:name w:val="Date"/>
    <w:basedOn w:val="1"/>
    <w:next w:val="1"/>
    <w:link w:val="126"/>
    <w:qFormat/>
    <w:uiPriority w:val="99"/>
    <w:pPr>
      <w:ind w:left="100" w:leftChars="2500"/>
    </w:pPr>
    <w:rPr>
      <w:kern w:val="0"/>
      <w:sz w:val="24"/>
      <w:szCs w:val="20"/>
    </w:rPr>
  </w:style>
  <w:style w:type="paragraph" w:styleId="50">
    <w:name w:val="Body Text Indent 2"/>
    <w:basedOn w:val="1"/>
    <w:link w:val="127"/>
    <w:qFormat/>
    <w:locked/>
    <w:uiPriority w:val="0"/>
    <w:pPr>
      <w:spacing w:before="120"/>
      <w:ind w:right="113" w:firstLine="570"/>
    </w:pPr>
    <w:rPr>
      <w:kern w:val="24"/>
      <w:sz w:val="28"/>
      <w:szCs w:val="20"/>
    </w:rPr>
  </w:style>
  <w:style w:type="paragraph" w:styleId="51">
    <w:name w:val="endnote text"/>
    <w:basedOn w:val="1"/>
    <w:link w:val="128"/>
    <w:qFormat/>
    <w:locked/>
    <w:uiPriority w:val="0"/>
    <w:pPr>
      <w:snapToGrid w:val="0"/>
      <w:jc w:val="left"/>
    </w:pPr>
  </w:style>
  <w:style w:type="paragraph" w:styleId="52">
    <w:name w:val="List Continue 5"/>
    <w:basedOn w:val="1"/>
    <w:qFormat/>
    <w:locked/>
    <w:uiPriority w:val="0"/>
    <w:pPr>
      <w:spacing w:before="60" w:after="120"/>
      <w:ind w:left="2100" w:firstLine="482"/>
    </w:pPr>
    <w:rPr>
      <w:rFonts w:ascii="Arial" w:hAnsi="Arial" w:eastAsia="仿宋_GB2312"/>
      <w:kern w:val="0"/>
      <w:sz w:val="24"/>
      <w:szCs w:val="20"/>
    </w:rPr>
  </w:style>
  <w:style w:type="paragraph" w:styleId="53">
    <w:name w:val="Balloon Text"/>
    <w:basedOn w:val="1"/>
    <w:link w:val="129"/>
    <w:semiHidden/>
    <w:qFormat/>
    <w:uiPriority w:val="0"/>
    <w:rPr>
      <w:kern w:val="0"/>
      <w:sz w:val="18"/>
      <w:szCs w:val="20"/>
    </w:rPr>
  </w:style>
  <w:style w:type="paragraph" w:styleId="54">
    <w:name w:val="footer"/>
    <w:basedOn w:val="1"/>
    <w:link w:val="130"/>
    <w:qFormat/>
    <w:uiPriority w:val="99"/>
    <w:pPr>
      <w:tabs>
        <w:tab w:val="center" w:pos="4153"/>
        <w:tab w:val="right" w:pos="8306"/>
      </w:tabs>
      <w:snapToGrid w:val="0"/>
      <w:jc w:val="left"/>
    </w:pPr>
    <w:rPr>
      <w:kern w:val="0"/>
      <w:sz w:val="18"/>
      <w:szCs w:val="20"/>
    </w:rPr>
  </w:style>
  <w:style w:type="paragraph" w:styleId="55">
    <w:name w:val="envelope return"/>
    <w:basedOn w:val="1"/>
    <w:qFormat/>
    <w:locked/>
    <w:uiPriority w:val="0"/>
    <w:pPr>
      <w:snapToGrid w:val="0"/>
      <w:spacing w:before="60"/>
      <w:ind w:firstLine="482"/>
    </w:pPr>
    <w:rPr>
      <w:rFonts w:ascii="Arial" w:hAnsi="Arial" w:eastAsia="仿宋_GB2312" w:cs="Arial"/>
      <w:kern w:val="0"/>
      <w:sz w:val="24"/>
      <w:szCs w:val="20"/>
    </w:rPr>
  </w:style>
  <w:style w:type="paragraph" w:styleId="56">
    <w:name w:val="header"/>
    <w:basedOn w:val="1"/>
    <w:next w:val="57"/>
    <w:link w:val="131"/>
    <w:qFormat/>
    <w:uiPriority w:val="99"/>
    <w:pPr>
      <w:pBdr>
        <w:bottom w:val="single" w:color="auto" w:sz="6" w:space="1"/>
      </w:pBdr>
      <w:tabs>
        <w:tab w:val="center" w:pos="4153"/>
        <w:tab w:val="right" w:pos="8306"/>
      </w:tabs>
      <w:snapToGrid w:val="0"/>
      <w:jc w:val="center"/>
    </w:pPr>
    <w:rPr>
      <w:kern w:val="0"/>
      <w:sz w:val="18"/>
      <w:szCs w:val="20"/>
    </w:rPr>
  </w:style>
  <w:style w:type="paragraph" w:customStyle="1" w:styleId="57">
    <w:name w:val="样式5"/>
    <w:basedOn w:val="58"/>
    <w:next w:val="1"/>
    <w:link w:val="263"/>
    <w:qFormat/>
    <w:uiPriority w:val="0"/>
    <w:pPr>
      <w:widowControl w:val="0"/>
      <w:snapToGrid/>
      <w:spacing w:before="0" w:after="0" w:line="240" w:lineRule="auto"/>
      <w:ind w:right="-105" w:rightChars="-50"/>
      <w:jc w:val="center"/>
    </w:pPr>
    <w:rPr>
      <w:rFonts w:ascii="宋体"/>
      <w:sz w:val="20"/>
      <w:szCs w:val="21"/>
    </w:rPr>
  </w:style>
  <w:style w:type="paragraph" w:customStyle="1" w:styleId="58">
    <w:name w:val="正文1"/>
    <w:basedOn w:val="35"/>
    <w:next w:val="1"/>
    <w:link w:val="264"/>
    <w:qFormat/>
    <w:uiPriority w:val="0"/>
    <w:pPr>
      <w:adjustRightInd w:val="0"/>
      <w:spacing w:line="500" w:lineRule="atLeast"/>
      <w:ind w:firstLine="567"/>
    </w:pPr>
    <w:rPr>
      <w:sz w:val="28"/>
    </w:rPr>
  </w:style>
  <w:style w:type="paragraph" w:styleId="59">
    <w:name w:val="Signature"/>
    <w:basedOn w:val="1"/>
    <w:link w:val="132"/>
    <w:qFormat/>
    <w:locked/>
    <w:uiPriority w:val="0"/>
    <w:pPr>
      <w:spacing w:before="60"/>
      <w:ind w:left="4320" w:firstLine="482"/>
    </w:pPr>
    <w:rPr>
      <w:rFonts w:ascii="Arial" w:hAnsi="Arial" w:eastAsia="仿宋_GB2312"/>
      <w:sz w:val="24"/>
      <w:szCs w:val="22"/>
    </w:rPr>
  </w:style>
  <w:style w:type="paragraph" w:styleId="60">
    <w:name w:val="toc 1"/>
    <w:basedOn w:val="1"/>
    <w:next w:val="1"/>
    <w:link w:val="133"/>
    <w:qFormat/>
    <w:locked/>
    <w:uiPriority w:val="39"/>
    <w:pPr>
      <w:tabs>
        <w:tab w:val="right" w:leader="dot" w:pos="9060"/>
      </w:tabs>
      <w:snapToGrid w:val="0"/>
      <w:spacing w:before="120" w:after="120" w:line="360" w:lineRule="auto"/>
      <w:jc w:val="left"/>
    </w:pPr>
    <w:rPr>
      <w:b/>
      <w:bCs/>
      <w:caps/>
      <w:sz w:val="20"/>
      <w:szCs w:val="20"/>
    </w:rPr>
  </w:style>
  <w:style w:type="paragraph" w:styleId="61">
    <w:name w:val="List Continue 4"/>
    <w:basedOn w:val="1"/>
    <w:qFormat/>
    <w:locked/>
    <w:uiPriority w:val="0"/>
    <w:pPr>
      <w:spacing w:before="60" w:after="120"/>
      <w:ind w:left="1680" w:firstLine="482"/>
    </w:pPr>
    <w:rPr>
      <w:rFonts w:ascii="Arial" w:hAnsi="Arial" w:eastAsia="仿宋_GB2312"/>
      <w:kern w:val="0"/>
      <w:sz w:val="24"/>
      <w:szCs w:val="20"/>
    </w:rPr>
  </w:style>
  <w:style w:type="paragraph" w:styleId="62">
    <w:name w:val="toc 4"/>
    <w:basedOn w:val="1"/>
    <w:next w:val="1"/>
    <w:qFormat/>
    <w:locked/>
    <w:uiPriority w:val="39"/>
    <w:pPr>
      <w:tabs>
        <w:tab w:val="right" w:leader="dot" w:pos="9060"/>
      </w:tabs>
      <w:snapToGrid w:val="0"/>
      <w:spacing w:line="360" w:lineRule="auto"/>
      <w:ind w:left="720"/>
      <w:jc w:val="left"/>
    </w:pPr>
    <w:rPr>
      <w:b/>
      <w:sz w:val="18"/>
      <w:szCs w:val="18"/>
    </w:rPr>
  </w:style>
  <w:style w:type="paragraph" w:styleId="63">
    <w:name w:val="index heading"/>
    <w:basedOn w:val="1"/>
    <w:next w:val="64"/>
    <w:qFormat/>
    <w:locked/>
    <w:uiPriority w:val="0"/>
  </w:style>
  <w:style w:type="paragraph" w:styleId="64">
    <w:name w:val="index 1"/>
    <w:basedOn w:val="1"/>
    <w:next w:val="1"/>
    <w:unhideWhenUsed/>
    <w:qFormat/>
    <w:locked/>
    <w:uiPriority w:val="0"/>
  </w:style>
  <w:style w:type="paragraph" w:styleId="65">
    <w:name w:val="Subtitle"/>
    <w:basedOn w:val="1"/>
    <w:link w:val="134"/>
    <w:qFormat/>
    <w:locked/>
    <w:uiPriority w:val="0"/>
    <w:pPr>
      <w:spacing w:before="240" w:after="60" w:line="312" w:lineRule="auto"/>
      <w:ind w:firstLine="482"/>
      <w:jc w:val="center"/>
      <w:outlineLvl w:val="1"/>
    </w:pPr>
    <w:rPr>
      <w:rFonts w:ascii="Arial" w:hAnsi="Arial" w:eastAsia="仿宋_GB2312"/>
      <w:b/>
      <w:bCs/>
      <w:kern w:val="28"/>
      <w:sz w:val="32"/>
      <w:szCs w:val="32"/>
    </w:rPr>
  </w:style>
  <w:style w:type="paragraph" w:styleId="66">
    <w:name w:val="List Number 5"/>
    <w:basedOn w:val="1"/>
    <w:qFormat/>
    <w:locked/>
    <w:uiPriority w:val="0"/>
    <w:pPr>
      <w:tabs>
        <w:tab w:val="left" w:pos="420"/>
      </w:tabs>
      <w:spacing w:before="60"/>
      <w:ind w:left="420" w:hanging="420"/>
    </w:pPr>
    <w:rPr>
      <w:rFonts w:ascii="Arial" w:hAnsi="Arial" w:eastAsia="仿宋_GB2312"/>
      <w:kern w:val="0"/>
      <w:sz w:val="24"/>
      <w:szCs w:val="20"/>
    </w:rPr>
  </w:style>
  <w:style w:type="paragraph" w:styleId="67">
    <w:name w:val="List"/>
    <w:basedOn w:val="1"/>
    <w:qFormat/>
    <w:locked/>
    <w:uiPriority w:val="0"/>
    <w:pPr>
      <w:snapToGrid w:val="0"/>
      <w:spacing w:line="500" w:lineRule="exact"/>
      <w:jc w:val="left"/>
    </w:pPr>
    <w:rPr>
      <w:szCs w:val="20"/>
    </w:rPr>
  </w:style>
  <w:style w:type="paragraph" w:styleId="68">
    <w:name w:val="footnote text"/>
    <w:basedOn w:val="1"/>
    <w:link w:val="135"/>
    <w:qFormat/>
    <w:locked/>
    <w:uiPriority w:val="0"/>
    <w:pPr>
      <w:snapToGrid w:val="0"/>
      <w:spacing w:line="360" w:lineRule="auto"/>
      <w:ind w:firstLine="200" w:firstLineChars="200"/>
      <w:jc w:val="left"/>
    </w:pPr>
    <w:rPr>
      <w:rFonts w:ascii="宋体"/>
      <w:sz w:val="18"/>
      <w:szCs w:val="18"/>
    </w:rPr>
  </w:style>
  <w:style w:type="paragraph" w:styleId="69">
    <w:name w:val="toc 6"/>
    <w:basedOn w:val="1"/>
    <w:next w:val="1"/>
    <w:qFormat/>
    <w:locked/>
    <w:uiPriority w:val="39"/>
    <w:pPr>
      <w:snapToGrid w:val="0"/>
      <w:spacing w:line="500" w:lineRule="exact"/>
      <w:ind w:left="1200"/>
      <w:jc w:val="left"/>
    </w:pPr>
    <w:rPr>
      <w:sz w:val="18"/>
      <w:szCs w:val="18"/>
    </w:rPr>
  </w:style>
  <w:style w:type="paragraph" w:styleId="70">
    <w:name w:val="List 5"/>
    <w:basedOn w:val="1"/>
    <w:qFormat/>
    <w:locked/>
    <w:uiPriority w:val="0"/>
    <w:pPr>
      <w:spacing w:before="60"/>
      <w:ind w:left="2100" w:hanging="420"/>
    </w:pPr>
    <w:rPr>
      <w:rFonts w:ascii="Arial" w:hAnsi="Arial" w:eastAsia="仿宋_GB2312"/>
      <w:kern w:val="0"/>
      <w:sz w:val="24"/>
      <w:szCs w:val="20"/>
    </w:rPr>
  </w:style>
  <w:style w:type="paragraph" w:styleId="71">
    <w:name w:val="Body Text Indent 3"/>
    <w:basedOn w:val="1"/>
    <w:link w:val="136"/>
    <w:qFormat/>
    <w:locked/>
    <w:uiPriority w:val="0"/>
    <w:pPr>
      <w:spacing w:after="120"/>
      <w:ind w:left="420" w:leftChars="200"/>
    </w:pPr>
    <w:rPr>
      <w:sz w:val="16"/>
      <w:szCs w:val="16"/>
    </w:rPr>
  </w:style>
  <w:style w:type="paragraph" w:styleId="72">
    <w:name w:val="table of figures"/>
    <w:basedOn w:val="1"/>
    <w:next w:val="1"/>
    <w:qFormat/>
    <w:locked/>
    <w:uiPriority w:val="0"/>
    <w:pPr>
      <w:tabs>
        <w:tab w:val="right" w:leader="dot" w:pos="8312"/>
      </w:tabs>
      <w:adjustRightInd w:val="0"/>
      <w:spacing w:line="360" w:lineRule="auto"/>
      <w:textAlignment w:val="baseline"/>
    </w:pPr>
    <w:rPr>
      <w:rFonts w:ascii="宋体"/>
      <w:kern w:val="0"/>
      <w:szCs w:val="20"/>
    </w:rPr>
  </w:style>
  <w:style w:type="paragraph" w:styleId="73">
    <w:name w:val="toc 2"/>
    <w:basedOn w:val="1"/>
    <w:next w:val="1"/>
    <w:qFormat/>
    <w:locked/>
    <w:uiPriority w:val="39"/>
    <w:pPr>
      <w:tabs>
        <w:tab w:val="right" w:leader="dot" w:pos="9060"/>
      </w:tabs>
      <w:snapToGrid w:val="0"/>
      <w:ind w:left="240"/>
      <w:jc w:val="left"/>
    </w:pPr>
    <w:rPr>
      <w:smallCaps/>
      <w:sz w:val="20"/>
      <w:szCs w:val="20"/>
    </w:rPr>
  </w:style>
  <w:style w:type="paragraph" w:styleId="74">
    <w:name w:val="toc 9"/>
    <w:basedOn w:val="1"/>
    <w:next w:val="1"/>
    <w:qFormat/>
    <w:locked/>
    <w:uiPriority w:val="39"/>
    <w:pPr>
      <w:snapToGrid w:val="0"/>
      <w:spacing w:line="500" w:lineRule="exact"/>
      <w:ind w:left="1920"/>
      <w:jc w:val="left"/>
    </w:pPr>
    <w:rPr>
      <w:sz w:val="18"/>
      <w:szCs w:val="18"/>
    </w:rPr>
  </w:style>
  <w:style w:type="paragraph" w:styleId="75">
    <w:name w:val="Body Text 2"/>
    <w:basedOn w:val="1"/>
    <w:link w:val="137"/>
    <w:qFormat/>
    <w:locked/>
    <w:uiPriority w:val="0"/>
    <w:rPr>
      <w:rFonts w:eastAsia="仿宋_GB2312"/>
      <w:sz w:val="32"/>
    </w:rPr>
  </w:style>
  <w:style w:type="paragraph" w:styleId="76">
    <w:name w:val="List 4"/>
    <w:basedOn w:val="1"/>
    <w:qFormat/>
    <w:locked/>
    <w:uiPriority w:val="0"/>
    <w:pPr>
      <w:spacing w:before="60"/>
      <w:ind w:left="1680" w:hanging="420"/>
    </w:pPr>
    <w:rPr>
      <w:rFonts w:ascii="Arial" w:hAnsi="Arial" w:eastAsia="仿宋_GB2312"/>
      <w:kern w:val="0"/>
      <w:sz w:val="24"/>
      <w:szCs w:val="20"/>
    </w:rPr>
  </w:style>
  <w:style w:type="paragraph" w:styleId="77">
    <w:name w:val="List Continue 2"/>
    <w:basedOn w:val="1"/>
    <w:qFormat/>
    <w:locked/>
    <w:uiPriority w:val="0"/>
    <w:pPr>
      <w:spacing w:before="60" w:after="120"/>
      <w:ind w:left="840" w:firstLine="482"/>
    </w:pPr>
    <w:rPr>
      <w:rFonts w:ascii="Arial" w:hAnsi="Arial" w:eastAsia="仿宋_GB2312"/>
      <w:kern w:val="0"/>
      <w:sz w:val="24"/>
      <w:szCs w:val="20"/>
    </w:rPr>
  </w:style>
  <w:style w:type="paragraph" w:styleId="78">
    <w:name w:val="Message Header"/>
    <w:basedOn w:val="1"/>
    <w:link w:val="138"/>
    <w:qFormat/>
    <w:locked/>
    <w:uiPriority w:val="0"/>
    <w:pPr>
      <w:pBdr>
        <w:top w:val="single" w:color="auto" w:sz="6" w:space="1"/>
        <w:left w:val="single" w:color="auto" w:sz="6" w:space="1"/>
        <w:bottom w:val="single" w:color="auto" w:sz="6" w:space="1"/>
        <w:right w:val="single" w:color="auto" w:sz="6" w:space="1"/>
      </w:pBdr>
      <w:shd w:val="pct20" w:color="auto" w:fill="auto"/>
      <w:spacing w:before="60"/>
      <w:ind w:left="1080" w:hanging="1080"/>
    </w:pPr>
    <w:rPr>
      <w:rFonts w:ascii="宋体" w:hAnsi="宋体" w:cs="宋体"/>
      <w:sz w:val="24"/>
    </w:rPr>
  </w:style>
  <w:style w:type="paragraph" w:styleId="79">
    <w:name w:val="HTML Preformatted"/>
    <w:basedOn w:val="1"/>
    <w:link w:val="139"/>
    <w:qFormat/>
    <w:locked/>
    <w:uiPriority w:val="0"/>
    <w:rPr>
      <w:rFonts w:ascii="Courier New" w:hAnsi="Courier New" w:cs="Courier New"/>
      <w:sz w:val="20"/>
      <w:szCs w:val="20"/>
    </w:rPr>
  </w:style>
  <w:style w:type="paragraph" w:styleId="80">
    <w:name w:val="Normal (Web)"/>
    <w:basedOn w:val="1"/>
    <w:link w:val="140"/>
    <w:qFormat/>
    <w:uiPriority w:val="0"/>
    <w:pPr>
      <w:widowControl/>
      <w:spacing w:before="100" w:beforeAutospacing="1" w:after="100" w:afterAutospacing="1"/>
      <w:jc w:val="left"/>
    </w:pPr>
    <w:rPr>
      <w:rFonts w:ascii="宋体" w:hAnsi="宋体"/>
      <w:kern w:val="0"/>
      <w:sz w:val="24"/>
      <w:szCs w:val="20"/>
    </w:rPr>
  </w:style>
  <w:style w:type="paragraph" w:styleId="81">
    <w:name w:val="List Continue 3"/>
    <w:basedOn w:val="1"/>
    <w:qFormat/>
    <w:locked/>
    <w:uiPriority w:val="0"/>
    <w:pPr>
      <w:spacing w:before="60" w:after="120"/>
      <w:ind w:left="1260" w:firstLine="482"/>
    </w:pPr>
    <w:rPr>
      <w:rFonts w:ascii="Arial" w:hAnsi="Arial" w:eastAsia="仿宋_GB2312"/>
      <w:kern w:val="0"/>
      <w:sz w:val="24"/>
      <w:szCs w:val="20"/>
    </w:rPr>
  </w:style>
  <w:style w:type="paragraph" w:styleId="82">
    <w:name w:val="Title"/>
    <w:basedOn w:val="1"/>
    <w:next w:val="1"/>
    <w:link w:val="141"/>
    <w:qFormat/>
    <w:locked/>
    <w:uiPriority w:val="0"/>
    <w:pPr>
      <w:spacing w:before="240" w:after="60"/>
      <w:jc w:val="center"/>
      <w:outlineLvl w:val="0"/>
    </w:pPr>
    <w:rPr>
      <w:rFonts w:ascii="Cambria" w:hAnsi="Cambria"/>
      <w:b/>
      <w:bCs/>
      <w:sz w:val="32"/>
      <w:szCs w:val="32"/>
    </w:rPr>
  </w:style>
  <w:style w:type="paragraph" w:styleId="83">
    <w:name w:val="annotation subject"/>
    <w:basedOn w:val="30"/>
    <w:next w:val="30"/>
    <w:link w:val="142"/>
    <w:semiHidden/>
    <w:qFormat/>
    <w:uiPriority w:val="0"/>
    <w:rPr>
      <w:b/>
    </w:rPr>
  </w:style>
  <w:style w:type="paragraph" w:styleId="84">
    <w:name w:val="Body Text First Indent"/>
    <w:basedOn w:val="35"/>
    <w:next w:val="1"/>
    <w:link w:val="124"/>
    <w:qFormat/>
    <w:locked/>
    <w:uiPriority w:val="0"/>
    <w:pPr>
      <w:widowControl w:val="0"/>
      <w:snapToGrid/>
      <w:spacing w:before="0" w:after="120" w:line="240" w:lineRule="auto"/>
      <w:ind w:right="0" w:firstLine="420" w:firstLineChars="100"/>
    </w:pPr>
    <w:rPr>
      <w:kern w:val="2"/>
      <w:sz w:val="21"/>
      <w:szCs w:val="24"/>
    </w:rPr>
  </w:style>
  <w:style w:type="table" w:styleId="86">
    <w:name w:val="Table Grid"/>
    <w:basedOn w:val="8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locked/>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Grid 1"/>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9">
    <w:name w:val="Table Grid 5"/>
    <w:basedOn w:val="85"/>
    <w:qFormat/>
    <w:locked/>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0">
    <w:name w:val="Table Professional"/>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2">
    <w:name w:val="Strong"/>
    <w:qFormat/>
    <w:locked/>
    <w:uiPriority w:val="0"/>
    <w:rPr>
      <w:b/>
      <w:bCs/>
    </w:rPr>
  </w:style>
  <w:style w:type="character" w:styleId="93">
    <w:name w:val="endnote reference"/>
    <w:qFormat/>
    <w:locked/>
    <w:uiPriority w:val="0"/>
    <w:rPr>
      <w:rFonts w:ascii="宋体" w:hAnsi="宋体" w:eastAsia="宋体" w:cs="宋体"/>
      <w:kern w:val="2"/>
      <w:sz w:val="21"/>
      <w:szCs w:val="24"/>
      <w:vertAlign w:val="superscript"/>
      <w:lang w:val="en-US" w:eastAsia="zh-CN" w:bidi="ar-SA"/>
    </w:rPr>
  </w:style>
  <w:style w:type="character" w:styleId="94">
    <w:name w:val="page number"/>
    <w:qFormat/>
    <w:locked/>
    <w:uiPriority w:val="0"/>
  </w:style>
  <w:style w:type="character" w:styleId="95">
    <w:name w:val="FollowedHyperlink"/>
    <w:unhideWhenUsed/>
    <w:qFormat/>
    <w:locked/>
    <w:uiPriority w:val="99"/>
    <w:rPr>
      <w:color w:val="954F72"/>
      <w:u w:val="single"/>
    </w:rPr>
  </w:style>
  <w:style w:type="character" w:styleId="96">
    <w:name w:val="Emphasis"/>
    <w:qFormat/>
    <w:locked/>
    <w:uiPriority w:val="0"/>
    <w:rPr>
      <w:rFonts w:ascii="宋体" w:hAnsi="宋体" w:eastAsia="宋体" w:cs="宋体"/>
      <w:color w:val="CC0000"/>
      <w:kern w:val="2"/>
      <w:sz w:val="24"/>
      <w:szCs w:val="24"/>
      <w:lang w:val="en-US" w:eastAsia="zh-CN" w:bidi="ar-SA"/>
    </w:rPr>
  </w:style>
  <w:style w:type="character" w:styleId="97">
    <w:name w:val="Hyperlink"/>
    <w:qFormat/>
    <w:locked/>
    <w:uiPriority w:val="99"/>
    <w:rPr>
      <w:color w:val="0000FF"/>
      <w:u w:val="single"/>
    </w:rPr>
  </w:style>
  <w:style w:type="character" w:styleId="98">
    <w:name w:val="HTML Code"/>
    <w:qFormat/>
    <w:locked/>
    <w:uiPriority w:val="0"/>
    <w:rPr>
      <w:rFonts w:ascii="黑体" w:hAnsi="Courier New" w:eastAsia="黑体" w:cs="Courier New"/>
      <w:sz w:val="24"/>
      <w:szCs w:val="24"/>
    </w:rPr>
  </w:style>
  <w:style w:type="character" w:styleId="99">
    <w:name w:val="annotation reference"/>
    <w:semiHidden/>
    <w:qFormat/>
    <w:uiPriority w:val="0"/>
    <w:rPr>
      <w:sz w:val="21"/>
    </w:rPr>
  </w:style>
  <w:style w:type="character" w:styleId="100">
    <w:name w:val="footnote reference"/>
    <w:qFormat/>
    <w:locked/>
    <w:uiPriority w:val="0"/>
    <w:rPr>
      <w:rFonts w:ascii="宋体" w:hAnsi="宋体" w:eastAsia="宋体" w:cs="宋体"/>
      <w:kern w:val="2"/>
      <w:sz w:val="24"/>
      <w:szCs w:val="24"/>
      <w:vertAlign w:val="superscript"/>
      <w:lang w:val="en-US" w:eastAsia="zh-CN" w:bidi="ar-SA"/>
    </w:rPr>
  </w:style>
  <w:style w:type="paragraph" w:customStyle="1" w:styleId="101">
    <w:name w:val="一般内容"/>
    <w:basedOn w:val="1"/>
    <w:qFormat/>
    <w:uiPriority w:val="0"/>
    <w:pPr>
      <w:spacing w:line="360" w:lineRule="auto"/>
      <w:ind w:firstLine="200" w:firstLineChars="200"/>
    </w:pPr>
    <w:rPr>
      <w:rFonts w:ascii="Arial" w:hAnsi="Arial"/>
      <w:bCs/>
      <w:sz w:val="24"/>
    </w:rPr>
  </w:style>
  <w:style w:type="character" w:customStyle="1" w:styleId="102">
    <w:name w:val="纯文本 字符"/>
    <w:link w:val="46"/>
    <w:qFormat/>
    <w:uiPriority w:val="0"/>
    <w:rPr>
      <w:rFonts w:ascii="宋体" w:hAnsi="Courier New" w:cs="Courier New"/>
      <w:kern w:val="2"/>
      <w:sz w:val="21"/>
      <w:szCs w:val="21"/>
    </w:rPr>
  </w:style>
  <w:style w:type="character" w:customStyle="1" w:styleId="103">
    <w:name w:val="宏文本 字符"/>
    <w:link w:val="6"/>
    <w:qFormat/>
    <w:uiPriority w:val="0"/>
    <w:rPr>
      <w:rFonts w:ascii="宋体" w:hAnsi="宋体"/>
      <w:kern w:val="2"/>
      <w:sz w:val="24"/>
      <w:szCs w:val="24"/>
    </w:rPr>
  </w:style>
  <w:style w:type="character" w:customStyle="1" w:styleId="104">
    <w:name w:val="标题 1 字符"/>
    <w:link w:val="7"/>
    <w:qFormat/>
    <w:uiPriority w:val="9"/>
    <w:rPr>
      <w:rFonts w:eastAsia="黑体"/>
      <w:b/>
      <w:bCs/>
      <w:color w:val="000000"/>
      <w:kern w:val="44"/>
      <w:sz w:val="30"/>
      <w:szCs w:val="30"/>
    </w:rPr>
  </w:style>
  <w:style w:type="character" w:customStyle="1" w:styleId="105">
    <w:name w:val="标题 2 字符"/>
    <w:link w:val="8"/>
    <w:qFormat/>
    <w:uiPriority w:val="9"/>
    <w:rPr>
      <w:rFonts w:ascii="Arial" w:hAnsi="Arial" w:eastAsia="黑体"/>
      <w:b/>
      <w:bCs/>
      <w:kern w:val="2"/>
      <w:sz w:val="32"/>
      <w:szCs w:val="32"/>
    </w:rPr>
  </w:style>
  <w:style w:type="character" w:customStyle="1" w:styleId="106">
    <w:name w:val="标题 3 字符"/>
    <w:link w:val="9"/>
    <w:qFormat/>
    <w:uiPriority w:val="9"/>
    <w:rPr>
      <w:b/>
      <w:bCs/>
      <w:kern w:val="2"/>
      <w:sz w:val="32"/>
      <w:szCs w:val="32"/>
    </w:rPr>
  </w:style>
  <w:style w:type="character" w:customStyle="1" w:styleId="107">
    <w:name w:val="标题 4 字符"/>
    <w:link w:val="10"/>
    <w:qFormat/>
    <w:uiPriority w:val="0"/>
    <w:rPr>
      <w:rFonts w:ascii="Cambria" w:hAnsi="Cambria"/>
      <w:b/>
      <w:bCs/>
      <w:kern w:val="2"/>
      <w:sz w:val="28"/>
      <w:szCs w:val="28"/>
    </w:rPr>
  </w:style>
  <w:style w:type="character" w:customStyle="1" w:styleId="108">
    <w:name w:val="标题 5 字符"/>
    <w:link w:val="11"/>
    <w:qFormat/>
    <w:uiPriority w:val="0"/>
    <w:rPr>
      <w:b/>
      <w:kern w:val="2"/>
      <w:sz w:val="28"/>
    </w:rPr>
  </w:style>
  <w:style w:type="character" w:customStyle="1" w:styleId="109">
    <w:name w:val="正文缩进 字符"/>
    <w:link w:val="12"/>
    <w:qFormat/>
    <w:uiPriority w:val="99"/>
    <w:rPr>
      <w:kern w:val="2"/>
      <w:sz w:val="21"/>
      <w:szCs w:val="24"/>
    </w:rPr>
  </w:style>
  <w:style w:type="character" w:customStyle="1" w:styleId="110">
    <w:name w:val="标题 6 字符"/>
    <w:link w:val="13"/>
    <w:qFormat/>
    <w:uiPriority w:val="0"/>
    <w:rPr>
      <w:rFonts w:ascii="Arial" w:hAnsi="Arial"/>
      <w:b/>
      <w:bCs/>
      <w:kern w:val="2"/>
      <w:sz w:val="24"/>
      <w:szCs w:val="24"/>
    </w:rPr>
  </w:style>
  <w:style w:type="character" w:customStyle="1" w:styleId="111">
    <w:name w:val="标题 7 字符"/>
    <w:link w:val="14"/>
    <w:qFormat/>
    <w:uiPriority w:val="0"/>
    <w:rPr>
      <w:b/>
      <w:bCs/>
      <w:kern w:val="2"/>
      <w:sz w:val="24"/>
      <w:szCs w:val="24"/>
    </w:rPr>
  </w:style>
  <w:style w:type="character" w:customStyle="1" w:styleId="112">
    <w:name w:val="标题 8 字符"/>
    <w:link w:val="15"/>
    <w:qFormat/>
    <w:uiPriority w:val="0"/>
    <w:rPr>
      <w:rFonts w:ascii="Arial" w:hAnsi="Arial"/>
      <w:sz w:val="24"/>
    </w:rPr>
  </w:style>
  <w:style w:type="character" w:customStyle="1" w:styleId="113">
    <w:name w:val="标题 9 字符"/>
    <w:link w:val="16"/>
    <w:qFormat/>
    <w:uiPriority w:val="0"/>
    <w:rPr>
      <w:rFonts w:ascii="Arial" w:hAnsi="Arial"/>
      <w:sz w:val="24"/>
    </w:rPr>
  </w:style>
  <w:style w:type="character" w:customStyle="1" w:styleId="114">
    <w:name w:val="注释标题 字符"/>
    <w:link w:val="21"/>
    <w:qFormat/>
    <w:uiPriority w:val="0"/>
    <w:rPr>
      <w:rFonts w:ascii="Arial" w:hAnsi="Arial"/>
      <w:bCs/>
      <w:kern w:val="2"/>
      <w:sz w:val="28"/>
      <w:szCs w:val="28"/>
    </w:rPr>
  </w:style>
  <w:style w:type="character" w:customStyle="1" w:styleId="115">
    <w:name w:val="电子邮件签名 字符"/>
    <w:link w:val="23"/>
    <w:qFormat/>
    <w:uiPriority w:val="0"/>
    <w:rPr>
      <w:rFonts w:ascii="Arial" w:hAnsi="Arial" w:eastAsia="仿宋_GB2312"/>
      <w:kern w:val="2"/>
      <w:sz w:val="24"/>
      <w:szCs w:val="22"/>
    </w:rPr>
  </w:style>
  <w:style w:type="character" w:customStyle="1" w:styleId="116">
    <w:name w:val="题注 字符"/>
    <w:link w:val="25"/>
    <w:qFormat/>
    <w:uiPriority w:val="35"/>
    <w:rPr>
      <w:rFonts w:ascii="Arial" w:hAnsi="Arial" w:eastAsia="黑体" w:cs="Arial"/>
      <w:kern w:val="2"/>
    </w:rPr>
  </w:style>
  <w:style w:type="character" w:customStyle="1" w:styleId="117">
    <w:name w:val="文档结构图 字符"/>
    <w:link w:val="28"/>
    <w:qFormat/>
    <w:uiPriority w:val="99"/>
    <w:rPr>
      <w:kern w:val="2"/>
      <w:sz w:val="21"/>
      <w:szCs w:val="24"/>
      <w:shd w:val="clear" w:color="auto" w:fill="000080"/>
    </w:rPr>
  </w:style>
  <w:style w:type="character" w:customStyle="1" w:styleId="118">
    <w:name w:val="批注文字 字符"/>
    <w:link w:val="30"/>
    <w:qFormat/>
    <w:locked/>
    <w:uiPriority w:val="0"/>
    <w:rPr>
      <w:rFonts w:ascii="Times New Roman" w:hAnsi="Times New Roman" w:eastAsia="宋体"/>
      <w:sz w:val="24"/>
    </w:rPr>
  </w:style>
  <w:style w:type="character" w:customStyle="1" w:styleId="119">
    <w:name w:val="称呼 字符"/>
    <w:link w:val="31"/>
    <w:qFormat/>
    <w:uiPriority w:val="0"/>
    <w:rPr>
      <w:kern w:val="2"/>
      <w:sz w:val="21"/>
      <w:szCs w:val="24"/>
    </w:rPr>
  </w:style>
  <w:style w:type="character" w:customStyle="1" w:styleId="120">
    <w:name w:val="正文文本 3 字符"/>
    <w:link w:val="32"/>
    <w:qFormat/>
    <w:uiPriority w:val="0"/>
    <w:rPr>
      <w:rFonts w:ascii="宋体" w:hAnsi="宋体"/>
      <w:kern w:val="2"/>
      <w:sz w:val="24"/>
      <w:szCs w:val="24"/>
    </w:rPr>
  </w:style>
  <w:style w:type="character" w:customStyle="1" w:styleId="121">
    <w:name w:val="结束语 字符"/>
    <w:link w:val="33"/>
    <w:qFormat/>
    <w:uiPriority w:val="0"/>
    <w:rPr>
      <w:rFonts w:ascii="Arial" w:hAnsi="Arial" w:eastAsia="仿宋_GB2312"/>
      <w:kern w:val="2"/>
      <w:sz w:val="24"/>
      <w:szCs w:val="22"/>
    </w:rPr>
  </w:style>
  <w:style w:type="character" w:customStyle="1" w:styleId="122">
    <w:name w:val="正文文本 字符"/>
    <w:link w:val="35"/>
    <w:qFormat/>
    <w:locked/>
    <w:uiPriority w:val="0"/>
    <w:rPr>
      <w:sz w:val="18"/>
    </w:rPr>
  </w:style>
  <w:style w:type="character" w:customStyle="1" w:styleId="123">
    <w:name w:val="正文文本缩进 字符"/>
    <w:link w:val="3"/>
    <w:qFormat/>
    <w:locked/>
    <w:uiPriority w:val="99"/>
    <w:rPr>
      <w:rFonts w:ascii="Times New Roman" w:hAnsi="Times New Roman" w:eastAsia="宋体"/>
      <w:sz w:val="24"/>
    </w:rPr>
  </w:style>
  <w:style w:type="character" w:customStyle="1" w:styleId="124">
    <w:name w:val="正文文本首行缩进 字符"/>
    <w:link w:val="84"/>
    <w:qFormat/>
    <w:uiPriority w:val="0"/>
    <w:rPr>
      <w:kern w:val="2"/>
      <w:sz w:val="21"/>
      <w:szCs w:val="24"/>
    </w:rPr>
  </w:style>
  <w:style w:type="character" w:customStyle="1" w:styleId="125">
    <w:name w:val="HTML 地址 字符"/>
    <w:link w:val="42"/>
    <w:qFormat/>
    <w:uiPriority w:val="0"/>
    <w:rPr>
      <w:rFonts w:ascii="Arial" w:hAnsi="Arial" w:eastAsia="仿宋_GB2312"/>
      <w:i/>
      <w:iCs/>
      <w:kern w:val="2"/>
      <w:sz w:val="24"/>
      <w:szCs w:val="22"/>
    </w:rPr>
  </w:style>
  <w:style w:type="character" w:customStyle="1" w:styleId="126">
    <w:name w:val="日期 字符1"/>
    <w:link w:val="49"/>
    <w:qFormat/>
    <w:locked/>
    <w:uiPriority w:val="0"/>
    <w:rPr>
      <w:rFonts w:ascii="Times New Roman" w:hAnsi="Times New Roman" w:eastAsia="宋体"/>
      <w:sz w:val="24"/>
    </w:rPr>
  </w:style>
  <w:style w:type="character" w:customStyle="1" w:styleId="127">
    <w:name w:val="正文文本缩进 2 字符"/>
    <w:link w:val="50"/>
    <w:qFormat/>
    <w:uiPriority w:val="0"/>
    <w:rPr>
      <w:kern w:val="24"/>
      <w:sz w:val="28"/>
    </w:rPr>
  </w:style>
  <w:style w:type="character" w:customStyle="1" w:styleId="128">
    <w:name w:val="尾注文本 字符"/>
    <w:link w:val="51"/>
    <w:qFormat/>
    <w:uiPriority w:val="0"/>
    <w:rPr>
      <w:kern w:val="2"/>
      <w:sz w:val="21"/>
      <w:szCs w:val="24"/>
    </w:rPr>
  </w:style>
  <w:style w:type="character" w:customStyle="1" w:styleId="129">
    <w:name w:val="批注框文本 字符"/>
    <w:link w:val="53"/>
    <w:semiHidden/>
    <w:qFormat/>
    <w:locked/>
    <w:uiPriority w:val="0"/>
    <w:rPr>
      <w:rFonts w:ascii="Times New Roman" w:hAnsi="Times New Roman" w:eastAsia="宋体"/>
      <w:sz w:val="18"/>
    </w:rPr>
  </w:style>
  <w:style w:type="character" w:customStyle="1" w:styleId="130">
    <w:name w:val="页脚 字符1"/>
    <w:link w:val="54"/>
    <w:qFormat/>
    <w:locked/>
    <w:uiPriority w:val="99"/>
    <w:rPr>
      <w:sz w:val="18"/>
    </w:rPr>
  </w:style>
  <w:style w:type="character" w:customStyle="1" w:styleId="131">
    <w:name w:val="页眉 字符"/>
    <w:link w:val="56"/>
    <w:qFormat/>
    <w:locked/>
    <w:uiPriority w:val="99"/>
    <w:rPr>
      <w:sz w:val="18"/>
    </w:rPr>
  </w:style>
  <w:style w:type="character" w:customStyle="1" w:styleId="132">
    <w:name w:val="签名 字符"/>
    <w:link w:val="59"/>
    <w:qFormat/>
    <w:uiPriority w:val="0"/>
    <w:rPr>
      <w:rFonts w:ascii="Arial" w:hAnsi="Arial" w:eastAsia="仿宋_GB2312"/>
      <w:kern w:val="2"/>
      <w:sz w:val="24"/>
      <w:szCs w:val="22"/>
    </w:rPr>
  </w:style>
  <w:style w:type="character" w:customStyle="1" w:styleId="133">
    <w:name w:val="TOC 1 字符"/>
    <w:link w:val="60"/>
    <w:qFormat/>
    <w:uiPriority w:val="39"/>
    <w:rPr>
      <w:b/>
      <w:bCs/>
      <w:caps/>
      <w:kern w:val="2"/>
    </w:rPr>
  </w:style>
  <w:style w:type="character" w:customStyle="1" w:styleId="134">
    <w:name w:val="副标题 字符"/>
    <w:link w:val="65"/>
    <w:qFormat/>
    <w:uiPriority w:val="0"/>
    <w:rPr>
      <w:rFonts w:ascii="Arial" w:hAnsi="Arial" w:eastAsia="仿宋_GB2312"/>
      <w:b/>
      <w:bCs/>
      <w:kern w:val="28"/>
      <w:sz w:val="32"/>
      <w:szCs w:val="32"/>
    </w:rPr>
  </w:style>
  <w:style w:type="character" w:customStyle="1" w:styleId="135">
    <w:name w:val="脚注文本 字符"/>
    <w:link w:val="68"/>
    <w:qFormat/>
    <w:uiPriority w:val="0"/>
    <w:rPr>
      <w:rFonts w:ascii="宋体"/>
      <w:kern w:val="2"/>
      <w:sz w:val="18"/>
      <w:szCs w:val="18"/>
    </w:rPr>
  </w:style>
  <w:style w:type="character" w:customStyle="1" w:styleId="136">
    <w:name w:val="正文文本缩进 3 字符"/>
    <w:link w:val="71"/>
    <w:qFormat/>
    <w:uiPriority w:val="0"/>
    <w:rPr>
      <w:kern w:val="2"/>
      <w:sz w:val="16"/>
      <w:szCs w:val="16"/>
    </w:rPr>
  </w:style>
  <w:style w:type="character" w:customStyle="1" w:styleId="137">
    <w:name w:val="正文文本 2 字符"/>
    <w:link w:val="75"/>
    <w:qFormat/>
    <w:uiPriority w:val="0"/>
    <w:rPr>
      <w:rFonts w:eastAsia="仿宋_GB2312"/>
      <w:kern w:val="2"/>
      <w:sz w:val="32"/>
      <w:szCs w:val="24"/>
    </w:rPr>
  </w:style>
  <w:style w:type="character" w:customStyle="1" w:styleId="138">
    <w:name w:val="信息标题 字符"/>
    <w:link w:val="78"/>
    <w:qFormat/>
    <w:uiPriority w:val="0"/>
    <w:rPr>
      <w:rFonts w:ascii="宋体" w:hAnsi="宋体" w:cs="宋体"/>
      <w:kern w:val="2"/>
      <w:sz w:val="24"/>
      <w:szCs w:val="21"/>
      <w:shd w:val="pct20" w:color="auto" w:fill="auto"/>
    </w:rPr>
  </w:style>
  <w:style w:type="character" w:customStyle="1" w:styleId="139">
    <w:name w:val="HTML 预设格式 字符"/>
    <w:link w:val="79"/>
    <w:qFormat/>
    <w:uiPriority w:val="0"/>
    <w:rPr>
      <w:rFonts w:ascii="Courier New" w:hAnsi="Courier New" w:cs="Courier New"/>
      <w:kern w:val="2"/>
    </w:rPr>
  </w:style>
  <w:style w:type="character" w:customStyle="1" w:styleId="140">
    <w:name w:val="普通(网站) 字符"/>
    <w:link w:val="80"/>
    <w:qFormat/>
    <w:locked/>
    <w:uiPriority w:val="0"/>
    <w:rPr>
      <w:rFonts w:ascii="宋体" w:hAnsi="宋体" w:eastAsia="宋体"/>
      <w:sz w:val="24"/>
    </w:rPr>
  </w:style>
  <w:style w:type="character" w:customStyle="1" w:styleId="141">
    <w:name w:val="标题 字符"/>
    <w:link w:val="82"/>
    <w:qFormat/>
    <w:uiPriority w:val="0"/>
    <w:rPr>
      <w:rFonts w:ascii="Cambria" w:hAnsi="Cambria"/>
      <w:b/>
      <w:bCs/>
      <w:kern w:val="2"/>
      <w:sz w:val="32"/>
      <w:szCs w:val="32"/>
    </w:rPr>
  </w:style>
  <w:style w:type="character" w:customStyle="1" w:styleId="142">
    <w:name w:val="批注主题 字符"/>
    <w:link w:val="83"/>
    <w:semiHidden/>
    <w:qFormat/>
    <w:locked/>
    <w:uiPriority w:val="0"/>
    <w:rPr>
      <w:rFonts w:ascii="Times New Roman" w:hAnsi="Times New Roman" w:eastAsia="宋体"/>
      <w:b/>
      <w:kern w:val="2"/>
      <w:sz w:val="24"/>
    </w:rPr>
  </w:style>
  <w:style w:type="character" w:customStyle="1" w:styleId="143">
    <w:name w:val="正文文本首行缩进 2 字符"/>
    <w:link w:val="2"/>
    <w:qFormat/>
    <w:uiPriority w:val="99"/>
    <w:rPr>
      <w:rFonts w:ascii="Times New Roman" w:hAnsi="Times New Roman" w:eastAsia="宋体"/>
      <w:kern w:val="2"/>
      <w:sz w:val="21"/>
      <w:szCs w:val="24"/>
    </w:rPr>
  </w:style>
  <w:style w:type="character" w:customStyle="1" w:styleId="144">
    <w:name w:val="内容"/>
    <w:qFormat/>
    <w:uiPriority w:val="0"/>
  </w:style>
  <w:style w:type="character" w:customStyle="1" w:styleId="145">
    <w:name w:val="页脚 字符"/>
    <w:qFormat/>
    <w:uiPriority w:val="99"/>
  </w:style>
  <w:style w:type="character" w:customStyle="1" w:styleId="146">
    <w:name w:val="样式2 Char"/>
    <w:link w:val="147"/>
    <w:qFormat/>
    <w:uiPriority w:val="0"/>
    <w:rPr>
      <w:rFonts w:ascii="宋体"/>
      <w:b/>
      <w:kern w:val="2"/>
      <w:sz w:val="24"/>
      <w:szCs w:val="28"/>
    </w:rPr>
  </w:style>
  <w:style w:type="paragraph" w:customStyle="1" w:styleId="147">
    <w:name w:val="样式2"/>
    <w:basedOn w:val="1"/>
    <w:link w:val="146"/>
    <w:qFormat/>
    <w:uiPriority w:val="0"/>
    <w:pPr>
      <w:widowControl/>
      <w:spacing w:line="360" w:lineRule="auto"/>
      <w:jc w:val="center"/>
    </w:pPr>
    <w:rPr>
      <w:rFonts w:ascii="宋体"/>
      <w:b/>
      <w:sz w:val="24"/>
      <w:szCs w:val="28"/>
    </w:rPr>
  </w:style>
  <w:style w:type="character" w:customStyle="1" w:styleId="148">
    <w:name w:val="标题 3 Char Char"/>
    <w:qFormat/>
    <w:uiPriority w:val="0"/>
    <w:rPr>
      <w:rFonts w:ascii="宋体" w:hAnsi="宋体" w:eastAsia="宋体" w:cs="宋体"/>
      <w:b/>
      <w:bCs/>
      <w:color w:val="000000"/>
      <w:kern w:val="2"/>
      <w:sz w:val="32"/>
      <w:szCs w:val="24"/>
      <w:lang w:val="zh-CN" w:eastAsia="zh-CN" w:bidi="ar-SA"/>
    </w:rPr>
  </w:style>
  <w:style w:type="character" w:customStyle="1" w:styleId="149">
    <w:name w:val="参加人员 Char Char"/>
    <w:link w:val="150"/>
    <w:qFormat/>
    <w:uiPriority w:val="0"/>
    <w:rPr>
      <w:sz w:val="24"/>
    </w:rPr>
  </w:style>
  <w:style w:type="paragraph" w:customStyle="1" w:styleId="150">
    <w:name w:val="参加人员"/>
    <w:basedOn w:val="1"/>
    <w:link w:val="149"/>
    <w:qFormat/>
    <w:uiPriority w:val="0"/>
    <w:pPr>
      <w:spacing w:line="360" w:lineRule="auto"/>
    </w:pPr>
    <w:rPr>
      <w:kern w:val="0"/>
      <w:sz w:val="24"/>
      <w:szCs w:val="20"/>
    </w:rPr>
  </w:style>
  <w:style w:type="character" w:customStyle="1" w:styleId="151">
    <w:name w:val="正文王 Char Char"/>
    <w:link w:val="152"/>
    <w:semiHidden/>
    <w:qFormat/>
    <w:uiPriority w:val="0"/>
    <w:rPr>
      <w:snapToGrid/>
      <w:color w:val="000000"/>
      <w:sz w:val="21"/>
      <w:szCs w:val="21"/>
    </w:rPr>
  </w:style>
  <w:style w:type="paragraph" w:customStyle="1" w:styleId="152">
    <w:name w:val="正文王"/>
    <w:basedOn w:val="1"/>
    <w:link w:val="151"/>
    <w:semiHidden/>
    <w:qFormat/>
    <w:uiPriority w:val="0"/>
    <w:pPr>
      <w:adjustRightInd w:val="0"/>
      <w:snapToGrid w:val="0"/>
      <w:spacing w:line="320" w:lineRule="exact"/>
      <w:jc w:val="center"/>
    </w:pPr>
    <w:rPr>
      <w:snapToGrid w:val="0"/>
      <w:color w:val="000000"/>
      <w:kern w:val="0"/>
    </w:rPr>
  </w:style>
  <w:style w:type="character" w:customStyle="1" w:styleId="153">
    <w:name w:val="style11"/>
    <w:qFormat/>
    <w:uiPriority w:val="0"/>
    <w:rPr>
      <w:rFonts w:ascii="宋体" w:hAnsi="宋体" w:eastAsia="宋体" w:cs="宋体"/>
      <w:color w:val="000000"/>
      <w:kern w:val="2"/>
      <w:sz w:val="24"/>
      <w:szCs w:val="24"/>
      <w:lang w:val="en-US" w:eastAsia="zh-CN" w:bidi="ar-SA"/>
    </w:rPr>
  </w:style>
  <w:style w:type="character" w:customStyle="1" w:styleId="154">
    <w:name w:val="title6"/>
    <w:qFormat/>
    <w:uiPriority w:val="0"/>
    <w:rPr>
      <w:rFonts w:ascii="宋体" w:hAnsi="宋体" w:eastAsia="宋体" w:cs="宋体"/>
      <w:kern w:val="2"/>
      <w:sz w:val="24"/>
      <w:szCs w:val="24"/>
      <w:lang w:val="en-US" w:eastAsia="zh-CN" w:bidi="ar-SA"/>
    </w:rPr>
  </w:style>
  <w:style w:type="character" w:customStyle="1" w:styleId="155">
    <w:name w:val="f12h201"/>
    <w:qFormat/>
    <w:uiPriority w:val="0"/>
    <w:rPr>
      <w:rFonts w:ascii="宋体" w:hAnsi="宋体" w:eastAsia="宋体" w:cs="宋体"/>
      <w:kern w:val="2"/>
      <w:sz w:val="18"/>
      <w:szCs w:val="18"/>
      <w:lang w:val="en-US" w:eastAsia="zh-CN" w:bidi="ar-SA"/>
    </w:rPr>
  </w:style>
  <w:style w:type="character" w:customStyle="1" w:styleId="156">
    <w:name w:val="apple-converted-space"/>
    <w:qFormat/>
    <w:uiPriority w:val="0"/>
  </w:style>
  <w:style w:type="character" w:customStyle="1" w:styleId="157">
    <w:name w:val="表头 Char Char"/>
    <w:link w:val="158"/>
    <w:qFormat/>
    <w:uiPriority w:val="0"/>
    <w:rPr>
      <w:rFonts w:eastAsia="黑体"/>
      <w:spacing w:val="-10"/>
      <w:sz w:val="21"/>
    </w:rPr>
  </w:style>
  <w:style w:type="paragraph" w:customStyle="1" w:styleId="158">
    <w:name w:val="表头"/>
    <w:basedOn w:val="1"/>
    <w:link w:val="157"/>
    <w:qFormat/>
    <w:uiPriority w:val="0"/>
    <w:pPr>
      <w:adjustRightInd w:val="0"/>
      <w:snapToGrid w:val="0"/>
      <w:spacing w:line="320" w:lineRule="atLeast"/>
      <w:jc w:val="center"/>
      <w:textAlignment w:val="baseline"/>
    </w:pPr>
    <w:rPr>
      <w:rFonts w:eastAsia="黑体"/>
      <w:spacing w:val="-10"/>
      <w:kern w:val="0"/>
      <w:szCs w:val="20"/>
    </w:rPr>
  </w:style>
  <w:style w:type="character" w:customStyle="1" w:styleId="159">
    <w:name w:val="btd1"/>
    <w:qFormat/>
    <w:uiPriority w:val="0"/>
    <w:rPr>
      <w:rFonts w:ascii="宋体" w:hAnsi="宋体" w:eastAsia="宋体" w:cs="宋体"/>
      <w:b/>
      <w:bCs/>
      <w:kern w:val="2"/>
      <w:sz w:val="24"/>
      <w:szCs w:val="24"/>
      <w:lang w:val="en-US" w:eastAsia="zh-CN" w:bidi="ar-SA"/>
    </w:rPr>
  </w:style>
  <w:style w:type="character" w:customStyle="1" w:styleId="160">
    <w:name w:val="表格格式 Char"/>
    <w:link w:val="161"/>
    <w:qFormat/>
    <w:uiPriority w:val="0"/>
    <w:rPr>
      <w:rFonts w:ascii="宋体" w:hAnsi="宋体" w:cs="宋体"/>
      <w:color w:val="000000"/>
      <w:szCs w:val="21"/>
    </w:rPr>
  </w:style>
  <w:style w:type="paragraph" w:customStyle="1" w:styleId="161">
    <w:name w:val="表格格式"/>
    <w:basedOn w:val="1"/>
    <w:link w:val="160"/>
    <w:qFormat/>
    <w:uiPriority w:val="0"/>
    <w:pPr>
      <w:snapToGrid w:val="0"/>
      <w:jc w:val="center"/>
    </w:pPr>
    <w:rPr>
      <w:rFonts w:ascii="宋体" w:hAnsi="宋体" w:cs="宋体"/>
      <w:color w:val="000000"/>
      <w:kern w:val="0"/>
      <w:sz w:val="20"/>
    </w:rPr>
  </w:style>
  <w:style w:type="character" w:customStyle="1" w:styleId="162">
    <w:name w:val="样式68 Char Char"/>
    <w:link w:val="163"/>
    <w:qFormat/>
    <w:uiPriority w:val="0"/>
    <w:rPr>
      <w:rFonts w:ascii="宋体" w:hAnsi="宋体"/>
      <w:color w:val="000000"/>
      <w:spacing w:val="-2"/>
      <w:sz w:val="28"/>
    </w:rPr>
  </w:style>
  <w:style w:type="paragraph" w:customStyle="1" w:styleId="163">
    <w:name w:val="样式68"/>
    <w:basedOn w:val="1"/>
    <w:link w:val="162"/>
    <w:qFormat/>
    <w:uiPriority w:val="0"/>
    <w:pPr>
      <w:ind w:firstLine="552" w:firstLineChars="200"/>
    </w:pPr>
    <w:rPr>
      <w:rFonts w:ascii="宋体" w:hAnsi="宋体"/>
      <w:color w:val="000000"/>
      <w:spacing w:val="-2"/>
      <w:kern w:val="0"/>
      <w:sz w:val="28"/>
      <w:szCs w:val="20"/>
    </w:rPr>
  </w:style>
  <w:style w:type="character" w:customStyle="1" w:styleId="164">
    <w:name w:val="正文3 Char1"/>
    <w:link w:val="165"/>
    <w:qFormat/>
    <w:uiPriority w:val="0"/>
    <w:rPr>
      <w:sz w:val="30"/>
      <w:szCs w:val="24"/>
    </w:rPr>
  </w:style>
  <w:style w:type="paragraph" w:customStyle="1" w:styleId="165">
    <w:name w:val="正文3"/>
    <w:basedOn w:val="1"/>
    <w:link w:val="164"/>
    <w:qFormat/>
    <w:uiPriority w:val="0"/>
    <w:pPr>
      <w:adjustRightInd w:val="0"/>
      <w:spacing w:line="360" w:lineRule="auto"/>
      <w:ind w:firstLine="624"/>
      <w:textAlignment w:val="baseline"/>
    </w:pPr>
    <w:rPr>
      <w:kern w:val="0"/>
      <w:sz w:val="30"/>
    </w:rPr>
  </w:style>
  <w:style w:type="character" w:customStyle="1" w:styleId="166">
    <w:name w:val="样式 样式 正文 行距: 固定值 25 磅 + 首行缩进:  2 字符1 Char"/>
    <w:link w:val="167"/>
    <w:qFormat/>
    <w:uiPriority w:val="0"/>
    <w:rPr>
      <w:rFonts w:cs="宋体"/>
      <w:kern w:val="2"/>
      <w:sz w:val="24"/>
      <w:szCs w:val="24"/>
    </w:rPr>
  </w:style>
  <w:style w:type="paragraph" w:customStyle="1" w:styleId="167">
    <w:name w:val="样式 样式 正文 行距: 固定值 25 磅 + 首行缩进:  2 字符1"/>
    <w:basedOn w:val="168"/>
    <w:link w:val="166"/>
    <w:qFormat/>
    <w:uiPriority w:val="0"/>
    <w:pPr>
      <w:ind w:firstLine="480"/>
    </w:pPr>
  </w:style>
  <w:style w:type="paragraph" w:customStyle="1" w:styleId="168">
    <w:name w:val="样式 正文 行距: 固定值 25 磅"/>
    <w:basedOn w:val="1"/>
    <w:link w:val="169"/>
    <w:semiHidden/>
    <w:qFormat/>
    <w:uiPriority w:val="0"/>
    <w:pPr>
      <w:adjustRightInd w:val="0"/>
      <w:spacing w:line="500" w:lineRule="exact"/>
      <w:ind w:firstLine="200" w:firstLineChars="200"/>
    </w:pPr>
    <w:rPr>
      <w:rFonts w:cs="宋体"/>
      <w:sz w:val="24"/>
    </w:rPr>
  </w:style>
  <w:style w:type="character" w:customStyle="1" w:styleId="169">
    <w:name w:val="样式 正文 行距: 固定值 25 磅 Char"/>
    <w:link w:val="168"/>
    <w:semiHidden/>
    <w:qFormat/>
    <w:uiPriority w:val="0"/>
    <w:rPr>
      <w:rFonts w:cs="宋体"/>
      <w:kern w:val="2"/>
      <w:sz w:val="24"/>
      <w:szCs w:val="24"/>
    </w:rPr>
  </w:style>
  <w:style w:type="character" w:customStyle="1" w:styleId="170">
    <w:name w:val="表头 Char Char Char"/>
    <w:qFormat/>
    <w:uiPriority w:val="0"/>
    <w:rPr>
      <w:rFonts w:ascii="宋体" w:hAnsi="宋体" w:eastAsia="宋体"/>
      <w:b/>
      <w:spacing w:val="-10"/>
      <w:sz w:val="24"/>
      <w:lang w:val="en-US" w:eastAsia="zh-CN" w:bidi="ar-SA"/>
    </w:rPr>
  </w:style>
  <w:style w:type="character" w:customStyle="1" w:styleId="171">
    <w:name w:val="Char Char13"/>
    <w:qFormat/>
    <w:uiPriority w:val="0"/>
    <w:rPr>
      <w:rFonts w:eastAsia="宋体"/>
      <w:kern w:val="2"/>
      <w:sz w:val="18"/>
      <w:szCs w:val="18"/>
      <w:lang w:val="en-US" w:eastAsia="zh-CN" w:bidi="ar-SA"/>
    </w:rPr>
  </w:style>
  <w:style w:type="character" w:customStyle="1" w:styleId="172">
    <w:name w:val="表格标题博泵 Char Char"/>
    <w:link w:val="173"/>
    <w:qFormat/>
    <w:uiPriority w:val="0"/>
    <w:rPr>
      <w:b/>
      <w:color w:val="000000"/>
    </w:rPr>
  </w:style>
  <w:style w:type="paragraph" w:customStyle="1" w:styleId="173">
    <w:name w:val="表格标题博泵"/>
    <w:basedOn w:val="1"/>
    <w:link w:val="172"/>
    <w:qFormat/>
    <w:uiPriority w:val="0"/>
    <w:pPr>
      <w:adjustRightInd w:val="0"/>
      <w:snapToGrid w:val="0"/>
      <w:jc w:val="center"/>
      <w:textAlignment w:val="baseline"/>
    </w:pPr>
    <w:rPr>
      <w:b/>
      <w:color w:val="000000"/>
      <w:kern w:val="0"/>
      <w:sz w:val="20"/>
      <w:szCs w:val="20"/>
    </w:rPr>
  </w:style>
  <w:style w:type="character" w:customStyle="1" w:styleId="174">
    <w:name w:val="al11"/>
    <w:qFormat/>
    <w:uiPriority w:val="0"/>
    <w:rPr>
      <w:color w:val="333333"/>
      <w:sz w:val="18"/>
      <w:szCs w:val="18"/>
    </w:rPr>
  </w:style>
  <w:style w:type="character" w:customStyle="1" w:styleId="175">
    <w:name w:val="表格内文字 Char"/>
    <w:link w:val="176"/>
    <w:qFormat/>
    <w:uiPriority w:val="0"/>
    <w:rPr>
      <w:rFonts w:eastAsia="仿宋_GB2312"/>
      <w:kern w:val="2"/>
      <w:sz w:val="24"/>
      <w:szCs w:val="24"/>
    </w:rPr>
  </w:style>
  <w:style w:type="paragraph" w:customStyle="1" w:styleId="176">
    <w:name w:val="表格内文字"/>
    <w:basedOn w:val="1"/>
    <w:link w:val="175"/>
    <w:qFormat/>
    <w:uiPriority w:val="0"/>
    <w:pPr>
      <w:tabs>
        <w:tab w:val="left" w:pos="0"/>
      </w:tabs>
      <w:adjustRightInd w:val="0"/>
      <w:snapToGrid w:val="0"/>
      <w:jc w:val="center"/>
    </w:pPr>
    <w:rPr>
      <w:rFonts w:eastAsia="仿宋_GB2312"/>
      <w:sz w:val="24"/>
    </w:rPr>
  </w:style>
  <w:style w:type="character" w:customStyle="1" w:styleId="177">
    <w:name w:val="Char Char9"/>
    <w:qFormat/>
    <w:uiPriority w:val="0"/>
    <w:rPr>
      <w:rFonts w:ascii="Cambria" w:hAnsi="Cambria" w:eastAsia="宋体" w:cs="宋体"/>
      <w:b/>
      <w:bCs/>
      <w:iCs/>
      <w:kern w:val="2"/>
      <w:sz w:val="30"/>
      <w:szCs w:val="28"/>
      <w:lang w:val="en-US" w:eastAsia="en-US" w:bidi="en-US"/>
    </w:rPr>
  </w:style>
  <w:style w:type="character" w:customStyle="1" w:styleId="178">
    <w:name w:val="px141"/>
    <w:qFormat/>
    <w:uiPriority w:val="0"/>
    <w:rPr>
      <w:sz w:val="21"/>
    </w:rPr>
  </w:style>
  <w:style w:type="character" w:customStyle="1" w:styleId="179">
    <w:name w:val="hz"/>
    <w:qFormat/>
    <w:uiPriority w:val="0"/>
  </w:style>
  <w:style w:type="character" w:customStyle="1" w:styleId="180">
    <w:name w:val="scs62"/>
    <w:qFormat/>
    <w:uiPriority w:val="0"/>
  </w:style>
  <w:style w:type="character" w:customStyle="1" w:styleId="181">
    <w:name w:val="样式75 Char Char"/>
    <w:link w:val="182"/>
    <w:qFormat/>
    <w:uiPriority w:val="0"/>
    <w:rPr>
      <w:rFonts w:ascii="黑体" w:hAnsi="宋体" w:eastAsia="黑体"/>
      <w:color w:val="000000"/>
      <w:sz w:val="28"/>
      <w:szCs w:val="28"/>
    </w:rPr>
  </w:style>
  <w:style w:type="paragraph" w:customStyle="1" w:styleId="182">
    <w:name w:val="样式75"/>
    <w:basedOn w:val="1"/>
    <w:link w:val="181"/>
    <w:qFormat/>
    <w:uiPriority w:val="0"/>
    <w:pPr>
      <w:spacing w:beforeLines="150" w:line="360" w:lineRule="auto"/>
    </w:pPr>
    <w:rPr>
      <w:rFonts w:ascii="黑体" w:hAnsi="宋体" w:eastAsia="黑体"/>
      <w:color w:val="000000"/>
      <w:kern w:val="0"/>
      <w:sz w:val="28"/>
      <w:szCs w:val="28"/>
    </w:rPr>
  </w:style>
  <w:style w:type="character" w:customStyle="1" w:styleId="183">
    <w:name w:val="标题1.1.1.1.1 Char1"/>
    <w:qFormat/>
    <w:uiPriority w:val="0"/>
    <w:rPr>
      <w:rFonts w:eastAsia="宋体"/>
      <w:b/>
      <w:bCs/>
      <w:sz w:val="28"/>
      <w:szCs w:val="28"/>
      <w:lang w:bidi="ar-SA"/>
    </w:rPr>
  </w:style>
  <w:style w:type="character" w:customStyle="1" w:styleId="184">
    <w:name w:val="图名 Char"/>
    <w:link w:val="185"/>
    <w:qFormat/>
    <w:uiPriority w:val="0"/>
    <w:rPr>
      <w:rFonts w:ascii="宋体" w:eastAsia="黑体"/>
      <w:sz w:val="24"/>
      <w:szCs w:val="24"/>
      <w:lang w:eastAsia="en-US" w:bidi="en-US"/>
    </w:rPr>
  </w:style>
  <w:style w:type="paragraph" w:customStyle="1" w:styleId="185">
    <w:name w:val="图名"/>
    <w:basedOn w:val="1"/>
    <w:link w:val="184"/>
    <w:qFormat/>
    <w:uiPriority w:val="0"/>
    <w:pPr>
      <w:widowControl/>
      <w:adjustRightInd w:val="0"/>
      <w:snapToGrid w:val="0"/>
      <w:spacing w:line="360" w:lineRule="auto"/>
      <w:jc w:val="center"/>
      <w:textAlignment w:val="baseline"/>
    </w:pPr>
    <w:rPr>
      <w:rFonts w:ascii="宋体" w:eastAsia="黑体"/>
      <w:kern w:val="0"/>
      <w:sz w:val="24"/>
      <w:lang w:eastAsia="en-US" w:bidi="en-US"/>
    </w:rPr>
  </w:style>
  <w:style w:type="character" w:customStyle="1" w:styleId="186">
    <w:name w:val="word131"/>
    <w:qFormat/>
    <w:uiPriority w:val="0"/>
    <w:rPr>
      <w:rFonts w:hint="default" w:ascii="ˎ̥" w:hAnsi="ˎ̥"/>
      <w:color w:val="000000"/>
      <w:sz w:val="20"/>
      <w:szCs w:val="20"/>
      <w:u w:val="none"/>
    </w:rPr>
  </w:style>
  <w:style w:type="character" w:customStyle="1" w:styleId="187">
    <w:name w:val="样式4 Char Char"/>
    <w:link w:val="188"/>
    <w:qFormat/>
    <w:uiPriority w:val="0"/>
    <w:rPr>
      <w:rFonts w:eastAsia="黑体" w:cs="宋体"/>
      <w:b/>
      <w:bCs/>
      <w:kern w:val="2"/>
      <w:sz w:val="28"/>
    </w:rPr>
  </w:style>
  <w:style w:type="paragraph" w:customStyle="1" w:styleId="188">
    <w:name w:val="样式4"/>
    <w:basedOn w:val="189"/>
    <w:link w:val="187"/>
    <w:qFormat/>
    <w:uiPriority w:val="0"/>
  </w:style>
  <w:style w:type="paragraph" w:customStyle="1" w:styleId="189">
    <w:name w:val="样式 标题 2H2节标题 1.1节标题 1.1 Char1.1标题2条标题h2l22nd levelTitre..."/>
    <w:basedOn w:val="8"/>
    <w:qFormat/>
    <w:uiPriority w:val="0"/>
    <w:pPr>
      <w:snapToGrid w:val="0"/>
      <w:spacing w:before="120" w:beforeLines="100" w:after="0" w:line="240" w:lineRule="auto"/>
      <w:ind w:left="1134" w:hanging="992"/>
    </w:pPr>
    <w:rPr>
      <w:rFonts w:ascii="Times New Roman" w:hAnsi="Times New Roman" w:cs="宋体"/>
      <w:sz w:val="28"/>
      <w:szCs w:val="20"/>
    </w:rPr>
  </w:style>
  <w:style w:type="character" w:customStyle="1" w:styleId="190">
    <w:name w:val="main-11"/>
    <w:qFormat/>
    <w:uiPriority w:val="0"/>
  </w:style>
  <w:style w:type="character" w:customStyle="1" w:styleId="191">
    <w:name w:val="description"/>
    <w:qFormat/>
    <w:uiPriority w:val="0"/>
  </w:style>
  <w:style w:type="character" w:customStyle="1" w:styleId="192">
    <w:name w:val="zw1"/>
    <w:qFormat/>
    <w:uiPriority w:val="0"/>
    <w:rPr>
      <w:rFonts w:hint="eastAsia" w:ascii="宋体" w:hAnsi="宋体" w:eastAsia="宋体"/>
      <w:sz w:val="22"/>
      <w:szCs w:val="22"/>
    </w:rPr>
  </w:style>
  <w:style w:type="character" w:customStyle="1" w:styleId="193">
    <w:name w:val="正文5号 Char2"/>
    <w:qFormat/>
    <w:uiPriority w:val="0"/>
    <w:rPr>
      <w:rFonts w:ascii="宋体" w:hAnsi="宋体" w:eastAsia="宋体" w:cs="宋体"/>
      <w:kern w:val="2"/>
      <w:sz w:val="24"/>
      <w:szCs w:val="24"/>
      <w:lang w:val="en-US" w:eastAsia="zh-CN" w:bidi="ar-SA"/>
    </w:rPr>
  </w:style>
  <w:style w:type="character" w:customStyle="1" w:styleId="194">
    <w:name w:val="表内容1 Char"/>
    <w:link w:val="195"/>
    <w:qFormat/>
    <w:uiPriority w:val="0"/>
    <w:rPr>
      <w:rFonts w:ascii="楷体_GB2312" w:hAnsi="楷体_GB2312" w:eastAsia="仿宋_GB2312"/>
      <w:bCs/>
      <w:szCs w:val="24"/>
    </w:rPr>
  </w:style>
  <w:style w:type="paragraph" w:customStyle="1" w:styleId="195">
    <w:name w:val="表内容1"/>
    <w:basedOn w:val="1"/>
    <w:link w:val="194"/>
    <w:qFormat/>
    <w:uiPriority w:val="0"/>
    <w:pPr>
      <w:snapToGrid w:val="0"/>
      <w:jc w:val="center"/>
    </w:pPr>
    <w:rPr>
      <w:rFonts w:ascii="楷体_GB2312" w:hAnsi="楷体_GB2312" w:eastAsia="仿宋_GB2312"/>
      <w:bCs/>
      <w:kern w:val="0"/>
      <w:sz w:val="20"/>
    </w:rPr>
  </w:style>
  <w:style w:type="character" w:customStyle="1" w:styleId="196">
    <w:name w:val="Char Char31"/>
    <w:qFormat/>
    <w:uiPriority w:val="0"/>
    <w:rPr>
      <w:sz w:val="24"/>
      <w:lang w:bidi="ar-SA"/>
    </w:rPr>
  </w:style>
  <w:style w:type="character" w:customStyle="1" w:styleId="197">
    <w:name w:val="表格 Char"/>
    <w:link w:val="198"/>
    <w:qFormat/>
    <w:locked/>
    <w:uiPriority w:val="0"/>
    <w:rPr>
      <w:rFonts w:ascii="宋体"/>
      <w:sz w:val="21"/>
    </w:rPr>
  </w:style>
  <w:style w:type="paragraph" w:customStyle="1" w:styleId="198">
    <w:name w:val="表格"/>
    <w:basedOn w:val="199"/>
    <w:next w:val="1"/>
    <w:link w:val="197"/>
    <w:qFormat/>
    <w:uiPriority w:val="0"/>
    <w:pPr>
      <w:adjustRightInd w:val="0"/>
      <w:snapToGrid w:val="0"/>
      <w:spacing w:beforeLines="10" w:afterLines="10" w:line="259" w:lineRule="auto"/>
    </w:pPr>
    <w:rPr>
      <w:rFonts w:ascii="宋体"/>
      <w:kern w:val="0"/>
      <w:szCs w:val="20"/>
    </w:rPr>
  </w:style>
  <w:style w:type="paragraph" w:customStyle="1" w:styleId="199">
    <w:name w:val="表格使用文字"/>
    <w:basedOn w:val="1"/>
    <w:link w:val="200"/>
    <w:qFormat/>
    <w:uiPriority w:val="99"/>
    <w:pPr>
      <w:jc w:val="center"/>
    </w:pPr>
    <w:rPr>
      <w:color w:val="000000"/>
    </w:rPr>
  </w:style>
  <w:style w:type="character" w:customStyle="1" w:styleId="200">
    <w:name w:val="表格使用文字 Char"/>
    <w:link w:val="199"/>
    <w:qFormat/>
    <w:uiPriority w:val="99"/>
    <w:rPr>
      <w:color w:val="000000"/>
      <w:kern w:val="2"/>
      <w:sz w:val="21"/>
      <w:szCs w:val="21"/>
    </w:rPr>
  </w:style>
  <w:style w:type="character" w:customStyle="1" w:styleId="201">
    <w:name w:val="Char Char8"/>
    <w:semiHidden/>
    <w:qFormat/>
    <w:uiPriority w:val="0"/>
    <w:rPr>
      <w:rFonts w:ascii="宋体" w:hAnsi="宋体" w:eastAsia="宋体" w:cs="宋体"/>
      <w:kern w:val="2"/>
      <w:sz w:val="18"/>
      <w:szCs w:val="18"/>
      <w:lang w:val="en-US" w:eastAsia="zh-CN" w:bidi="ar-SA"/>
    </w:rPr>
  </w:style>
  <w:style w:type="character" w:customStyle="1" w:styleId="202">
    <w:name w:val="haogao1"/>
    <w:qFormat/>
    <w:uiPriority w:val="0"/>
  </w:style>
  <w:style w:type="character" w:customStyle="1" w:styleId="203">
    <w:name w:val="Plain Text Char1 Char"/>
    <w:qFormat/>
    <w:uiPriority w:val="0"/>
    <w:rPr>
      <w:rFonts w:ascii="宋体" w:hAnsi="Courier New"/>
      <w:kern w:val="2"/>
      <w:sz w:val="21"/>
      <w:szCs w:val="21"/>
      <w:lang w:bidi="ar-SA"/>
    </w:rPr>
  </w:style>
  <w:style w:type="character" w:customStyle="1" w:styleId="204">
    <w:name w:val="sppkvsc"/>
    <w:qFormat/>
    <w:uiPriority w:val="0"/>
  </w:style>
  <w:style w:type="character" w:customStyle="1" w:styleId="205">
    <w:name w:val="样式20 Char Char"/>
    <w:link w:val="206"/>
    <w:qFormat/>
    <w:uiPriority w:val="0"/>
    <w:rPr>
      <w:rFonts w:ascii="楷体_GB2312" w:hAnsi="楷体_GB2312" w:eastAsia="楷体_GB2312"/>
      <w:b/>
      <w:color w:val="000000"/>
      <w:sz w:val="32"/>
    </w:rPr>
  </w:style>
  <w:style w:type="paragraph" w:customStyle="1" w:styleId="206">
    <w:name w:val="样式20"/>
    <w:basedOn w:val="8"/>
    <w:link w:val="205"/>
    <w:qFormat/>
    <w:uiPriority w:val="0"/>
    <w:pPr>
      <w:tabs>
        <w:tab w:val="left" w:pos="840"/>
      </w:tabs>
      <w:snapToGrid w:val="0"/>
      <w:spacing w:before="0" w:after="0" w:line="360" w:lineRule="auto"/>
      <w:ind w:left="840"/>
      <w:jc w:val="center"/>
    </w:pPr>
    <w:rPr>
      <w:rFonts w:ascii="楷体_GB2312" w:hAnsi="楷体_GB2312" w:eastAsia="楷体_GB2312"/>
      <w:bCs w:val="0"/>
      <w:color w:val="000000"/>
      <w:kern w:val="0"/>
      <w:szCs w:val="20"/>
    </w:rPr>
  </w:style>
  <w:style w:type="character" w:customStyle="1" w:styleId="207">
    <w:name w:val="参数解释 Char Char"/>
    <w:link w:val="208"/>
    <w:qFormat/>
    <w:uiPriority w:val="0"/>
    <w:rPr>
      <w:sz w:val="24"/>
    </w:rPr>
  </w:style>
  <w:style w:type="paragraph" w:customStyle="1" w:styleId="208">
    <w:name w:val="参数解释"/>
    <w:basedOn w:val="209"/>
    <w:link w:val="207"/>
    <w:qFormat/>
    <w:uiPriority w:val="0"/>
    <w:pPr>
      <w:ind w:firstLine="1274" w:firstLineChars="531"/>
    </w:pPr>
    <w:rPr>
      <w:rFonts w:ascii="Times New Roman" w:hAnsi="Times New Roman"/>
      <w:kern w:val="0"/>
      <w:szCs w:val="20"/>
    </w:rPr>
  </w:style>
  <w:style w:type="paragraph" w:customStyle="1" w:styleId="209">
    <w:name w:val="金源"/>
    <w:basedOn w:val="1"/>
    <w:link w:val="210"/>
    <w:qFormat/>
    <w:uiPriority w:val="0"/>
    <w:pPr>
      <w:spacing w:line="480" w:lineRule="exact"/>
      <w:ind w:firstLine="480" w:firstLineChars="200"/>
      <w:jc w:val="left"/>
    </w:pPr>
    <w:rPr>
      <w:rFonts w:ascii="Calibri" w:hAnsi="Calibri"/>
      <w:sz w:val="24"/>
      <w:szCs w:val="22"/>
    </w:rPr>
  </w:style>
  <w:style w:type="character" w:customStyle="1" w:styleId="210">
    <w:name w:val="金源 Char Char"/>
    <w:link w:val="209"/>
    <w:qFormat/>
    <w:uiPriority w:val="0"/>
    <w:rPr>
      <w:rFonts w:ascii="Calibri" w:hAnsi="Calibri"/>
      <w:kern w:val="2"/>
      <w:sz w:val="24"/>
      <w:szCs w:val="22"/>
    </w:rPr>
  </w:style>
  <w:style w:type="character" w:customStyle="1" w:styleId="211">
    <w:name w:val="节标题 1.1 Char4"/>
    <w:qFormat/>
    <w:uiPriority w:val="0"/>
    <w:rPr>
      <w:b/>
      <w:bCs/>
      <w:sz w:val="28"/>
      <w:szCs w:val="32"/>
    </w:rPr>
  </w:style>
  <w:style w:type="character" w:customStyle="1" w:styleId="212">
    <w:name w:val="articlebody3"/>
    <w:qFormat/>
    <w:uiPriority w:val="0"/>
    <w:rPr>
      <w:rFonts w:ascii="宋体" w:hAnsi="宋体" w:eastAsia="宋体" w:cs="宋体"/>
      <w:kern w:val="2"/>
      <w:sz w:val="21"/>
      <w:szCs w:val="21"/>
      <w:lang w:val="en-US" w:eastAsia="zh-CN" w:bidi="ar-SA"/>
    </w:rPr>
  </w:style>
  <w:style w:type="character" w:customStyle="1" w:styleId="213">
    <w:name w:val="样式 样式 正文 行距: 固定值 25 磅 + 首行缩进:  2 字符 Char"/>
    <w:link w:val="214"/>
    <w:qFormat/>
    <w:uiPriority w:val="0"/>
    <w:rPr>
      <w:rFonts w:cs="宋体"/>
      <w:kern w:val="2"/>
      <w:sz w:val="24"/>
      <w:szCs w:val="24"/>
    </w:rPr>
  </w:style>
  <w:style w:type="paragraph" w:customStyle="1" w:styleId="214">
    <w:name w:val="样式 样式 正文 行距: 固定值 25 磅 + 首行缩进:  2 字符"/>
    <w:basedOn w:val="1"/>
    <w:link w:val="213"/>
    <w:qFormat/>
    <w:uiPriority w:val="0"/>
    <w:pPr>
      <w:adjustRightInd w:val="0"/>
      <w:snapToGrid w:val="0"/>
      <w:spacing w:line="500" w:lineRule="exact"/>
      <w:ind w:firstLine="200" w:firstLineChars="200"/>
    </w:pPr>
    <w:rPr>
      <w:rFonts w:cs="宋体"/>
      <w:sz w:val="24"/>
    </w:rPr>
  </w:style>
  <w:style w:type="character" w:customStyle="1" w:styleId="215">
    <w:name w:val="ssqiaz"/>
    <w:qFormat/>
    <w:uiPriority w:val="0"/>
  </w:style>
  <w:style w:type="character" w:customStyle="1" w:styleId="216">
    <w:name w:val="表格标题 Char"/>
    <w:link w:val="217"/>
    <w:qFormat/>
    <w:uiPriority w:val="0"/>
    <w:rPr>
      <w:b/>
      <w:color w:val="000000"/>
      <w:kern w:val="2"/>
      <w:sz w:val="21"/>
      <w:szCs w:val="21"/>
    </w:rPr>
  </w:style>
  <w:style w:type="paragraph" w:customStyle="1" w:styleId="217">
    <w:name w:val="表格标题"/>
    <w:basedOn w:val="1"/>
    <w:link w:val="216"/>
    <w:qFormat/>
    <w:uiPriority w:val="0"/>
    <w:pPr>
      <w:snapToGrid w:val="0"/>
      <w:spacing w:before="120"/>
      <w:ind w:firstLine="1756" w:firstLineChars="833"/>
      <w:contextualSpacing/>
      <w:jc w:val="center"/>
    </w:pPr>
    <w:rPr>
      <w:b/>
      <w:color w:val="000000"/>
    </w:rPr>
  </w:style>
  <w:style w:type="character" w:customStyle="1" w:styleId="218">
    <w:name w:val="页眉1 Char"/>
    <w:qFormat/>
    <w:uiPriority w:val="0"/>
    <w:rPr>
      <w:rFonts w:ascii="宋体" w:hAnsi="宋体" w:eastAsia="宋体" w:cs="宋体"/>
      <w:kern w:val="2"/>
      <w:sz w:val="18"/>
      <w:szCs w:val="18"/>
      <w:lang w:val="en-US" w:eastAsia="zh-CN" w:bidi="ar-SA"/>
    </w:rPr>
  </w:style>
  <w:style w:type="character" w:customStyle="1" w:styleId="219">
    <w:name w:val="c121"/>
    <w:qFormat/>
    <w:uiPriority w:val="0"/>
    <w:rPr>
      <w:color w:val="666666"/>
      <w:sz w:val="18"/>
      <w:szCs w:val="18"/>
      <w:u w:val="none"/>
    </w:rPr>
  </w:style>
  <w:style w:type="character" w:customStyle="1" w:styleId="220">
    <w:name w:val="甲乙酮标题1 Char Char"/>
    <w:link w:val="221"/>
    <w:qFormat/>
    <w:uiPriority w:val="0"/>
    <w:rPr>
      <w:b/>
      <w:bCs/>
      <w:kern w:val="44"/>
      <w:sz w:val="32"/>
      <w:szCs w:val="32"/>
    </w:rPr>
  </w:style>
  <w:style w:type="paragraph" w:customStyle="1" w:styleId="221">
    <w:name w:val="甲乙酮标题1"/>
    <w:basedOn w:val="7"/>
    <w:link w:val="220"/>
    <w:qFormat/>
    <w:uiPriority w:val="0"/>
    <w:pPr>
      <w:keepLines/>
      <w:tabs>
        <w:tab w:val="left" w:pos="390"/>
      </w:tabs>
      <w:overflowPunct/>
      <w:snapToGrid/>
      <w:spacing w:after="140" w:line="480" w:lineRule="exact"/>
      <w:ind w:left="390" w:firstLine="0"/>
    </w:pPr>
    <w:rPr>
      <w:rFonts w:eastAsia="宋体"/>
      <w:color w:val="auto"/>
      <w:sz w:val="32"/>
      <w:szCs w:val="32"/>
    </w:rPr>
  </w:style>
  <w:style w:type="character" w:customStyle="1" w:styleId="222">
    <w:name w:val="contenttable1"/>
    <w:qFormat/>
    <w:uiPriority w:val="0"/>
    <w:rPr>
      <w:rFonts w:hint="default" w:ascii="Arial" w:hAnsi="Arial" w:eastAsia="宋体" w:cs="Arial"/>
      <w:color w:val="000000"/>
      <w:kern w:val="2"/>
      <w:sz w:val="18"/>
      <w:szCs w:val="18"/>
      <w:u w:val="none"/>
      <w:lang w:val="en-US" w:eastAsia="zh-CN" w:bidi="ar-SA"/>
    </w:rPr>
  </w:style>
  <w:style w:type="character" w:customStyle="1" w:styleId="223">
    <w:name w:val="未确定 Char Char"/>
    <w:link w:val="224"/>
    <w:qFormat/>
    <w:uiPriority w:val="0"/>
    <w:rPr>
      <w:color w:val="800080"/>
      <w:sz w:val="24"/>
      <w:szCs w:val="24"/>
    </w:rPr>
  </w:style>
  <w:style w:type="paragraph" w:customStyle="1" w:styleId="224">
    <w:name w:val="未确定"/>
    <w:basedOn w:val="1"/>
    <w:link w:val="223"/>
    <w:qFormat/>
    <w:uiPriority w:val="0"/>
    <w:pPr>
      <w:spacing w:beforeLines="50" w:line="400" w:lineRule="exact"/>
      <w:ind w:firstLine="480" w:firstLineChars="200"/>
    </w:pPr>
    <w:rPr>
      <w:color w:val="800080"/>
      <w:kern w:val="0"/>
      <w:sz w:val="24"/>
    </w:rPr>
  </w:style>
  <w:style w:type="character" w:customStyle="1" w:styleId="225">
    <w:name w:val="16p"/>
    <w:qFormat/>
    <w:uiPriority w:val="0"/>
  </w:style>
  <w:style w:type="character" w:customStyle="1" w:styleId="226">
    <w:name w:val="纯文本21"/>
    <w:qFormat/>
    <w:uiPriority w:val="0"/>
    <w:rPr>
      <w:rFonts w:ascii="宋体" w:hAnsi="Courier New" w:eastAsia="宋体" w:cs="Courier New"/>
      <w:kern w:val="2"/>
      <w:sz w:val="21"/>
      <w:szCs w:val="21"/>
      <w:lang w:val="en-US" w:eastAsia="zh-CN" w:bidi="ar-SA"/>
    </w:rPr>
  </w:style>
  <w:style w:type="character" w:customStyle="1" w:styleId="227">
    <w:name w:val="图表名 大王 20100426 Char"/>
    <w:link w:val="228"/>
    <w:qFormat/>
    <w:uiPriority w:val="0"/>
    <w:rPr>
      <w:rFonts w:ascii="宋体" w:hAnsi="宋体" w:cs="宋体"/>
      <w:b/>
      <w:bCs/>
      <w:snapToGrid/>
      <w:sz w:val="21"/>
    </w:rPr>
  </w:style>
  <w:style w:type="paragraph" w:customStyle="1" w:styleId="228">
    <w:name w:val="图表名 大王 20100426"/>
    <w:basedOn w:val="229"/>
    <w:link w:val="227"/>
    <w:qFormat/>
    <w:uiPriority w:val="0"/>
    <w:pPr>
      <w:tabs>
        <w:tab w:val="left" w:pos="377"/>
      </w:tabs>
      <w:spacing w:before="120" w:after="120"/>
    </w:pPr>
    <w:rPr>
      <w:snapToGrid w:val="0"/>
    </w:rPr>
  </w:style>
  <w:style w:type="paragraph" w:customStyle="1" w:styleId="229">
    <w:name w:val="图表标题-大王"/>
    <w:basedOn w:val="1"/>
    <w:link w:val="230"/>
    <w:qFormat/>
    <w:uiPriority w:val="0"/>
    <w:pPr>
      <w:widowControl/>
      <w:tabs>
        <w:tab w:val="left" w:pos="377"/>
      </w:tabs>
      <w:spacing w:beforeLines="50" w:afterLines="50"/>
      <w:jc w:val="center"/>
    </w:pPr>
    <w:rPr>
      <w:rFonts w:ascii="宋体" w:hAnsi="宋体" w:cs="宋体"/>
      <w:b/>
      <w:bCs/>
      <w:kern w:val="0"/>
      <w:szCs w:val="20"/>
    </w:rPr>
  </w:style>
  <w:style w:type="character" w:customStyle="1" w:styleId="230">
    <w:name w:val="图表标题-大王 Char"/>
    <w:link w:val="229"/>
    <w:qFormat/>
    <w:uiPriority w:val="0"/>
    <w:rPr>
      <w:rFonts w:ascii="宋体" w:hAnsi="宋体" w:cs="宋体"/>
      <w:b/>
      <w:bCs/>
      <w:sz w:val="21"/>
    </w:rPr>
  </w:style>
  <w:style w:type="character" w:customStyle="1" w:styleId="231">
    <w:name w:val="9css21"/>
    <w:qFormat/>
    <w:uiPriority w:val="0"/>
    <w:rPr>
      <w:spacing w:val="268"/>
      <w:sz w:val="20"/>
      <w:szCs w:val="20"/>
    </w:rPr>
  </w:style>
  <w:style w:type="character" w:customStyle="1" w:styleId="232">
    <w:name w:val="公示 Char Char"/>
    <w:link w:val="233"/>
    <w:qFormat/>
    <w:uiPriority w:val="0"/>
  </w:style>
  <w:style w:type="paragraph" w:customStyle="1" w:styleId="233">
    <w:name w:val="公示"/>
    <w:basedOn w:val="1"/>
    <w:link w:val="232"/>
    <w:qFormat/>
    <w:uiPriority w:val="0"/>
    <w:pPr>
      <w:spacing w:line="360" w:lineRule="auto"/>
      <w:ind w:firstLine="200" w:firstLineChars="200"/>
      <w:jc w:val="center"/>
    </w:pPr>
    <w:rPr>
      <w:kern w:val="0"/>
      <w:sz w:val="20"/>
      <w:szCs w:val="20"/>
    </w:rPr>
  </w:style>
  <w:style w:type="character" w:customStyle="1" w:styleId="234">
    <w:name w:val="style51"/>
    <w:qFormat/>
    <w:uiPriority w:val="0"/>
    <w:rPr>
      <w:color w:val="000000"/>
      <w:sz w:val="36"/>
      <w:szCs w:val="36"/>
    </w:rPr>
  </w:style>
  <w:style w:type="character" w:customStyle="1" w:styleId="235">
    <w:name w:val="表格内文字 Char Char"/>
    <w:qFormat/>
    <w:uiPriority w:val="0"/>
    <w:rPr>
      <w:rFonts w:eastAsia="仿宋_GB2312"/>
      <w:sz w:val="24"/>
      <w:szCs w:val="24"/>
      <w:lang w:bidi="ar-SA"/>
    </w:rPr>
  </w:style>
  <w:style w:type="character" w:customStyle="1" w:styleId="236">
    <w:name w:val="表头1 Char"/>
    <w:link w:val="237"/>
    <w:qFormat/>
    <w:uiPriority w:val="0"/>
    <w:rPr>
      <w:rFonts w:eastAsia="黑体"/>
      <w:sz w:val="21"/>
      <w:szCs w:val="21"/>
    </w:rPr>
  </w:style>
  <w:style w:type="paragraph" w:customStyle="1" w:styleId="237">
    <w:name w:val="表头1"/>
    <w:basedOn w:val="1"/>
    <w:next w:val="1"/>
    <w:link w:val="236"/>
    <w:qFormat/>
    <w:uiPriority w:val="0"/>
    <w:pPr>
      <w:tabs>
        <w:tab w:val="left" w:pos="605"/>
      </w:tabs>
      <w:adjustRightInd w:val="0"/>
      <w:snapToGrid w:val="0"/>
      <w:jc w:val="center"/>
    </w:pPr>
    <w:rPr>
      <w:rFonts w:eastAsia="黑体"/>
      <w:kern w:val="0"/>
    </w:rPr>
  </w:style>
  <w:style w:type="character" w:customStyle="1" w:styleId="238">
    <w:name w:val="type021"/>
    <w:qFormat/>
    <w:uiPriority w:val="0"/>
    <w:rPr>
      <w:color w:val="000000"/>
      <w:sz w:val="18"/>
      <w:szCs w:val="18"/>
    </w:rPr>
  </w:style>
  <w:style w:type="character" w:customStyle="1" w:styleId="239">
    <w:name w:val="表蕊居中 Char Char"/>
    <w:link w:val="240"/>
    <w:qFormat/>
    <w:uiPriority w:val="0"/>
    <w:rPr>
      <w:color w:val="FF0000"/>
      <w:spacing w:val="-10"/>
      <w:szCs w:val="21"/>
    </w:rPr>
  </w:style>
  <w:style w:type="paragraph" w:customStyle="1" w:styleId="240">
    <w:name w:val="表蕊居中"/>
    <w:basedOn w:val="1"/>
    <w:link w:val="239"/>
    <w:qFormat/>
    <w:uiPriority w:val="0"/>
    <w:pPr>
      <w:adjustRightInd w:val="0"/>
      <w:spacing w:line="280" w:lineRule="atLeast"/>
      <w:jc w:val="center"/>
      <w:textAlignment w:val="baseline"/>
    </w:pPr>
    <w:rPr>
      <w:color w:val="FF0000"/>
      <w:spacing w:val="-10"/>
      <w:kern w:val="0"/>
      <w:sz w:val="20"/>
    </w:rPr>
  </w:style>
  <w:style w:type="character" w:customStyle="1" w:styleId="241">
    <w:name w:val="articlebody1"/>
    <w:qFormat/>
    <w:uiPriority w:val="0"/>
    <w:rPr>
      <w:rFonts w:ascii="宋体" w:hAnsi="宋体" w:eastAsia="宋体" w:cs="宋体"/>
      <w:color w:val="333333"/>
      <w:kern w:val="2"/>
      <w:sz w:val="21"/>
      <w:szCs w:val="21"/>
      <w:lang w:val="en-US" w:eastAsia="zh-CN" w:bidi="ar-SA"/>
    </w:rPr>
  </w:style>
  <w:style w:type="character" w:customStyle="1" w:styleId="242">
    <w:name w:val="标题 3 Char1"/>
    <w:qFormat/>
    <w:uiPriority w:val="0"/>
    <w:rPr>
      <w:rFonts w:ascii="宋体" w:hAnsi="宋体" w:eastAsia="宋体" w:cs="宋体"/>
      <w:b/>
      <w:bCs/>
      <w:caps/>
      <w:color w:val="000000"/>
      <w:kern w:val="2"/>
      <w:sz w:val="28"/>
      <w:szCs w:val="24"/>
      <w:lang w:val="zh-CN" w:eastAsia="zh-CN" w:bidi="ar-SA"/>
    </w:rPr>
  </w:style>
  <w:style w:type="character" w:customStyle="1" w:styleId="243">
    <w:name w:val="apple-style-span"/>
    <w:qFormat/>
    <w:uiPriority w:val="0"/>
    <w:rPr>
      <w:rFonts w:ascii="宋体" w:hAnsi="宋体" w:eastAsia="宋体" w:cs="宋体"/>
      <w:kern w:val="2"/>
      <w:sz w:val="24"/>
      <w:szCs w:val="24"/>
      <w:lang w:val="en-US" w:eastAsia="zh-CN" w:bidi="ar-SA"/>
    </w:rPr>
  </w:style>
  <w:style w:type="character" w:customStyle="1" w:styleId="244">
    <w:name w:val="ssmj9"/>
    <w:qFormat/>
    <w:uiPriority w:val="0"/>
  </w:style>
  <w:style w:type="character" w:customStyle="1" w:styleId="245">
    <w:name w:val="sfrxxz"/>
    <w:qFormat/>
    <w:uiPriority w:val="0"/>
  </w:style>
  <w:style w:type="character" w:customStyle="1" w:styleId="246">
    <w:name w:val="无间隔 字符"/>
    <w:link w:val="247"/>
    <w:qFormat/>
    <w:uiPriority w:val="0"/>
    <w:rPr>
      <w:rFonts w:ascii="Calibri" w:hAnsi="Calibri"/>
      <w:sz w:val="24"/>
      <w:szCs w:val="32"/>
      <w:lang w:eastAsia="en-US" w:bidi="en-US"/>
    </w:rPr>
  </w:style>
  <w:style w:type="paragraph" w:styleId="247">
    <w:name w:val="No Spacing"/>
    <w:basedOn w:val="1"/>
    <w:link w:val="246"/>
    <w:qFormat/>
    <w:uiPriority w:val="0"/>
    <w:pPr>
      <w:widowControl/>
      <w:jc w:val="left"/>
    </w:pPr>
    <w:rPr>
      <w:rFonts w:ascii="Calibri" w:hAnsi="Calibri"/>
      <w:kern w:val="0"/>
      <w:sz w:val="24"/>
      <w:szCs w:val="32"/>
      <w:lang w:eastAsia="en-US" w:bidi="en-US"/>
    </w:rPr>
  </w:style>
  <w:style w:type="character" w:customStyle="1" w:styleId="248">
    <w:name w:val="news_line"/>
    <w:qFormat/>
    <w:uiPriority w:val="0"/>
    <w:rPr>
      <w:rFonts w:ascii="宋体" w:hAnsi="宋体" w:eastAsia="宋体" w:cs="宋体"/>
      <w:kern w:val="2"/>
      <w:sz w:val="24"/>
      <w:szCs w:val="24"/>
      <w:lang w:val="en-US" w:eastAsia="zh-CN" w:bidi="ar-SA"/>
    </w:rPr>
  </w:style>
  <w:style w:type="character" w:customStyle="1" w:styleId="249">
    <w:name w:val="正文缩进2"/>
    <w:qFormat/>
    <w:uiPriority w:val="0"/>
    <w:rPr>
      <w:rFonts w:ascii="仿宋_GB2312" w:eastAsia="仿宋_GB2312"/>
      <w:kern w:val="2"/>
      <w:sz w:val="28"/>
      <w:szCs w:val="24"/>
      <w:lang w:val="en-US" w:eastAsia="zh-CN" w:bidi="ar-SA"/>
    </w:rPr>
  </w:style>
  <w:style w:type="character" w:customStyle="1" w:styleId="250">
    <w:name w:val="正文文本 字符1"/>
    <w:semiHidden/>
    <w:qFormat/>
    <w:uiPriority w:val="0"/>
    <w:rPr>
      <w:rFonts w:ascii="Times New Roman" w:hAnsi="Times New Roman" w:eastAsia="宋体"/>
      <w:sz w:val="24"/>
    </w:rPr>
  </w:style>
  <w:style w:type="character" w:customStyle="1" w:styleId="251">
    <w:name w:val="241"/>
    <w:qFormat/>
    <w:uiPriority w:val="0"/>
    <w:rPr>
      <w:rFonts w:ascii="宋体" w:hAnsi="宋体" w:eastAsia="宋体" w:cs="宋体"/>
      <w:kern w:val="2"/>
      <w:sz w:val="24"/>
      <w:szCs w:val="24"/>
      <w:lang w:val="en-US" w:eastAsia="zh-CN" w:bidi="ar-SA"/>
    </w:rPr>
  </w:style>
  <w:style w:type="character" w:customStyle="1" w:styleId="252">
    <w:name w:val="样式84 Char Char"/>
    <w:link w:val="253"/>
    <w:qFormat/>
    <w:uiPriority w:val="0"/>
    <w:rPr>
      <w:rFonts w:ascii="宋体" w:hAnsi="宋体"/>
      <w:color w:val="000000"/>
      <w:sz w:val="24"/>
      <w:szCs w:val="24"/>
    </w:rPr>
  </w:style>
  <w:style w:type="paragraph" w:customStyle="1" w:styleId="253">
    <w:name w:val="样式84"/>
    <w:basedOn w:val="1"/>
    <w:link w:val="252"/>
    <w:qFormat/>
    <w:uiPriority w:val="0"/>
    <w:pPr>
      <w:snapToGrid w:val="0"/>
      <w:spacing w:line="520" w:lineRule="exact"/>
      <w:ind w:firstLine="560" w:firstLineChars="200"/>
    </w:pPr>
    <w:rPr>
      <w:rFonts w:ascii="宋体" w:hAnsi="宋体"/>
      <w:color w:val="000000"/>
      <w:kern w:val="0"/>
      <w:sz w:val="24"/>
    </w:rPr>
  </w:style>
  <w:style w:type="character" w:customStyle="1" w:styleId="254">
    <w:name w:val="广石化正文 Char"/>
    <w:link w:val="255"/>
    <w:qFormat/>
    <w:uiPriority w:val="0"/>
    <w:rPr>
      <w:rFonts w:ascii="宋体" w:hAnsi="宋体"/>
      <w:kern w:val="2"/>
      <w:sz w:val="28"/>
      <w:szCs w:val="28"/>
    </w:rPr>
  </w:style>
  <w:style w:type="paragraph" w:customStyle="1" w:styleId="255">
    <w:name w:val="广石化正文"/>
    <w:basedOn w:val="1"/>
    <w:link w:val="254"/>
    <w:qFormat/>
    <w:uiPriority w:val="0"/>
    <w:pPr>
      <w:tabs>
        <w:tab w:val="left" w:pos="6520"/>
        <w:tab w:val="left" w:leader="dot" w:pos="8220"/>
      </w:tabs>
      <w:spacing w:line="520" w:lineRule="exact"/>
      <w:ind w:firstLine="538" w:firstLineChars="192"/>
    </w:pPr>
    <w:rPr>
      <w:rFonts w:ascii="宋体" w:hAnsi="宋体"/>
      <w:sz w:val="28"/>
      <w:szCs w:val="28"/>
    </w:rPr>
  </w:style>
  <w:style w:type="character" w:customStyle="1" w:styleId="256">
    <w:name w:val="脚注文本 字符1"/>
    <w:qFormat/>
    <w:uiPriority w:val="0"/>
    <w:rPr>
      <w:kern w:val="2"/>
      <w:sz w:val="18"/>
      <w:szCs w:val="18"/>
    </w:rPr>
  </w:style>
  <w:style w:type="character" w:customStyle="1" w:styleId="257">
    <w:name w:val="批注文字 字符1"/>
    <w:semiHidden/>
    <w:qFormat/>
    <w:uiPriority w:val="0"/>
    <w:rPr>
      <w:rFonts w:ascii="Times New Roman" w:hAnsi="Times New Roman" w:eastAsia="宋体"/>
      <w:sz w:val="24"/>
    </w:rPr>
  </w:style>
  <w:style w:type="character" w:customStyle="1" w:styleId="258">
    <w:name w:val="文章正文样式 Char"/>
    <w:link w:val="259"/>
    <w:qFormat/>
    <w:uiPriority w:val="0"/>
    <w:rPr>
      <w:rFonts w:ascii="宋体" w:hAnsi="宋体" w:cs="宋体"/>
      <w:kern w:val="2"/>
      <w:sz w:val="24"/>
    </w:rPr>
  </w:style>
  <w:style w:type="paragraph" w:customStyle="1" w:styleId="259">
    <w:name w:val="文章正文样式"/>
    <w:basedOn w:val="1"/>
    <w:link w:val="258"/>
    <w:qFormat/>
    <w:uiPriority w:val="0"/>
    <w:pPr>
      <w:spacing w:line="520" w:lineRule="exact"/>
      <w:ind w:firstLine="480" w:firstLineChars="200"/>
      <w:jc w:val="left"/>
    </w:pPr>
    <w:rPr>
      <w:rFonts w:ascii="宋体" w:hAnsi="宋体" w:cs="宋体"/>
      <w:sz w:val="24"/>
      <w:szCs w:val="20"/>
    </w:rPr>
  </w:style>
  <w:style w:type="character" w:customStyle="1" w:styleId="260">
    <w:name w:val="标题2"/>
    <w:qFormat/>
    <w:uiPriority w:val="0"/>
  </w:style>
  <w:style w:type="character" w:customStyle="1" w:styleId="261">
    <w:name w:val="样式7 Char Char"/>
    <w:link w:val="262"/>
    <w:qFormat/>
    <w:uiPriority w:val="0"/>
    <w:rPr>
      <w:rFonts w:ascii="宋体" w:hAnsi="宋体"/>
      <w:color w:val="000000"/>
      <w:sz w:val="24"/>
      <w:szCs w:val="24"/>
    </w:rPr>
  </w:style>
  <w:style w:type="paragraph" w:customStyle="1" w:styleId="262">
    <w:name w:val="样式7"/>
    <w:basedOn w:val="1"/>
    <w:next w:val="1"/>
    <w:link w:val="261"/>
    <w:qFormat/>
    <w:uiPriority w:val="0"/>
    <w:pPr>
      <w:spacing w:line="360" w:lineRule="auto"/>
      <w:ind w:firstLine="480" w:firstLineChars="200"/>
    </w:pPr>
    <w:rPr>
      <w:rFonts w:ascii="宋体" w:hAnsi="宋体"/>
      <w:color w:val="000000"/>
      <w:kern w:val="0"/>
      <w:sz w:val="24"/>
    </w:rPr>
  </w:style>
  <w:style w:type="character" w:customStyle="1" w:styleId="263">
    <w:name w:val="样式5 Char Char"/>
    <w:link w:val="57"/>
    <w:qFormat/>
    <w:uiPriority w:val="0"/>
    <w:rPr>
      <w:rFonts w:ascii="宋体"/>
      <w:szCs w:val="21"/>
    </w:rPr>
  </w:style>
  <w:style w:type="character" w:customStyle="1" w:styleId="264">
    <w:name w:val="正文1 Char"/>
    <w:link w:val="58"/>
    <w:qFormat/>
    <w:uiPriority w:val="0"/>
    <w:rPr>
      <w:kern w:val="2"/>
      <w:sz w:val="28"/>
      <w:szCs w:val="24"/>
    </w:rPr>
  </w:style>
  <w:style w:type="character" w:customStyle="1" w:styleId="265">
    <w:name w:val="unnamed21"/>
    <w:qFormat/>
    <w:uiPriority w:val="0"/>
    <w:rPr>
      <w:rFonts w:ascii="宋体" w:hAnsi="宋体" w:eastAsia="宋体" w:cs="宋体"/>
      <w:kern w:val="2"/>
      <w:sz w:val="18"/>
      <w:szCs w:val="18"/>
      <w:lang w:val="en-US" w:eastAsia="zh-CN" w:bidi="ar-SA"/>
    </w:rPr>
  </w:style>
  <w:style w:type="character" w:customStyle="1" w:styleId="266">
    <w:name w:val="表格填充1 Char"/>
    <w:link w:val="267"/>
    <w:qFormat/>
    <w:uiPriority w:val="0"/>
    <w:rPr>
      <w:snapToGrid/>
      <w:kern w:val="2"/>
      <w:sz w:val="24"/>
      <w:szCs w:val="18"/>
    </w:rPr>
  </w:style>
  <w:style w:type="paragraph" w:customStyle="1" w:styleId="267">
    <w:name w:val="表格填充1"/>
    <w:basedOn w:val="1"/>
    <w:link w:val="266"/>
    <w:semiHidden/>
    <w:qFormat/>
    <w:uiPriority w:val="0"/>
    <w:pPr>
      <w:adjustRightInd w:val="0"/>
      <w:snapToGrid w:val="0"/>
      <w:spacing w:line="400" w:lineRule="exact"/>
      <w:jc w:val="center"/>
    </w:pPr>
    <w:rPr>
      <w:snapToGrid w:val="0"/>
      <w:sz w:val="24"/>
      <w:szCs w:val="18"/>
    </w:rPr>
  </w:style>
  <w:style w:type="character" w:customStyle="1" w:styleId="268">
    <w:name w:val="Char Char6"/>
    <w:qFormat/>
    <w:uiPriority w:val="0"/>
    <w:rPr>
      <w:rFonts w:ascii="宋体" w:hAnsi="宋体" w:eastAsia="宋体" w:cs="宋体"/>
      <w:b/>
      <w:bCs/>
      <w:i/>
      <w:iCs/>
      <w:kern w:val="2"/>
      <w:sz w:val="26"/>
      <w:szCs w:val="26"/>
      <w:lang w:val="en-US" w:eastAsia="zh-CN" w:bidi="ar-SA"/>
    </w:rPr>
  </w:style>
  <w:style w:type="character" w:customStyle="1" w:styleId="269">
    <w:name w:val="标题 4 Char4"/>
    <w:qFormat/>
    <w:uiPriority w:val="0"/>
    <w:rPr>
      <w:rFonts w:ascii="宋体" w:hAnsi="宋体" w:eastAsia="宋体" w:cs="宋体"/>
      <w:b/>
      <w:snapToGrid/>
      <w:kern w:val="2"/>
      <w:sz w:val="24"/>
      <w:szCs w:val="24"/>
      <w:lang w:val="en-GB" w:eastAsia="zh-CN" w:bidi="ar-SA"/>
    </w:rPr>
  </w:style>
  <w:style w:type="character" w:customStyle="1" w:styleId="270">
    <w:name w:val="Footer1 Char Char"/>
    <w:qFormat/>
    <w:uiPriority w:val="0"/>
    <w:rPr>
      <w:rFonts w:eastAsia="宋体"/>
      <w:kern w:val="2"/>
      <w:sz w:val="18"/>
      <w:szCs w:val="18"/>
      <w:lang w:val="en-US" w:eastAsia="zh-CN" w:bidi="ar-SA"/>
    </w:rPr>
  </w:style>
  <w:style w:type="character" w:customStyle="1" w:styleId="271">
    <w:name w:val="公式 Char Char"/>
    <w:link w:val="272"/>
    <w:qFormat/>
    <w:uiPriority w:val="0"/>
    <w:rPr>
      <w:rFonts w:ascii="宋体"/>
      <w:kern w:val="16"/>
      <w:sz w:val="24"/>
    </w:rPr>
  </w:style>
  <w:style w:type="paragraph" w:customStyle="1" w:styleId="272">
    <w:name w:val="公式"/>
    <w:basedOn w:val="1"/>
    <w:link w:val="271"/>
    <w:qFormat/>
    <w:uiPriority w:val="0"/>
    <w:pPr>
      <w:adjustRightInd w:val="0"/>
      <w:spacing w:before="240" w:after="240" w:line="480" w:lineRule="exact"/>
      <w:ind w:firstLine="200" w:firstLineChars="200"/>
      <w:jc w:val="center"/>
      <w:textAlignment w:val="baseline"/>
    </w:pPr>
    <w:rPr>
      <w:rFonts w:ascii="宋体"/>
      <w:kern w:val="16"/>
      <w:sz w:val="24"/>
      <w:szCs w:val="20"/>
    </w:rPr>
  </w:style>
  <w:style w:type="character" w:customStyle="1" w:styleId="273">
    <w:name w:val="style2_title1"/>
    <w:qFormat/>
    <w:uiPriority w:val="0"/>
    <w:rPr>
      <w:b/>
      <w:bCs/>
      <w:sz w:val="25"/>
      <w:szCs w:val="25"/>
    </w:rPr>
  </w:style>
  <w:style w:type="character" w:customStyle="1" w:styleId="274">
    <w:name w:val="表格题目 Char"/>
    <w:link w:val="275"/>
    <w:qFormat/>
    <w:uiPriority w:val="0"/>
    <w:rPr>
      <w:rFonts w:ascii="宋体" w:hAnsi="宋体"/>
      <w:sz w:val="24"/>
      <w:szCs w:val="24"/>
    </w:rPr>
  </w:style>
  <w:style w:type="paragraph" w:customStyle="1" w:styleId="275">
    <w:name w:val="表格题目"/>
    <w:basedOn w:val="1"/>
    <w:link w:val="274"/>
    <w:qFormat/>
    <w:uiPriority w:val="0"/>
    <w:pPr>
      <w:spacing w:line="360" w:lineRule="auto"/>
      <w:ind w:firstLine="480" w:firstLineChars="200"/>
    </w:pPr>
    <w:rPr>
      <w:rFonts w:ascii="宋体" w:hAnsi="宋体"/>
      <w:kern w:val="0"/>
      <w:sz w:val="24"/>
      <w:shd w:val="clear" w:color="auto" w:fill="FFFFFF"/>
    </w:rPr>
  </w:style>
  <w:style w:type="character" w:customStyle="1" w:styleId="276">
    <w:name w:val="表格 Char Char"/>
    <w:qFormat/>
    <w:uiPriority w:val="0"/>
    <w:rPr>
      <w:kern w:val="2"/>
      <w:sz w:val="24"/>
      <w:szCs w:val="24"/>
      <w:lang w:bidi="ar-SA"/>
    </w:rPr>
  </w:style>
  <w:style w:type="character" w:customStyle="1" w:styleId="277">
    <w:name w:val="text_edit editable-title"/>
    <w:qFormat/>
    <w:uiPriority w:val="0"/>
  </w:style>
  <w:style w:type="character" w:customStyle="1" w:styleId="278">
    <w:name w:val="s c c"/>
    <w:qFormat/>
    <w:uiPriority w:val="0"/>
  </w:style>
  <w:style w:type="character" w:customStyle="1" w:styleId="279">
    <w:name w:val="tpc_content1"/>
    <w:qFormat/>
    <w:uiPriority w:val="0"/>
    <w:rPr>
      <w:rFonts w:ascii="宋体" w:hAnsi="宋体" w:eastAsia="宋体" w:cs="宋体"/>
      <w:kern w:val="2"/>
      <w:sz w:val="24"/>
      <w:szCs w:val="24"/>
      <w:lang w:val="en-US" w:eastAsia="zh-CN" w:bidi="ar-SA"/>
    </w:rPr>
  </w:style>
  <w:style w:type="character" w:customStyle="1" w:styleId="280">
    <w:name w:val="样式16 Char Char"/>
    <w:link w:val="281"/>
    <w:qFormat/>
    <w:uiPriority w:val="0"/>
    <w:rPr>
      <w:rFonts w:eastAsia="楷体_GB2312"/>
      <w:b/>
      <w:bCs/>
      <w:color w:val="000000"/>
      <w:sz w:val="32"/>
      <w:szCs w:val="32"/>
    </w:rPr>
  </w:style>
  <w:style w:type="paragraph" w:customStyle="1" w:styleId="281">
    <w:name w:val="样式16"/>
    <w:basedOn w:val="7"/>
    <w:link w:val="280"/>
    <w:qFormat/>
    <w:uiPriority w:val="0"/>
    <w:pPr>
      <w:tabs>
        <w:tab w:val="left" w:pos="390"/>
      </w:tabs>
      <w:overflowPunct/>
      <w:snapToGrid/>
      <w:spacing w:before="340" w:beforeLines="100" w:after="330" w:afterLines="100" w:line="240" w:lineRule="auto"/>
      <w:ind w:left="390" w:firstLine="0"/>
      <w:jc w:val="center"/>
    </w:pPr>
    <w:rPr>
      <w:rFonts w:eastAsia="楷体_GB2312"/>
      <w:kern w:val="0"/>
      <w:sz w:val="32"/>
      <w:szCs w:val="32"/>
    </w:rPr>
  </w:style>
  <w:style w:type="character" w:customStyle="1" w:styleId="282">
    <w:name w:val="su21"/>
    <w:qFormat/>
    <w:uiPriority w:val="0"/>
  </w:style>
  <w:style w:type="character" w:customStyle="1" w:styleId="283">
    <w:name w:val="文本 Char Char"/>
    <w:link w:val="284"/>
    <w:qFormat/>
    <w:uiPriority w:val="0"/>
    <w:rPr>
      <w:rFonts w:ascii="宋体" w:hAnsi="宋体"/>
      <w:sz w:val="24"/>
      <w:szCs w:val="24"/>
    </w:rPr>
  </w:style>
  <w:style w:type="paragraph" w:customStyle="1" w:styleId="284">
    <w:name w:val="文本"/>
    <w:basedOn w:val="1"/>
    <w:link w:val="283"/>
    <w:qFormat/>
    <w:uiPriority w:val="0"/>
    <w:pPr>
      <w:spacing w:after="60" w:line="440" w:lineRule="exact"/>
      <w:ind w:firstLine="480" w:firstLineChars="200"/>
    </w:pPr>
    <w:rPr>
      <w:rFonts w:ascii="宋体" w:hAnsi="宋体"/>
      <w:kern w:val="0"/>
      <w:sz w:val="24"/>
    </w:rPr>
  </w:style>
  <w:style w:type="character" w:customStyle="1" w:styleId="285">
    <w:name w:val="样式19 Char Char"/>
    <w:link w:val="286"/>
    <w:qFormat/>
    <w:uiPriority w:val="0"/>
    <w:rPr>
      <w:b/>
      <w:bCs/>
      <w:kern w:val="44"/>
      <w:sz w:val="32"/>
      <w:szCs w:val="44"/>
    </w:rPr>
  </w:style>
  <w:style w:type="paragraph" w:customStyle="1" w:styleId="286">
    <w:name w:val="样式19"/>
    <w:basedOn w:val="7"/>
    <w:link w:val="285"/>
    <w:qFormat/>
    <w:uiPriority w:val="0"/>
    <w:pPr>
      <w:keepLines/>
      <w:numPr>
        <w:ilvl w:val="0"/>
        <w:numId w:val="2"/>
      </w:numPr>
      <w:overflowPunct/>
      <w:snapToGrid/>
      <w:spacing w:before="0" w:after="0" w:line="360" w:lineRule="auto"/>
    </w:pPr>
    <w:rPr>
      <w:rFonts w:eastAsia="宋体"/>
      <w:color w:val="auto"/>
      <w:sz w:val="32"/>
      <w:szCs w:val="44"/>
    </w:rPr>
  </w:style>
  <w:style w:type="character" w:customStyle="1" w:styleId="287">
    <w:name w:val="source"/>
    <w:qFormat/>
    <w:uiPriority w:val="0"/>
  </w:style>
  <w:style w:type="character" w:customStyle="1" w:styleId="288">
    <w:name w:val="表内字 Char1"/>
    <w:link w:val="289"/>
    <w:qFormat/>
    <w:uiPriority w:val="0"/>
    <w:rPr>
      <w:kern w:val="2"/>
      <w:sz w:val="21"/>
    </w:rPr>
  </w:style>
  <w:style w:type="paragraph" w:customStyle="1" w:styleId="289">
    <w:name w:val="表内字"/>
    <w:link w:val="288"/>
    <w:qFormat/>
    <w:uiPriority w:val="0"/>
    <w:pPr>
      <w:spacing w:before="80" w:after="80"/>
      <w:jc w:val="both"/>
    </w:pPr>
    <w:rPr>
      <w:rFonts w:ascii="Times New Roman" w:hAnsi="Times New Roman" w:eastAsia="宋体" w:cs="Times New Roman"/>
      <w:kern w:val="2"/>
      <w:sz w:val="21"/>
      <w:lang w:val="en-US" w:eastAsia="zh-CN" w:bidi="ar-SA"/>
    </w:rPr>
  </w:style>
  <w:style w:type="character" w:customStyle="1" w:styleId="290">
    <w:name w:val="标题 2 Char"/>
    <w:qFormat/>
    <w:uiPriority w:val="9"/>
    <w:rPr>
      <w:rFonts w:ascii="Cambria" w:hAnsi="Cambria" w:eastAsia="宋体" w:cs="Times New Roman"/>
      <w:b/>
      <w:bCs/>
      <w:sz w:val="32"/>
      <w:szCs w:val="32"/>
    </w:rPr>
  </w:style>
  <w:style w:type="character" w:customStyle="1" w:styleId="291">
    <w:name w:val="报告书正文 Char1"/>
    <w:link w:val="292"/>
    <w:qFormat/>
    <w:uiPriority w:val="0"/>
    <w:rPr>
      <w:sz w:val="18"/>
      <w:szCs w:val="18"/>
      <w:lang w:val="zh-CN"/>
    </w:rPr>
  </w:style>
  <w:style w:type="paragraph" w:customStyle="1" w:styleId="292">
    <w:name w:val="报告书正文"/>
    <w:basedOn w:val="1"/>
    <w:link w:val="291"/>
    <w:qFormat/>
    <w:uiPriority w:val="0"/>
    <w:pPr>
      <w:adjustRightInd w:val="0"/>
      <w:spacing w:beforeLines="50" w:line="360" w:lineRule="auto"/>
      <w:ind w:firstLine="480" w:firstLineChars="200"/>
      <w:textAlignment w:val="baseline"/>
    </w:pPr>
    <w:rPr>
      <w:kern w:val="0"/>
      <w:sz w:val="18"/>
      <w:szCs w:val="18"/>
      <w:lang w:val="zh-CN"/>
    </w:rPr>
  </w:style>
  <w:style w:type="character" w:customStyle="1" w:styleId="293">
    <w:name w:val="css-text3"/>
    <w:qFormat/>
    <w:uiPriority w:val="0"/>
  </w:style>
  <w:style w:type="character" w:customStyle="1" w:styleId="294">
    <w:name w:val="样式 标题 3H31.1.1标题 3条标题1.1.1h3level_3PIM 3Level 3 HeadHead...1 Char Char"/>
    <w:link w:val="295"/>
    <w:qFormat/>
    <w:uiPriority w:val="0"/>
    <w:rPr>
      <w:rFonts w:ascii="黑体" w:hAnsi="黑体" w:eastAsia="黑体"/>
      <w:b/>
      <w:bCs/>
      <w:sz w:val="28"/>
      <w:szCs w:val="32"/>
    </w:rPr>
  </w:style>
  <w:style w:type="paragraph" w:customStyle="1" w:styleId="295">
    <w:name w:val="样式 标题 3H31.1.1标题 3条标题1.1.1h3level_3PIM 3Level 3 HeadHead...1"/>
    <w:basedOn w:val="9"/>
    <w:link w:val="294"/>
    <w:qFormat/>
    <w:uiPriority w:val="0"/>
    <w:pPr>
      <w:tabs>
        <w:tab w:val="left" w:pos="1260"/>
      </w:tabs>
      <w:ind w:left="1260" w:hanging="420"/>
    </w:pPr>
    <w:rPr>
      <w:rFonts w:ascii="黑体" w:hAnsi="黑体" w:eastAsia="黑体"/>
      <w:kern w:val="0"/>
      <w:sz w:val="28"/>
    </w:rPr>
  </w:style>
  <w:style w:type="character" w:customStyle="1" w:styleId="296">
    <w:name w:val="默认段落字体 Para Char Char Char Char Char"/>
    <w:link w:val="297"/>
    <w:qFormat/>
    <w:uiPriority w:val="0"/>
    <w:rPr>
      <w:kern w:val="2"/>
      <w:sz w:val="21"/>
      <w:szCs w:val="21"/>
    </w:rPr>
  </w:style>
  <w:style w:type="paragraph" w:customStyle="1" w:styleId="297">
    <w:name w:val="默认段落字体 Para Char Char Char Char"/>
    <w:basedOn w:val="1"/>
    <w:link w:val="296"/>
    <w:qFormat/>
    <w:uiPriority w:val="0"/>
  </w:style>
  <w:style w:type="character" w:customStyle="1" w:styleId="298">
    <w:name w:val="博泵1 Char Char"/>
    <w:link w:val="299"/>
    <w:qFormat/>
    <w:uiPriority w:val="0"/>
    <w:rPr>
      <w:rFonts w:hAnsi="宋体"/>
      <w:color w:val="000000"/>
      <w:sz w:val="24"/>
    </w:rPr>
  </w:style>
  <w:style w:type="paragraph" w:customStyle="1" w:styleId="299">
    <w:name w:val="博泵1"/>
    <w:basedOn w:val="1"/>
    <w:link w:val="298"/>
    <w:qFormat/>
    <w:uiPriority w:val="0"/>
    <w:pPr>
      <w:adjustRightInd w:val="0"/>
      <w:spacing w:line="480" w:lineRule="exact"/>
      <w:ind w:firstLine="200" w:firstLineChars="200"/>
      <w:jc w:val="left"/>
      <w:textAlignment w:val="baseline"/>
    </w:pPr>
    <w:rPr>
      <w:rFonts w:hAnsi="宋体"/>
      <w:color w:val="000000"/>
      <w:kern w:val="0"/>
      <w:sz w:val="24"/>
      <w:szCs w:val="20"/>
    </w:rPr>
  </w:style>
  <w:style w:type="character" w:customStyle="1" w:styleId="300">
    <w:name w:val="特点标题 Char1"/>
    <w:qFormat/>
    <w:uiPriority w:val="0"/>
    <w:rPr>
      <w:rFonts w:eastAsia="宋体"/>
      <w:kern w:val="2"/>
      <w:sz w:val="24"/>
      <w:szCs w:val="21"/>
      <w:lang w:val="en-US" w:eastAsia="zh-CN" w:bidi="ar-SA"/>
    </w:rPr>
  </w:style>
  <w:style w:type="character" w:customStyle="1" w:styleId="301">
    <w:name w:val="报告标题3 Char Char"/>
    <w:link w:val="302"/>
    <w:qFormat/>
    <w:uiPriority w:val="0"/>
    <w:rPr>
      <w:b/>
      <w:bCs/>
      <w:color w:val="000000"/>
      <w:sz w:val="28"/>
      <w:szCs w:val="28"/>
    </w:rPr>
  </w:style>
  <w:style w:type="paragraph" w:customStyle="1" w:styleId="302">
    <w:name w:val="报告标题3"/>
    <w:basedOn w:val="9"/>
    <w:link w:val="301"/>
    <w:qFormat/>
    <w:uiPriority w:val="0"/>
    <w:pPr>
      <w:tabs>
        <w:tab w:val="left" w:pos="1260"/>
      </w:tabs>
      <w:spacing w:before="60" w:after="60" w:line="360" w:lineRule="auto"/>
      <w:ind w:left="1260" w:hanging="420"/>
    </w:pPr>
    <w:rPr>
      <w:color w:val="000000"/>
      <w:kern w:val="0"/>
      <w:sz w:val="28"/>
      <w:szCs w:val="28"/>
    </w:rPr>
  </w:style>
  <w:style w:type="character" w:customStyle="1" w:styleId="303">
    <w:name w:val="f141"/>
    <w:qFormat/>
    <w:uiPriority w:val="0"/>
    <w:rPr>
      <w:color w:val="000000"/>
      <w:sz w:val="21"/>
      <w:szCs w:val="21"/>
    </w:rPr>
  </w:style>
  <w:style w:type="character" w:customStyle="1" w:styleId="304">
    <w:name w:val="Plain Text Char1 Char2"/>
    <w:qFormat/>
    <w:uiPriority w:val="0"/>
    <w:rPr>
      <w:rFonts w:ascii="宋体" w:hAnsi="Courier New" w:eastAsia="宋体"/>
      <w:kern w:val="2"/>
      <w:sz w:val="21"/>
      <w:szCs w:val="21"/>
      <w:lang w:val="en-US" w:eastAsia="zh-CN" w:bidi="ar-SA"/>
    </w:rPr>
  </w:style>
  <w:style w:type="character" w:customStyle="1" w:styleId="305">
    <w:name w:val="ourfont11"/>
    <w:qFormat/>
    <w:uiPriority w:val="0"/>
    <w:rPr>
      <w:sz w:val="20"/>
    </w:rPr>
  </w:style>
  <w:style w:type="character" w:customStyle="1" w:styleId="306">
    <w:name w:val="Footer1 Char2"/>
    <w:qFormat/>
    <w:uiPriority w:val="0"/>
    <w:rPr>
      <w:sz w:val="18"/>
      <w:szCs w:val="18"/>
      <w:lang w:bidi="ar-SA"/>
    </w:rPr>
  </w:style>
  <w:style w:type="character" w:customStyle="1" w:styleId="307">
    <w:name w:val="文本正文 Char"/>
    <w:link w:val="308"/>
    <w:semiHidden/>
    <w:qFormat/>
    <w:uiPriority w:val="0"/>
    <w:rPr>
      <w:snapToGrid/>
      <w:sz w:val="24"/>
      <w:szCs w:val="24"/>
    </w:rPr>
  </w:style>
  <w:style w:type="paragraph" w:customStyle="1" w:styleId="308">
    <w:name w:val="文本正文"/>
    <w:basedOn w:val="1"/>
    <w:link w:val="307"/>
    <w:semiHidden/>
    <w:qFormat/>
    <w:uiPriority w:val="0"/>
    <w:pPr>
      <w:spacing w:line="360" w:lineRule="auto"/>
      <w:ind w:firstLine="200" w:firstLineChars="200"/>
      <w:jc w:val="left"/>
    </w:pPr>
    <w:rPr>
      <w:snapToGrid w:val="0"/>
      <w:kern w:val="0"/>
      <w:sz w:val="24"/>
    </w:rPr>
  </w:style>
  <w:style w:type="character" w:customStyle="1" w:styleId="309">
    <w:name w:val="content"/>
    <w:qFormat/>
    <w:uiPriority w:val="0"/>
    <w:rPr>
      <w:rFonts w:ascii="宋体" w:hAnsi="宋体" w:eastAsia="宋体" w:cs="宋体"/>
      <w:kern w:val="2"/>
      <w:sz w:val="24"/>
      <w:szCs w:val="24"/>
      <w:lang w:val="en-US" w:eastAsia="zh-CN" w:bidi="ar-SA"/>
    </w:rPr>
  </w:style>
  <w:style w:type="character" w:customStyle="1" w:styleId="310">
    <w:name w:val="dectext1"/>
    <w:qFormat/>
    <w:uiPriority w:val="0"/>
    <w:rPr>
      <w:rFonts w:hint="eastAsia" w:ascii="宋体" w:hAnsi="宋体" w:eastAsia="宋体"/>
      <w:color w:val="333333"/>
      <w:sz w:val="21"/>
      <w:szCs w:val="21"/>
      <w:u w:val="none"/>
    </w:rPr>
  </w:style>
  <w:style w:type="character" w:customStyle="1" w:styleId="311">
    <w:name w:val="图片居中 大王 20100426 Char"/>
    <w:link w:val="312"/>
    <w:qFormat/>
    <w:uiPriority w:val="0"/>
    <w:rPr>
      <w:snapToGrid/>
      <w:spacing w:val="10"/>
      <w:sz w:val="24"/>
    </w:rPr>
  </w:style>
  <w:style w:type="paragraph" w:customStyle="1" w:styleId="312">
    <w:name w:val="图片居中 大王 20100426"/>
    <w:basedOn w:val="1"/>
    <w:link w:val="311"/>
    <w:qFormat/>
    <w:uiPriority w:val="0"/>
    <w:pPr>
      <w:snapToGrid w:val="0"/>
      <w:spacing w:beforeLines="20" w:afterLines="20"/>
      <w:jc w:val="center"/>
    </w:pPr>
    <w:rPr>
      <w:snapToGrid w:val="0"/>
      <w:spacing w:val="10"/>
      <w:kern w:val="0"/>
      <w:sz w:val="24"/>
      <w:szCs w:val="20"/>
    </w:rPr>
  </w:style>
  <w:style w:type="character" w:customStyle="1" w:styleId="313">
    <w:name w:val="fontstyle01"/>
    <w:qFormat/>
    <w:uiPriority w:val="0"/>
    <w:rPr>
      <w:rFonts w:hint="eastAsia" w:ascii="宋体" w:hAnsi="宋体" w:eastAsia="宋体"/>
      <w:color w:val="000000"/>
      <w:sz w:val="24"/>
      <w:szCs w:val="24"/>
    </w:rPr>
  </w:style>
  <w:style w:type="character" w:customStyle="1" w:styleId="314">
    <w:name w:val="样式24 Char Char"/>
    <w:link w:val="315"/>
    <w:qFormat/>
    <w:uiPriority w:val="0"/>
    <w:rPr>
      <w:rFonts w:ascii="宋体" w:hAnsi="宋体"/>
      <w:b/>
      <w:bCs/>
      <w:spacing w:val="4"/>
      <w:sz w:val="32"/>
      <w:szCs w:val="32"/>
    </w:rPr>
  </w:style>
  <w:style w:type="paragraph" w:customStyle="1" w:styleId="315">
    <w:name w:val="样式24"/>
    <w:basedOn w:val="1"/>
    <w:link w:val="314"/>
    <w:qFormat/>
    <w:uiPriority w:val="0"/>
    <w:pPr>
      <w:keepNext/>
      <w:jc w:val="center"/>
      <w:outlineLvl w:val="1"/>
    </w:pPr>
    <w:rPr>
      <w:rFonts w:ascii="宋体" w:hAnsi="宋体"/>
      <w:b/>
      <w:bCs/>
      <w:spacing w:val="4"/>
      <w:kern w:val="0"/>
      <w:sz w:val="32"/>
      <w:szCs w:val="32"/>
    </w:rPr>
  </w:style>
  <w:style w:type="character" w:customStyle="1" w:styleId="316">
    <w:name w:val="表头1 Char Char Char"/>
    <w:qFormat/>
    <w:uiPriority w:val="0"/>
    <w:rPr>
      <w:rFonts w:eastAsia="黑体"/>
      <w:sz w:val="21"/>
      <w:szCs w:val="28"/>
      <w:lang w:val="en-US" w:eastAsia="zh-CN" w:bidi="ar-SA"/>
    </w:rPr>
  </w:style>
  <w:style w:type="character" w:customStyle="1" w:styleId="317">
    <w:name w:val="表、图名 Char"/>
    <w:link w:val="318"/>
    <w:semiHidden/>
    <w:qFormat/>
    <w:uiPriority w:val="0"/>
    <w:rPr>
      <w:rFonts w:ascii="宋体" w:eastAsia="黑体"/>
      <w:kern w:val="2"/>
      <w:sz w:val="21"/>
      <w:szCs w:val="24"/>
    </w:rPr>
  </w:style>
  <w:style w:type="paragraph" w:customStyle="1" w:styleId="318">
    <w:name w:val="表、图名"/>
    <w:basedOn w:val="1"/>
    <w:link w:val="317"/>
    <w:semiHidden/>
    <w:qFormat/>
    <w:uiPriority w:val="0"/>
    <w:pPr>
      <w:adjustRightInd w:val="0"/>
      <w:snapToGrid w:val="0"/>
      <w:spacing w:line="312" w:lineRule="atLeast"/>
      <w:jc w:val="center"/>
    </w:pPr>
    <w:rPr>
      <w:rFonts w:ascii="宋体" w:eastAsia="黑体"/>
    </w:rPr>
  </w:style>
  <w:style w:type="character" w:customStyle="1" w:styleId="319">
    <w:name w:val="Char Char Char Char Char Char Char Char Char"/>
    <w:qFormat/>
    <w:uiPriority w:val="0"/>
    <w:rPr>
      <w:rFonts w:eastAsia="宋体"/>
      <w:kern w:val="2"/>
      <w:sz w:val="18"/>
      <w:szCs w:val="18"/>
      <w:lang w:val="en-US" w:eastAsia="zh-CN" w:bidi="ar-SA"/>
    </w:rPr>
  </w:style>
  <w:style w:type="character" w:customStyle="1" w:styleId="320">
    <w:name w:val="css11"/>
    <w:qFormat/>
    <w:uiPriority w:val="0"/>
    <w:rPr>
      <w:rFonts w:hint="eastAsia" w:ascii="宋体" w:hAnsi="宋体" w:eastAsia="宋体"/>
      <w:color w:val="336633"/>
      <w:sz w:val="18"/>
      <w:szCs w:val="18"/>
    </w:rPr>
  </w:style>
  <w:style w:type="character" w:customStyle="1" w:styleId="321">
    <w:name w:val="表格内容 Char"/>
    <w:link w:val="322"/>
    <w:qFormat/>
    <w:uiPriority w:val="0"/>
    <w:rPr>
      <w:sz w:val="21"/>
      <w:szCs w:val="21"/>
    </w:rPr>
  </w:style>
  <w:style w:type="paragraph" w:customStyle="1" w:styleId="322">
    <w:name w:val="表格内容"/>
    <w:basedOn w:val="1"/>
    <w:link w:val="321"/>
    <w:qFormat/>
    <w:uiPriority w:val="99"/>
    <w:pPr>
      <w:autoSpaceDE w:val="0"/>
      <w:autoSpaceDN w:val="0"/>
      <w:adjustRightInd w:val="0"/>
      <w:jc w:val="left"/>
    </w:pPr>
    <w:rPr>
      <w:kern w:val="0"/>
    </w:rPr>
  </w:style>
  <w:style w:type="character" w:customStyle="1" w:styleId="323">
    <w:name w:val="样式69 Char Char"/>
    <w:link w:val="324"/>
    <w:qFormat/>
    <w:uiPriority w:val="0"/>
    <w:rPr>
      <w:rFonts w:ascii="宋体" w:hAnsi="宋体"/>
      <w:color w:val="000000"/>
    </w:rPr>
  </w:style>
  <w:style w:type="paragraph" w:customStyle="1" w:styleId="324">
    <w:name w:val="样式69"/>
    <w:basedOn w:val="1"/>
    <w:link w:val="323"/>
    <w:qFormat/>
    <w:uiPriority w:val="0"/>
    <w:pPr>
      <w:numPr>
        <w:ilvl w:val="0"/>
        <w:numId w:val="3"/>
      </w:numPr>
      <w:ind w:left="0" w:firstLine="0"/>
      <w:jc w:val="center"/>
    </w:pPr>
    <w:rPr>
      <w:rFonts w:ascii="宋体" w:hAnsi="宋体"/>
      <w:color w:val="000000"/>
      <w:kern w:val="0"/>
      <w:sz w:val="20"/>
      <w:szCs w:val="20"/>
    </w:rPr>
  </w:style>
  <w:style w:type="character" w:customStyle="1" w:styleId="325">
    <w:name w:val="s19n338"/>
    <w:qFormat/>
    <w:uiPriority w:val="0"/>
  </w:style>
  <w:style w:type="character" w:customStyle="1" w:styleId="326">
    <w:name w:val="1.1.1 Char Char"/>
    <w:link w:val="327"/>
    <w:qFormat/>
    <w:uiPriority w:val="0"/>
    <w:rPr>
      <w:rFonts w:eastAsia="黑体"/>
      <w:sz w:val="28"/>
      <w:szCs w:val="24"/>
    </w:rPr>
  </w:style>
  <w:style w:type="paragraph" w:customStyle="1" w:styleId="327">
    <w:name w:val="1.1.1"/>
    <w:basedOn w:val="1"/>
    <w:link w:val="326"/>
    <w:qFormat/>
    <w:uiPriority w:val="0"/>
    <w:pPr>
      <w:spacing w:line="600" w:lineRule="exact"/>
      <w:outlineLvl w:val="0"/>
    </w:pPr>
    <w:rPr>
      <w:rFonts w:eastAsia="黑体"/>
      <w:kern w:val="0"/>
      <w:sz w:val="28"/>
    </w:rPr>
  </w:style>
  <w:style w:type="character" w:customStyle="1" w:styleId="328">
    <w:name w:val="s6wwf"/>
    <w:qFormat/>
    <w:uiPriority w:val="0"/>
  </w:style>
  <w:style w:type="character" w:customStyle="1" w:styleId="329">
    <w:name w:val="正文 大王 20100426 Char"/>
    <w:link w:val="330"/>
    <w:qFormat/>
    <w:uiPriority w:val="0"/>
    <w:rPr>
      <w:snapToGrid/>
      <w:spacing w:val="10"/>
      <w:sz w:val="24"/>
    </w:rPr>
  </w:style>
  <w:style w:type="paragraph" w:customStyle="1" w:styleId="330">
    <w:name w:val="正文 大王 20100426"/>
    <w:basedOn w:val="1"/>
    <w:link w:val="329"/>
    <w:qFormat/>
    <w:uiPriority w:val="0"/>
    <w:pPr>
      <w:numPr>
        <w:ilvl w:val="2"/>
        <w:numId w:val="4"/>
      </w:numPr>
      <w:snapToGrid w:val="0"/>
      <w:spacing w:beforeLines="20" w:afterLines="20" w:line="360" w:lineRule="auto"/>
      <w:ind w:left="0" w:firstLine="520" w:firstLineChars="200"/>
    </w:pPr>
    <w:rPr>
      <w:snapToGrid w:val="0"/>
      <w:spacing w:val="10"/>
      <w:kern w:val="0"/>
      <w:sz w:val="24"/>
      <w:szCs w:val="20"/>
    </w:rPr>
  </w:style>
  <w:style w:type="character" w:customStyle="1" w:styleId="331">
    <w:name w:val="unnamed3"/>
    <w:qFormat/>
    <w:uiPriority w:val="0"/>
  </w:style>
  <w:style w:type="character" w:customStyle="1" w:styleId="332">
    <w:name w:val="表内容 Char Char"/>
    <w:qFormat/>
    <w:uiPriority w:val="0"/>
    <w:rPr>
      <w:rFonts w:eastAsia="宋体"/>
      <w:lang w:bidi="ar-SA"/>
    </w:rPr>
  </w:style>
  <w:style w:type="character" w:customStyle="1" w:styleId="333">
    <w:name w:val="question-title2"/>
    <w:qFormat/>
    <w:uiPriority w:val="0"/>
  </w:style>
  <w:style w:type="character" w:customStyle="1" w:styleId="334">
    <w:name w:val="表内文字 Char"/>
    <w:link w:val="335"/>
    <w:qFormat/>
    <w:uiPriority w:val="0"/>
    <w:rPr>
      <w:kern w:val="2"/>
      <w:sz w:val="21"/>
      <w:szCs w:val="24"/>
    </w:rPr>
  </w:style>
  <w:style w:type="paragraph" w:customStyle="1" w:styleId="335">
    <w:name w:val="表内文字"/>
    <w:basedOn w:val="1"/>
    <w:next w:val="1"/>
    <w:link w:val="334"/>
    <w:qFormat/>
    <w:uiPriority w:val="0"/>
    <w:pPr>
      <w:jc w:val="center"/>
    </w:pPr>
  </w:style>
  <w:style w:type="character" w:customStyle="1" w:styleId="336">
    <w:name w:val="postbody1"/>
    <w:qFormat/>
    <w:uiPriority w:val="0"/>
    <w:rPr>
      <w:sz w:val="21"/>
      <w:szCs w:val="21"/>
    </w:rPr>
  </w:style>
  <w:style w:type="character" w:customStyle="1" w:styleId="337">
    <w:name w:val="!正文_ALT+Z Char Char"/>
    <w:link w:val="338"/>
    <w:qFormat/>
    <w:uiPriority w:val="0"/>
    <w:rPr>
      <w:rFonts w:eastAsia="仿宋_GB2312"/>
      <w:kern w:val="2"/>
      <w:sz w:val="28"/>
      <w:szCs w:val="28"/>
    </w:rPr>
  </w:style>
  <w:style w:type="paragraph" w:customStyle="1" w:styleId="338">
    <w:name w:val="!正文_ALT+Z"/>
    <w:basedOn w:val="1"/>
    <w:link w:val="337"/>
    <w:qFormat/>
    <w:uiPriority w:val="0"/>
    <w:pPr>
      <w:spacing w:line="520" w:lineRule="exact"/>
      <w:ind w:firstLine="200" w:firstLineChars="200"/>
    </w:pPr>
    <w:rPr>
      <w:rFonts w:eastAsia="仿宋_GB2312"/>
      <w:sz w:val="28"/>
      <w:szCs w:val="28"/>
    </w:rPr>
  </w:style>
  <w:style w:type="character" w:customStyle="1" w:styleId="339">
    <w:name w:val="表头1 Char Char"/>
    <w:qFormat/>
    <w:uiPriority w:val="0"/>
    <w:rPr>
      <w:b/>
      <w:bCs/>
      <w:color w:val="000000"/>
      <w:sz w:val="24"/>
      <w:szCs w:val="24"/>
      <w:lang w:bidi="ar-SA"/>
    </w:rPr>
  </w:style>
  <w:style w:type="character" w:customStyle="1" w:styleId="340">
    <w:name w:val="正文文本缩进 Char Char"/>
    <w:qFormat/>
    <w:uiPriority w:val="0"/>
    <w:rPr>
      <w:rFonts w:ascii="Times New Roman" w:hAnsi="Times New Roman"/>
      <w:sz w:val="24"/>
    </w:rPr>
  </w:style>
  <w:style w:type="character" w:customStyle="1" w:styleId="341">
    <w:name w:val="Char Char11"/>
    <w:qFormat/>
    <w:uiPriority w:val="0"/>
    <w:rPr>
      <w:rFonts w:ascii="宋体" w:hAnsi="宋体" w:eastAsia="宋体" w:cs="宋体"/>
      <w:kern w:val="2"/>
      <w:sz w:val="18"/>
      <w:szCs w:val="18"/>
      <w:lang w:val="en-US" w:eastAsia="zh-CN" w:bidi="ar-SA"/>
    </w:rPr>
  </w:style>
  <w:style w:type="character" w:customStyle="1" w:styleId="342">
    <w:name w:val="日期 字符"/>
    <w:qFormat/>
    <w:uiPriority w:val="99"/>
    <w:rPr>
      <w:rFonts w:ascii="Times New Roman" w:hAnsi="Times New Roman" w:eastAsia="宋体"/>
      <w:sz w:val="24"/>
    </w:rPr>
  </w:style>
  <w:style w:type="character" w:customStyle="1" w:styleId="343">
    <w:name w:val="z-窗体顶端 Char"/>
    <w:link w:val="344"/>
    <w:qFormat/>
    <w:uiPriority w:val="0"/>
    <w:rPr>
      <w:rFonts w:ascii="宋体" w:hAnsi="Courier New" w:cs="宋体"/>
      <w:szCs w:val="24"/>
    </w:rPr>
  </w:style>
  <w:style w:type="paragraph" w:customStyle="1" w:styleId="344">
    <w:name w:val="z-窗体顶端1"/>
    <w:basedOn w:val="1"/>
    <w:next w:val="1"/>
    <w:link w:val="343"/>
    <w:qFormat/>
    <w:uiPriority w:val="0"/>
    <w:pPr>
      <w:pBdr>
        <w:bottom w:val="single" w:color="auto" w:sz="6" w:space="1"/>
      </w:pBdr>
      <w:adjustRightInd w:val="0"/>
      <w:snapToGrid w:val="0"/>
      <w:spacing w:line="300" w:lineRule="auto"/>
      <w:jc w:val="center"/>
    </w:pPr>
    <w:rPr>
      <w:rFonts w:ascii="宋体" w:hAnsi="Courier New" w:cs="宋体"/>
      <w:kern w:val="0"/>
      <w:sz w:val="20"/>
    </w:rPr>
  </w:style>
  <w:style w:type="character" w:customStyle="1" w:styleId="345">
    <w:name w:val="tpc_content"/>
    <w:qFormat/>
    <w:uiPriority w:val="0"/>
    <w:rPr>
      <w:rFonts w:ascii="宋体" w:hAnsi="宋体" w:eastAsia="宋体" w:cs="宋体"/>
      <w:kern w:val="2"/>
      <w:sz w:val="24"/>
      <w:szCs w:val="24"/>
      <w:lang w:val="en-US" w:eastAsia="zh-CN" w:bidi="ar-SA"/>
    </w:rPr>
  </w:style>
  <w:style w:type="character" w:customStyle="1" w:styleId="346">
    <w:name w:val="text_new"/>
    <w:qFormat/>
    <w:uiPriority w:val="0"/>
  </w:style>
  <w:style w:type="character" w:customStyle="1" w:styleId="347">
    <w:name w:val="Char Char12"/>
    <w:qFormat/>
    <w:uiPriority w:val="0"/>
    <w:rPr>
      <w:rFonts w:eastAsia="宋体"/>
      <w:kern w:val="2"/>
      <w:sz w:val="18"/>
      <w:szCs w:val="18"/>
      <w:lang w:val="en-US" w:eastAsia="zh-CN" w:bidi="ar-SA"/>
    </w:rPr>
  </w:style>
  <w:style w:type="character" w:customStyle="1" w:styleId="348">
    <w:name w:val="表 标题 Char Char"/>
    <w:link w:val="349"/>
    <w:qFormat/>
    <w:uiPriority w:val="0"/>
    <w:rPr>
      <w:b/>
      <w:sz w:val="24"/>
    </w:rPr>
  </w:style>
  <w:style w:type="paragraph" w:customStyle="1" w:styleId="349">
    <w:name w:val="表 标题"/>
    <w:basedOn w:val="72"/>
    <w:next w:val="1"/>
    <w:link w:val="348"/>
    <w:qFormat/>
    <w:uiPriority w:val="0"/>
    <w:pPr>
      <w:tabs>
        <w:tab w:val="clear" w:pos="8312"/>
      </w:tabs>
      <w:adjustRightInd/>
      <w:spacing w:beforeLines="50" w:line="240" w:lineRule="auto"/>
      <w:jc w:val="center"/>
      <w:textAlignment w:val="auto"/>
    </w:pPr>
    <w:rPr>
      <w:rFonts w:ascii="Times New Roman"/>
      <w:b/>
      <w:sz w:val="24"/>
    </w:rPr>
  </w:style>
  <w:style w:type="character" w:customStyle="1" w:styleId="350">
    <w:name w:val="content1"/>
    <w:qFormat/>
    <w:uiPriority w:val="0"/>
    <w:rPr>
      <w:sz w:val="21"/>
      <w:szCs w:val="21"/>
    </w:rPr>
  </w:style>
  <w:style w:type="character" w:customStyle="1" w:styleId="351">
    <w:name w:val="表格内容 Char Char"/>
    <w:qFormat/>
    <w:uiPriority w:val="0"/>
    <w:rPr>
      <w:rFonts w:eastAsia="宋体"/>
      <w:sz w:val="24"/>
      <w:lang w:bidi="ar-SA"/>
    </w:rPr>
  </w:style>
  <w:style w:type="character" w:customStyle="1" w:styleId="352">
    <w:name w:val="表格标题新 Char Char"/>
    <w:link w:val="353"/>
    <w:qFormat/>
    <w:uiPriority w:val="0"/>
    <w:rPr>
      <w:rFonts w:eastAsia="仿宋_GB2312"/>
      <w:b/>
      <w:sz w:val="28"/>
      <w:szCs w:val="24"/>
    </w:rPr>
  </w:style>
  <w:style w:type="paragraph" w:customStyle="1" w:styleId="353">
    <w:name w:val="表格标题新"/>
    <w:basedOn w:val="176"/>
    <w:link w:val="352"/>
    <w:qFormat/>
    <w:uiPriority w:val="0"/>
    <w:pPr>
      <w:spacing w:beforeLines="50" w:line="360" w:lineRule="auto"/>
      <w:ind w:firstLine="561" w:firstLineChars="200"/>
    </w:pPr>
    <w:rPr>
      <w:b/>
      <w:kern w:val="0"/>
      <w:sz w:val="28"/>
    </w:rPr>
  </w:style>
  <w:style w:type="character" w:customStyle="1" w:styleId="354">
    <w:name w:val="sz3evj"/>
    <w:qFormat/>
    <w:uiPriority w:val="0"/>
  </w:style>
  <w:style w:type="character" w:customStyle="1" w:styleId="355">
    <w:name w:val="宏文本 Char1"/>
    <w:semiHidden/>
    <w:qFormat/>
    <w:uiPriority w:val="99"/>
    <w:rPr>
      <w:rFonts w:ascii="Courier New" w:hAnsi="Courier New" w:eastAsia="宋体" w:cs="Courier New"/>
      <w:sz w:val="24"/>
      <w:szCs w:val="24"/>
    </w:rPr>
  </w:style>
  <w:style w:type="character" w:customStyle="1" w:styleId="356">
    <w:name w:val="sl0m"/>
    <w:qFormat/>
    <w:uiPriority w:val="0"/>
  </w:style>
  <w:style w:type="character" w:customStyle="1" w:styleId="357">
    <w:name w:val="标题3 Char"/>
    <w:link w:val="358"/>
    <w:qFormat/>
    <w:uiPriority w:val="0"/>
    <w:rPr>
      <w:rFonts w:eastAsia="黑体"/>
      <w:sz w:val="24"/>
    </w:rPr>
  </w:style>
  <w:style w:type="paragraph" w:customStyle="1" w:styleId="358">
    <w:name w:val="标题3"/>
    <w:basedOn w:val="1"/>
    <w:next w:val="1"/>
    <w:link w:val="357"/>
    <w:qFormat/>
    <w:uiPriority w:val="0"/>
    <w:pPr>
      <w:keepNext/>
      <w:keepLines/>
      <w:adjustRightInd w:val="0"/>
      <w:snapToGrid w:val="0"/>
      <w:spacing w:after="50" w:line="416" w:lineRule="atLeast"/>
      <w:outlineLvl w:val="2"/>
    </w:pPr>
    <w:rPr>
      <w:rFonts w:eastAsia="黑体"/>
      <w:kern w:val="0"/>
      <w:sz w:val="24"/>
      <w:szCs w:val="20"/>
    </w:rPr>
  </w:style>
  <w:style w:type="character" w:customStyle="1" w:styleId="359">
    <w:name w:val="段落1 Char"/>
    <w:link w:val="360"/>
    <w:qFormat/>
    <w:uiPriority w:val="0"/>
    <w:rPr>
      <w:rFonts w:ascii="宋体" w:hAnsi="宋体"/>
      <w:color w:val="000000"/>
      <w:kern w:val="28"/>
      <w:sz w:val="28"/>
      <w:szCs w:val="28"/>
    </w:rPr>
  </w:style>
  <w:style w:type="paragraph" w:customStyle="1" w:styleId="360">
    <w:name w:val="段落1"/>
    <w:basedOn w:val="1"/>
    <w:link w:val="359"/>
    <w:qFormat/>
    <w:uiPriority w:val="0"/>
    <w:pPr>
      <w:snapToGrid w:val="0"/>
      <w:spacing w:beforeLines="10" w:afterLines="10" w:line="360" w:lineRule="auto"/>
      <w:ind w:firstLine="420" w:firstLineChars="150"/>
    </w:pPr>
    <w:rPr>
      <w:rFonts w:ascii="宋体" w:hAnsi="宋体"/>
      <w:color w:val="000000"/>
      <w:kern w:val="28"/>
      <w:sz w:val="28"/>
      <w:szCs w:val="28"/>
    </w:rPr>
  </w:style>
  <w:style w:type="character" w:customStyle="1" w:styleId="361">
    <w:name w:val="表内式样 Char1"/>
    <w:link w:val="362"/>
    <w:qFormat/>
    <w:uiPriority w:val="0"/>
    <w:rPr>
      <w:rFonts w:ascii="宋体"/>
      <w:sz w:val="21"/>
      <w:szCs w:val="21"/>
    </w:rPr>
  </w:style>
  <w:style w:type="paragraph" w:customStyle="1" w:styleId="362">
    <w:name w:val="表内式样"/>
    <w:link w:val="361"/>
    <w:qFormat/>
    <w:uiPriority w:val="0"/>
    <w:pPr>
      <w:keepLines/>
      <w:widowControl w:val="0"/>
      <w:kinsoku w:val="0"/>
      <w:overflowPunct w:val="0"/>
      <w:adjustRightInd w:val="0"/>
      <w:jc w:val="center"/>
    </w:pPr>
    <w:rPr>
      <w:rFonts w:ascii="宋体" w:hAnsi="Times New Roman" w:eastAsia="宋体" w:cs="Times New Roman"/>
      <w:sz w:val="21"/>
      <w:szCs w:val="21"/>
      <w:lang w:val="en-US" w:eastAsia="zh-CN" w:bidi="ar-SA"/>
    </w:rPr>
  </w:style>
  <w:style w:type="character" w:customStyle="1" w:styleId="363">
    <w:name w:val="标题 3 Char1 Char1"/>
    <w:qFormat/>
    <w:uiPriority w:val="0"/>
    <w:rPr>
      <w:rFonts w:ascii="宋体" w:hAnsi="宋体" w:eastAsia="宋体" w:cs="宋体"/>
      <w:b/>
      <w:bCs/>
      <w:caps/>
      <w:color w:val="000000"/>
      <w:kern w:val="2"/>
      <w:sz w:val="24"/>
      <w:szCs w:val="24"/>
      <w:lang w:val="zh-CN" w:eastAsia="zh-CN" w:bidi="ar-SA"/>
    </w:rPr>
  </w:style>
  <w:style w:type="character" w:customStyle="1" w:styleId="364">
    <w:name w:val="3zw1"/>
    <w:qFormat/>
    <w:uiPriority w:val="0"/>
    <w:rPr>
      <w:color w:val="000000"/>
      <w:sz w:val="21"/>
      <w:szCs w:val="21"/>
    </w:rPr>
  </w:style>
  <w:style w:type="character" w:customStyle="1" w:styleId="365">
    <w:name w:val="s0s4w"/>
    <w:qFormat/>
    <w:uiPriority w:val="0"/>
  </w:style>
  <w:style w:type="character" w:customStyle="1" w:styleId="366">
    <w:name w:val="表 Char"/>
    <w:link w:val="367"/>
    <w:qFormat/>
    <w:uiPriority w:val="0"/>
    <w:rPr>
      <w:spacing w:val="2"/>
      <w:kern w:val="2"/>
      <w:sz w:val="24"/>
    </w:rPr>
  </w:style>
  <w:style w:type="paragraph" w:customStyle="1" w:styleId="367">
    <w:name w:val="表"/>
    <w:basedOn w:val="1"/>
    <w:link w:val="366"/>
    <w:qFormat/>
    <w:uiPriority w:val="0"/>
    <w:pPr>
      <w:adjustRightInd w:val="0"/>
      <w:snapToGrid w:val="0"/>
      <w:jc w:val="center"/>
    </w:pPr>
    <w:rPr>
      <w:spacing w:val="2"/>
      <w:sz w:val="24"/>
      <w:szCs w:val="20"/>
    </w:rPr>
  </w:style>
  <w:style w:type="character" w:customStyle="1" w:styleId="368">
    <w:name w:val="style391"/>
    <w:qFormat/>
    <w:uiPriority w:val="0"/>
    <w:rPr>
      <w:b/>
      <w:bCs/>
      <w:color w:val="005984"/>
      <w:sz w:val="21"/>
      <w:szCs w:val="21"/>
    </w:rPr>
  </w:style>
  <w:style w:type="character" w:customStyle="1" w:styleId="369">
    <w:name w:val="正文 首行缩进:  2 字符 Char"/>
    <w:link w:val="370"/>
    <w:semiHidden/>
    <w:qFormat/>
    <w:uiPriority w:val="0"/>
    <w:rPr>
      <w:rFonts w:cs="宋体"/>
      <w:kern w:val="2"/>
      <w:sz w:val="24"/>
    </w:rPr>
  </w:style>
  <w:style w:type="paragraph" w:customStyle="1" w:styleId="370">
    <w:name w:val="正文 首行缩进:  2 字符"/>
    <w:basedOn w:val="1"/>
    <w:link w:val="369"/>
    <w:semiHidden/>
    <w:qFormat/>
    <w:uiPriority w:val="0"/>
    <w:pPr>
      <w:snapToGrid w:val="0"/>
      <w:spacing w:line="500" w:lineRule="exact"/>
      <w:ind w:firstLine="480" w:firstLineChars="200"/>
      <w:jc w:val="left"/>
    </w:pPr>
    <w:rPr>
      <w:rFonts w:cs="宋体"/>
      <w:sz w:val="24"/>
      <w:szCs w:val="20"/>
    </w:rPr>
  </w:style>
  <w:style w:type="character" w:customStyle="1" w:styleId="371">
    <w:name w:val="样式91 Char Char"/>
    <w:link w:val="372"/>
    <w:qFormat/>
    <w:uiPriority w:val="0"/>
    <w:rPr>
      <w:rFonts w:ascii="宋体" w:hAnsi="宋体"/>
      <w:color w:val="000000"/>
      <w:sz w:val="28"/>
      <w:szCs w:val="28"/>
    </w:rPr>
  </w:style>
  <w:style w:type="paragraph" w:customStyle="1" w:styleId="372">
    <w:name w:val="样式91"/>
    <w:basedOn w:val="1"/>
    <w:link w:val="371"/>
    <w:qFormat/>
    <w:uiPriority w:val="0"/>
    <w:pPr>
      <w:spacing w:line="480" w:lineRule="exact"/>
      <w:ind w:firstLine="560" w:firstLineChars="200"/>
    </w:pPr>
    <w:rPr>
      <w:rFonts w:ascii="宋体" w:hAnsi="宋体"/>
      <w:color w:val="000000"/>
      <w:kern w:val="0"/>
      <w:sz w:val="28"/>
      <w:szCs w:val="28"/>
    </w:rPr>
  </w:style>
  <w:style w:type="character" w:customStyle="1" w:styleId="373">
    <w:name w:val="表内容 Char"/>
    <w:link w:val="374"/>
    <w:qFormat/>
    <w:uiPriority w:val="0"/>
    <w:rPr>
      <w:kern w:val="2"/>
      <w:sz w:val="21"/>
    </w:rPr>
  </w:style>
  <w:style w:type="paragraph" w:customStyle="1" w:styleId="374">
    <w:name w:val="表内容"/>
    <w:basedOn w:val="1"/>
    <w:next w:val="1"/>
    <w:link w:val="373"/>
    <w:qFormat/>
    <w:uiPriority w:val="0"/>
    <w:pPr>
      <w:spacing w:line="320" w:lineRule="exact"/>
      <w:jc w:val="center"/>
    </w:pPr>
    <w:rPr>
      <w:szCs w:val="20"/>
    </w:rPr>
  </w:style>
  <w:style w:type="character" w:customStyle="1" w:styleId="375">
    <w:name w:val="style81"/>
    <w:qFormat/>
    <w:uiPriority w:val="0"/>
    <w:rPr>
      <w:rFonts w:hint="eastAsia" w:ascii="宋体" w:hAnsi="宋体" w:eastAsia="宋体"/>
    </w:rPr>
  </w:style>
  <w:style w:type="character" w:customStyle="1" w:styleId="376">
    <w:name w:val="s5y7c"/>
    <w:qFormat/>
    <w:uiPriority w:val="0"/>
  </w:style>
  <w:style w:type="character" w:customStyle="1" w:styleId="377">
    <w:name w:val="title41"/>
    <w:qFormat/>
    <w:uiPriority w:val="0"/>
  </w:style>
  <w:style w:type="character" w:customStyle="1" w:styleId="378">
    <w:name w:val="报告正文 Char"/>
    <w:link w:val="379"/>
    <w:qFormat/>
    <w:uiPriority w:val="0"/>
    <w:rPr>
      <w:kern w:val="2"/>
      <w:sz w:val="24"/>
      <w:szCs w:val="24"/>
      <w:lang w:val="zh-CN"/>
    </w:rPr>
  </w:style>
  <w:style w:type="paragraph" w:customStyle="1" w:styleId="379">
    <w:name w:val="报告正文"/>
    <w:basedOn w:val="1"/>
    <w:link w:val="378"/>
    <w:qFormat/>
    <w:uiPriority w:val="0"/>
    <w:pPr>
      <w:adjustRightInd w:val="0"/>
      <w:snapToGrid w:val="0"/>
      <w:spacing w:line="360" w:lineRule="auto"/>
      <w:ind w:firstLine="200" w:firstLineChars="200"/>
    </w:pPr>
    <w:rPr>
      <w:sz w:val="24"/>
      <w:lang w:val="zh-CN"/>
    </w:rPr>
  </w:style>
  <w:style w:type="character" w:customStyle="1" w:styleId="380">
    <w:name w:val="paragragh1"/>
    <w:qFormat/>
    <w:uiPriority w:val="0"/>
    <w:rPr>
      <w:color w:val="004040"/>
      <w:sz w:val="21"/>
      <w:szCs w:val="21"/>
    </w:rPr>
  </w:style>
  <w:style w:type="character" w:customStyle="1" w:styleId="381">
    <w:name w:val="标题 1 Char Char"/>
    <w:qFormat/>
    <w:uiPriority w:val="0"/>
    <w:rPr>
      <w:rFonts w:ascii="宋体" w:hAnsi="宋体" w:eastAsia="宋体" w:cs="宋体"/>
      <w:b/>
      <w:bCs/>
      <w:kern w:val="44"/>
      <w:sz w:val="44"/>
      <w:szCs w:val="44"/>
      <w:lang w:val="en-US" w:eastAsia="zh-CN" w:bidi="ar-SA"/>
    </w:rPr>
  </w:style>
  <w:style w:type="character" w:customStyle="1" w:styleId="382">
    <w:name w:val="表标题 Char Char"/>
    <w:qFormat/>
    <w:uiPriority w:val="0"/>
    <w:rPr>
      <w:rFonts w:eastAsia="宋体"/>
      <w:b/>
      <w:bCs/>
      <w:sz w:val="24"/>
      <w:szCs w:val="18"/>
      <w:lang w:bidi="ar-SA"/>
    </w:rPr>
  </w:style>
  <w:style w:type="character" w:customStyle="1" w:styleId="383">
    <w:name w:val="t_tag"/>
    <w:qFormat/>
    <w:uiPriority w:val="0"/>
    <w:rPr>
      <w:rFonts w:ascii="宋体" w:hAnsi="宋体" w:eastAsia="宋体" w:cs="宋体"/>
      <w:kern w:val="2"/>
      <w:sz w:val="24"/>
      <w:szCs w:val="24"/>
      <w:lang w:val="en-US" w:eastAsia="zh-CN" w:bidi="ar-SA"/>
    </w:rPr>
  </w:style>
  <w:style w:type="character" w:customStyle="1" w:styleId="384">
    <w:name w:val="s2ze7v"/>
    <w:qFormat/>
    <w:uiPriority w:val="0"/>
  </w:style>
  <w:style w:type="character" w:customStyle="1" w:styleId="385">
    <w:name w:val="tpc_title"/>
    <w:qFormat/>
    <w:uiPriority w:val="0"/>
    <w:rPr>
      <w:rFonts w:ascii="宋体" w:hAnsi="宋体" w:eastAsia="宋体" w:cs="宋体"/>
      <w:kern w:val="2"/>
      <w:sz w:val="24"/>
      <w:szCs w:val="24"/>
      <w:lang w:val="en-US" w:eastAsia="zh-CN" w:bidi="ar-SA"/>
    </w:rPr>
  </w:style>
  <w:style w:type="character" w:customStyle="1" w:styleId="386">
    <w:name w:val="gray_text12"/>
    <w:qFormat/>
    <w:uiPriority w:val="0"/>
  </w:style>
  <w:style w:type="character" w:customStyle="1" w:styleId="387">
    <w:name w:val="样式 表格内容 + (符号) 宋体 Char"/>
    <w:link w:val="388"/>
    <w:qFormat/>
    <w:uiPriority w:val="0"/>
    <w:rPr>
      <w:sz w:val="21"/>
      <w:szCs w:val="21"/>
    </w:rPr>
  </w:style>
  <w:style w:type="paragraph" w:customStyle="1" w:styleId="388">
    <w:name w:val="样式 表格内容 + (符号) 宋体"/>
    <w:basedOn w:val="322"/>
    <w:link w:val="387"/>
    <w:qFormat/>
    <w:uiPriority w:val="0"/>
  </w:style>
  <w:style w:type="character" w:customStyle="1" w:styleId="389">
    <w:name w:val="报告书正文 Char"/>
    <w:qFormat/>
    <w:uiPriority w:val="0"/>
    <w:rPr>
      <w:rFonts w:ascii="宋体" w:hAnsi="宋体" w:eastAsia="宋体" w:cs="宋体"/>
      <w:kern w:val="2"/>
      <w:sz w:val="24"/>
      <w:szCs w:val="24"/>
      <w:lang w:val="en-US" w:eastAsia="zh-CN" w:bidi="ar-SA"/>
    </w:rPr>
  </w:style>
  <w:style w:type="character" w:customStyle="1" w:styleId="390">
    <w:name w:val="甲乙酮正文 Char Char"/>
    <w:link w:val="391"/>
    <w:qFormat/>
    <w:uiPriority w:val="0"/>
    <w:rPr>
      <w:color w:val="000000"/>
      <w:sz w:val="24"/>
      <w:szCs w:val="24"/>
    </w:rPr>
  </w:style>
  <w:style w:type="paragraph" w:customStyle="1" w:styleId="391">
    <w:name w:val="甲乙酮正文"/>
    <w:basedOn w:val="84"/>
    <w:link w:val="390"/>
    <w:qFormat/>
    <w:uiPriority w:val="0"/>
    <w:pPr>
      <w:spacing w:after="0" w:line="360" w:lineRule="auto"/>
      <w:ind w:firstLine="200" w:firstLineChars="200"/>
      <w:jc w:val="left"/>
    </w:pPr>
    <w:rPr>
      <w:color w:val="000000"/>
      <w:kern w:val="0"/>
      <w:sz w:val="24"/>
    </w:rPr>
  </w:style>
  <w:style w:type="character" w:customStyle="1" w:styleId="392">
    <w:name w:val="正文文字 Char Char"/>
    <w:qFormat/>
    <w:uiPriority w:val="0"/>
    <w:rPr>
      <w:rFonts w:ascii="宋体" w:hAnsi="宋体" w:eastAsia="宋体" w:cs="宋体"/>
      <w:kern w:val="2"/>
      <w:sz w:val="24"/>
      <w:szCs w:val="24"/>
      <w:lang w:val="en-US" w:eastAsia="zh-CN" w:bidi="ar-SA"/>
    </w:rPr>
  </w:style>
  <w:style w:type="character" w:customStyle="1" w:styleId="393">
    <w:name w:val="headline-content2"/>
    <w:qFormat/>
    <w:uiPriority w:val="0"/>
  </w:style>
  <w:style w:type="character" w:customStyle="1" w:styleId="394">
    <w:name w:val="grame"/>
    <w:qFormat/>
    <w:uiPriority w:val="0"/>
  </w:style>
  <w:style w:type="character" w:customStyle="1" w:styleId="395">
    <w:name w:val="报告 Char"/>
    <w:link w:val="396"/>
    <w:qFormat/>
    <w:uiPriority w:val="0"/>
    <w:rPr>
      <w:sz w:val="24"/>
    </w:rPr>
  </w:style>
  <w:style w:type="paragraph" w:customStyle="1" w:styleId="396">
    <w:name w:val="报告"/>
    <w:basedOn w:val="1"/>
    <w:link w:val="395"/>
    <w:qFormat/>
    <w:uiPriority w:val="0"/>
    <w:pPr>
      <w:adjustRightInd w:val="0"/>
      <w:spacing w:line="360" w:lineRule="auto"/>
      <w:ind w:firstLine="505"/>
      <w:textAlignment w:val="baseline"/>
    </w:pPr>
    <w:rPr>
      <w:kern w:val="0"/>
      <w:sz w:val="24"/>
      <w:szCs w:val="20"/>
    </w:rPr>
  </w:style>
  <w:style w:type="character" w:customStyle="1" w:styleId="397">
    <w:name w:val="dash6b63-6587--char"/>
    <w:qFormat/>
    <w:uiPriority w:val="0"/>
    <w:rPr>
      <w:rFonts w:ascii="宋体" w:hAnsi="宋体" w:eastAsia="宋体" w:cs="宋体"/>
      <w:kern w:val="2"/>
      <w:sz w:val="24"/>
      <w:szCs w:val="24"/>
      <w:lang w:val="en-US" w:eastAsia="zh-CN" w:bidi="ar-SA"/>
    </w:rPr>
  </w:style>
  <w:style w:type="character" w:customStyle="1" w:styleId="398">
    <w:name w:val="dz1"/>
    <w:qFormat/>
    <w:uiPriority w:val="0"/>
    <w:rPr>
      <w:rFonts w:hint="default" w:ascii="ˎ̥" w:hAnsi="ˎ̥"/>
      <w:sz w:val="30"/>
      <w:szCs w:val="30"/>
    </w:rPr>
  </w:style>
  <w:style w:type="character" w:customStyle="1" w:styleId="399">
    <w:name w:val="seecix"/>
    <w:qFormat/>
    <w:uiPriority w:val="0"/>
  </w:style>
  <w:style w:type="character" w:customStyle="1" w:styleId="400">
    <w:name w:val="表头王 Char"/>
    <w:link w:val="401"/>
    <w:semiHidden/>
    <w:qFormat/>
    <w:uiPriority w:val="0"/>
    <w:rPr>
      <w:rFonts w:ascii="宋体" w:hAnsi="宋体"/>
      <w:b/>
      <w:color w:val="000000"/>
      <w:sz w:val="24"/>
      <w:szCs w:val="24"/>
      <w:lang w:val="zh-CN"/>
    </w:rPr>
  </w:style>
  <w:style w:type="paragraph" w:customStyle="1" w:styleId="401">
    <w:name w:val="表头王"/>
    <w:basedOn w:val="1"/>
    <w:link w:val="400"/>
    <w:semiHidden/>
    <w:qFormat/>
    <w:uiPriority w:val="0"/>
    <w:pPr>
      <w:adjustRightInd w:val="0"/>
      <w:snapToGrid w:val="0"/>
      <w:spacing w:line="360" w:lineRule="auto"/>
      <w:jc w:val="center"/>
    </w:pPr>
    <w:rPr>
      <w:rFonts w:ascii="宋体" w:hAnsi="宋体"/>
      <w:b/>
      <w:color w:val="000000"/>
      <w:kern w:val="0"/>
      <w:sz w:val="24"/>
      <w:lang w:val="zh-CN"/>
    </w:rPr>
  </w:style>
  <w:style w:type="character" w:customStyle="1" w:styleId="402">
    <w:name w:val="s8h0t"/>
    <w:qFormat/>
    <w:uiPriority w:val="0"/>
  </w:style>
  <w:style w:type="character" w:customStyle="1" w:styleId="403">
    <w:name w:val="样式1 Char"/>
    <w:qFormat/>
    <w:uiPriority w:val="0"/>
    <w:rPr>
      <w:rFonts w:ascii="宋体" w:hAnsi="宋体" w:eastAsia="宋体" w:cs="宋体"/>
      <w:b/>
      <w:bCs/>
      <w:kern w:val="2"/>
      <w:sz w:val="24"/>
      <w:szCs w:val="24"/>
      <w:lang w:val="en-US" w:eastAsia="zh-CN" w:bidi="ar-SA"/>
    </w:rPr>
  </w:style>
  <w:style w:type="character" w:styleId="404">
    <w:name w:val="Placeholder Text"/>
    <w:qFormat/>
    <w:uiPriority w:val="0"/>
    <w:rPr>
      <w:color w:val="808080"/>
    </w:rPr>
  </w:style>
  <w:style w:type="character" w:customStyle="1" w:styleId="405">
    <w:name w:val="正文文本 Char Char"/>
    <w:qFormat/>
    <w:uiPriority w:val="0"/>
    <w:rPr>
      <w:rFonts w:eastAsia="宋体"/>
      <w:kern w:val="2"/>
      <w:sz w:val="28"/>
      <w:szCs w:val="24"/>
      <w:lang w:val="en-US" w:eastAsia="zh-CN" w:bidi="ar-SA"/>
    </w:rPr>
  </w:style>
  <w:style w:type="character" w:customStyle="1" w:styleId="406">
    <w:name w:val="Char Char19"/>
    <w:qFormat/>
    <w:uiPriority w:val="0"/>
    <w:rPr>
      <w:rFonts w:eastAsia="仿宋_GB2312"/>
      <w:sz w:val="18"/>
      <w:lang w:val="en-US" w:eastAsia="zh-CN" w:bidi="ar-SA"/>
    </w:rPr>
  </w:style>
  <w:style w:type="character" w:customStyle="1" w:styleId="407">
    <w:name w:val="尾注文本 字符1"/>
    <w:qFormat/>
    <w:uiPriority w:val="0"/>
    <w:rPr>
      <w:kern w:val="2"/>
      <w:sz w:val="21"/>
      <w:szCs w:val="24"/>
    </w:rPr>
  </w:style>
  <w:style w:type="character" w:customStyle="1" w:styleId="408">
    <w:name w:val="样式 正文 首行缩进:  2 字符 + (中文) 楷体_GB2312 Char"/>
    <w:link w:val="409"/>
    <w:semiHidden/>
    <w:qFormat/>
    <w:uiPriority w:val="0"/>
    <w:rPr>
      <w:rFonts w:eastAsia="楷体_GB2312" w:cs="宋体"/>
      <w:kern w:val="2"/>
      <w:sz w:val="24"/>
      <w:szCs w:val="24"/>
    </w:rPr>
  </w:style>
  <w:style w:type="paragraph" w:customStyle="1" w:styleId="409">
    <w:name w:val="样式 正文 首行缩进:  2 字符 + (中文) 楷体_GB2312"/>
    <w:basedOn w:val="370"/>
    <w:link w:val="408"/>
    <w:semiHidden/>
    <w:qFormat/>
    <w:uiPriority w:val="0"/>
    <w:pPr>
      <w:adjustRightInd w:val="0"/>
      <w:ind w:firstLine="200"/>
      <w:jc w:val="both"/>
    </w:pPr>
    <w:rPr>
      <w:rFonts w:eastAsia="楷体_GB2312"/>
      <w:szCs w:val="24"/>
    </w:rPr>
  </w:style>
  <w:style w:type="character" w:customStyle="1" w:styleId="410">
    <w:name w:val="样式 小四 行距: 1.5 倍行距 Char Char"/>
    <w:link w:val="411"/>
    <w:qFormat/>
    <w:uiPriority w:val="0"/>
    <w:rPr>
      <w:sz w:val="24"/>
      <w:szCs w:val="24"/>
    </w:rPr>
  </w:style>
  <w:style w:type="paragraph" w:customStyle="1" w:styleId="411">
    <w:name w:val="样式 小四 行距: 1.5 倍行距"/>
    <w:basedOn w:val="1"/>
    <w:link w:val="410"/>
    <w:qFormat/>
    <w:uiPriority w:val="0"/>
    <w:pPr>
      <w:spacing w:line="360" w:lineRule="auto"/>
      <w:ind w:firstLine="480" w:firstLineChars="200"/>
    </w:pPr>
    <w:rPr>
      <w:kern w:val="0"/>
      <w:sz w:val="24"/>
    </w:rPr>
  </w:style>
  <w:style w:type="character" w:customStyle="1" w:styleId="412">
    <w:name w:val="正文(首行缩进) Char Char"/>
    <w:link w:val="413"/>
    <w:qFormat/>
    <w:uiPriority w:val="0"/>
    <w:rPr>
      <w:rFonts w:ascii="宋体" w:hAnsi="宋体"/>
      <w:color w:val="000000"/>
      <w:kern w:val="2"/>
      <w:sz w:val="24"/>
      <w:szCs w:val="24"/>
    </w:rPr>
  </w:style>
  <w:style w:type="paragraph" w:customStyle="1" w:styleId="413">
    <w:name w:val="正文(首行缩进)"/>
    <w:basedOn w:val="1"/>
    <w:link w:val="412"/>
    <w:qFormat/>
    <w:uiPriority w:val="0"/>
    <w:pPr>
      <w:spacing w:line="360" w:lineRule="auto"/>
      <w:ind w:firstLine="540" w:firstLineChars="225"/>
    </w:pPr>
    <w:rPr>
      <w:rFonts w:ascii="宋体" w:hAnsi="宋体"/>
      <w:color w:val="000000"/>
      <w:sz w:val="24"/>
    </w:rPr>
  </w:style>
  <w:style w:type="character" w:customStyle="1" w:styleId="414">
    <w:name w:val="表格文字 Char Char"/>
    <w:link w:val="415"/>
    <w:qFormat/>
    <w:uiPriority w:val="0"/>
    <w:rPr>
      <w:rFonts w:ascii="仿宋_GB2312" w:hAnsi="Arial Black" w:eastAsia="仿宋_GB2312"/>
      <w:kern w:val="44"/>
      <w:sz w:val="24"/>
    </w:rPr>
  </w:style>
  <w:style w:type="paragraph" w:customStyle="1" w:styleId="415">
    <w:name w:val="表格文字"/>
    <w:basedOn w:val="1"/>
    <w:link w:val="414"/>
    <w:qFormat/>
    <w:uiPriority w:val="0"/>
    <w:pPr>
      <w:jc w:val="center"/>
    </w:pPr>
    <w:rPr>
      <w:rFonts w:ascii="仿宋_GB2312" w:hAnsi="Arial Black" w:eastAsia="仿宋_GB2312"/>
      <w:kern w:val="44"/>
      <w:sz w:val="24"/>
      <w:szCs w:val="20"/>
    </w:rPr>
  </w:style>
  <w:style w:type="character" w:customStyle="1" w:styleId="416">
    <w:name w:val="标题 Char Char"/>
    <w:qFormat/>
    <w:uiPriority w:val="0"/>
    <w:rPr>
      <w:rFonts w:ascii="Arial" w:hAnsi="Arial" w:eastAsia="宋体" w:cs="Arial"/>
      <w:b/>
      <w:bCs/>
      <w:sz w:val="32"/>
      <w:szCs w:val="32"/>
      <w:lang w:val="en-US" w:eastAsia="zh-CN" w:bidi="ar-SA"/>
    </w:rPr>
  </w:style>
  <w:style w:type="character" w:customStyle="1" w:styleId="417">
    <w:name w:val="Char Char4"/>
    <w:qFormat/>
    <w:uiPriority w:val="0"/>
    <w:rPr>
      <w:rFonts w:ascii="宋体" w:hAnsi="宋体" w:eastAsia="宋体" w:cs="宋体"/>
      <w:kern w:val="2"/>
      <w:sz w:val="24"/>
      <w:szCs w:val="24"/>
      <w:lang w:val="en-US" w:eastAsia="zh-CN" w:bidi="ar-SA"/>
    </w:rPr>
  </w:style>
  <w:style w:type="character" w:customStyle="1" w:styleId="418">
    <w:name w:val="样式35 Char Char"/>
    <w:link w:val="419"/>
    <w:qFormat/>
    <w:uiPriority w:val="0"/>
    <w:rPr>
      <w:color w:val="000000"/>
      <w:sz w:val="28"/>
      <w:szCs w:val="28"/>
    </w:rPr>
  </w:style>
  <w:style w:type="paragraph" w:customStyle="1" w:styleId="419">
    <w:name w:val="样式35"/>
    <w:basedOn w:val="1"/>
    <w:link w:val="418"/>
    <w:qFormat/>
    <w:uiPriority w:val="0"/>
    <w:pPr>
      <w:snapToGrid w:val="0"/>
      <w:spacing w:line="360" w:lineRule="auto"/>
      <w:ind w:firstLine="560" w:firstLineChars="200"/>
    </w:pPr>
    <w:rPr>
      <w:color w:val="000000"/>
      <w:kern w:val="0"/>
      <w:sz w:val="28"/>
      <w:szCs w:val="28"/>
    </w:rPr>
  </w:style>
  <w:style w:type="character" w:customStyle="1" w:styleId="420">
    <w:name w:val="bt21"/>
    <w:qFormat/>
    <w:uiPriority w:val="0"/>
    <w:rPr>
      <w:rFonts w:hint="eastAsia" w:ascii="黑体" w:eastAsia="黑体"/>
      <w:sz w:val="24"/>
      <w:szCs w:val="24"/>
    </w:rPr>
  </w:style>
  <w:style w:type="character" w:customStyle="1" w:styleId="421">
    <w:name w:val="表标题 Char"/>
    <w:link w:val="422"/>
    <w:qFormat/>
    <w:uiPriority w:val="0"/>
    <w:rPr>
      <w:b/>
      <w:bCs/>
      <w:kern w:val="2"/>
      <w:sz w:val="24"/>
      <w:szCs w:val="18"/>
    </w:rPr>
  </w:style>
  <w:style w:type="paragraph" w:customStyle="1" w:styleId="422">
    <w:name w:val="表标题"/>
    <w:basedOn w:val="84"/>
    <w:link w:val="421"/>
    <w:qFormat/>
    <w:uiPriority w:val="0"/>
    <w:pPr>
      <w:adjustRightInd w:val="0"/>
      <w:snapToGrid w:val="0"/>
      <w:spacing w:before="60" w:after="60" w:line="500" w:lineRule="exact"/>
      <w:ind w:firstLine="0" w:firstLineChars="0"/>
      <w:jc w:val="center"/>
    </w:pPr>
    <w:rPr>
      <w:b/>
      <w:bCs/>
      <w:sz w:val="24"/>
      <w:szCs w:val="18"/>
    </w:rPr>
  </w:style>
  <w:style w:type="character" w:customStyle="1" w:styleId="423">
    <w:name w:val="样式 标题 3H31.1.1标题 3条标题1.1.1h3level_3PIM 3Level 3 HeadHead... Char Char"/>
    <w:link w:val="424"/>
    <w:qFormat/>
    <w:uiPriority w:val="0"/>
    <w:rPr>
      <w:rFonts w:ascii="黑体" w:hAnsi="黑体" w:eastAsia="黑体"/>
      <w:sz w:val="28"/>
      <w:szCs w:val="32"/>
    </w:rPr>
  </w:style>
  <w:style w:type="paragraph" w:customStyle="1" w:styleId="424">
    <w:name w:val="样式 标题 3H31.1.1标题 3条标题1.1.1h3level_3PIM 3Level 3 HeadHead..."/>
    <w:basedOn w:val="9"/>
    <w:link w:val="423"/>
    <w:qFormat/>
    <w:uiPriority w:val="0"/>
    <w:pPr>
      <w:tabs>
        <w:tab w:val="left" w:pos="1260"/>
      </w:tabs>
      <w:spacing w:line="360" w:lineRule="auto"/>
      <w:ind w:left="1260" w:hanging="420"/>
    </w:pPr>
    <w:rPr>
      <w:rFonts w:ascii="黑体" w:hAnsi="黑体" w:eastAsia="黑体"/>
      <w:b w:val="0"/>
      <w:bCs w:val="0"/>
      <w:kern w:val="0"/>
      <w:sz w:val="28"/>
    </w:rPr>
  </w:style>
  <w:style w:type="character" w:customStyle="1" w:styleId="425">
    <w:name w:val="sovnn"/>
    <w:qFormat/>
    <w:uiPriority w:val="0"/>
  </w:style>
  <w:style w:type="character" w:customStyle="1" w:styleId="426">
    <w:name w:val="si16"/>
    <w:qFormat/>
    <w:uiPriority w:val="0"/>
  </w:style>
  <w:style w:type="character" w:customStyle="1" w:styleId="427">
    <w:name w:val="样式26 Char Char"/>
    <w:link w:val="428"/>
    <w:qFormat/>
    <w:uiPriority w:val="0"/>
    <w:rPr>
      <w:rFonts w:ascii="宋体" w:hAnsi="宋体"/>
      <w:color w:val="000000"/>
      <w:sz w:val="28"/>
      <w:szCs w:val="24"/>
    </w:rPr>
  </w:style>
  <w:style w:type="paragraph" w:customStyle="1" w:styleId="428">
    <w:name w:val="样式26"/>
    <w:basedOn w:val="1"/>
    <w:link w:val="427"/>
    <w:qFormat/>
    <w:uiPriority w:val="0"/>
    <w:pPr>
      <w:spacing w:line="520" w:lineRule="exact"/>
      <w:ind w:firstLine="560" w:firstLineChars="200"/>
      <w:jc w:val="left"/>
    </w:pPr>
    <w:rPr>
      <w:rFonts w:ascii="宋体" w:hAnsi="宋体"/>
      <w:color w:val="000000"/>
      <w:kern w:val="0"/>
      <w:sz w:val="28"/>
    </w:rPr>
  </w:style>
  <w:style w:type="character" w:customStyle="1" w:styleId="429">
    <w:name w:val="c"/>
    <w:qFormat/>
    <w:uiPriority w:val="0"/>
    <w:rPr>
      <w:rFonts w:ascii="宋体" w:hAnsi="宋体" w:eastAsia="宋体" w:cs="宋体"/>
      <w:kern w:val="2"/>
      <w:sz w:val="24"/>
      <w:szCs w:val="24"/>
      <w:lang w:val="en-US" w:eastAsia="zh-CN" w:bidi="ar-SA"/>
    </w:rPr>
  </w:style>
  <w:style w:type="character" w:customStyle="1" w:styleId="430">
    <w:name w:val="条标题1.1.1 Char1"/>
    <w:qFormat/>
    <w:uiPriority w:val="0"/>
    <w:rPr>
      <w:b/>
      <w:bCs/>
      <w:sz w:val="24"/>
      <w:szCs w:val="32"/>
    </w:rPr>
  </w:style>
  <w:style w:type="character" w:customStyle="1" w:styleId="431">
    <w:name w:val="正文四号ss Char Char"/>
    <w:link w:val="432"/>
    <w:qFormat/>
    <w:uiPriority w:val="0"/>
    <w:rPr>
      <w:rFonts w:ascii="宋体" w:hAnsi="宋体"/>
      <w:sz w:val="28"/>
      <w:szCs w:val="28"/>
    </w:rPr>
  </w:style>
  <w:style w:type="paragraph" w:customStyle="1" w:styleId="432">
    <w:name w:val="正文四号ss"/>
    <w:basedOn w:val="1"/>
    <w:next w:val="1"/>
    <w:link w:val="431"/>
    <w:qFormat/>
    <w:uiPriority w:val="0"/>
    <w:pPr>
      <w:spacing w:line="520" w:lineRule="exact"/>
      <w:ind w:firstLine="200" w:firstLineChars="200"/>
    </w:pPr>
    <w:rPr>
      <w:rFonts w:ascii="宋体" w:hAnsi="宋体"/>
      <w:kern w:val="0"/>
      <w:sz w:val="28"/>
      <w:szCs w:val="28"/>
    </w:rPr>
  </w:style>
  <w:style w:type="character" w:customStyle="1" w:styleId="433">
    <w:name w:val="scu4wkd"/>
    <w:qFormat/>
    <w:uiPriority w:val="0"/>
  </w:style>
  <w:style w:type="character" w:customStyle="1" w:styleId="434">
    <w:name w:val="申兴正文 Char Char"/>
    <w:link w:val="435"/>
    <w:qFormat/>
    <w:uiPriority w:val="0"/>
    <w:rPr>
      <w:sz w:val="24"/>
      <w:szCs w:val="24"/>
    </w:rPr>
  </w:style>
  <w:style w:type="paragraph" w:customStyle="1" w:styleId="435">
    <w:name w:val="申兴正文"/>
    <w:basedOn w:val="1"/>
    <w:link w:val="434"/>
    <w:qFormat/>
    <w:uiPriority w:val="0"/>
    <w:pPr>
      <w:spacing w:line="360" w:lineRule="auto"/>
      <w:ind w:firstLine="200" w:firstLineChars="200"/>
    </w:pPr>
    <w:rPr>
      <w:kern w:val="0"/>
      <w:sz w:val="24"/>
    </w:rPr>
  </w:style>
  <w:style w:type="character" w:customStyle="1" w:styleId="436">
    <w:name w:val="标题 7表内5号 Char1"/>
    <w:qFormat/>
    <w:uiPriority w:val="0"/>
    <w:rPr>
      <w:rFonts w:eastAsia="宋体"/>
      <w:b/>
      <w:bCs/>
      <w:sz w:val="24"/>
      <w:szCs w:val="24"/>
      <w:lang w:bidi="ar-SA"/>
    </w:rPr>
  </w:style>
  <w:style w:type="character" w:customStyle="1" w:styleId="437">
    <w:name w:val="satajq8"/>
    <w:qFormat/>
    <w:uiPriority w:val="0"/>
  </w:style>
  <w:style w:type="character" w:customStyle="1" w:styleId="438">
    <w:name w:val="样式 标题 4 + 行距: 1.5 倍行距 Char"/>
    <w:link w:val="439"/>
    <w:qFormat/>
    <w:uiPriority w:val="0"/>
    <w:rPr>
      <w:rFonts w:ascii="Cambria" w:hAnsi="Cambria" w:eastAsia="黑体" w:cs="宋体"/>
      <w:b/>
      <w:bCs/>
      <w:kern w:val="2"/>
      <w:sz w:val="24"/>
      <w:szCs w:val="28"/>
    </w:rPr>
  </w:style>
  <w:style w:type="paragraph" w:customStyle="1" w:styleId="439">
    <w:name w:val="样式 标题 4 + 行距: 1.5 倍行距"/>
    <w:basedOn w:val="10"/>
    <w:link w:val="438"/>
    <w:qFormat/>
    <w:uiPriority w:val="0"/>
    <w:pPr>
      <w:snapToGrid w:val="0"/>
      <w:spacing w:before="0" w:beforeLines="50" w:after="0" w:line="360" w:lineRule="auto"/>
      <w:ind w:left="2884" w:hanging="2884"/>
      <w:jc w:val="left"/>
    </w:pPr>
    <w:rPr>
      <w:rFonts w:eastAsia="黑体" w:cs="宋体"/>
      <w:sz w:val="24"/>
    </w:rPr>
  </w:style>
  <w:style w:type="character" w:customStyle="1" w:styleId="440">
    <w:name w:val="正文1 Char Char"/>
    <w:qFormat/>
    <w:uiPriority w:val="0"/>
    <w:rPr>
      <w:rFonts w:ascii="宋体" w:eastAsia="宋体"/>
      <w:snapToGrid/>
      <w:kern w:val="21"/>
      <w:position w:val="2"/>
      <w:sz w:val="24"/>
      <w:lang w:val="en-US" w:eastAsia="zh-CN" w:bidi="ar-SA"/>
    </w:rPr>
  </w:style>
  <w:style w:type="character" w:customStyle="1" w:styleId="441">
    <w:name w:val="正文缩进 Char1"/>
    <w:qFormat/>
    <w:uiPriority w:val="0"/>
    <w:rPr>
      <w:kern w:val="2"/>
      <w:sz w:val="21"/>
      <w:szCs w:val="24"/>
      <w:lang w:val="zh-CN" w:eastAsia="zh-CN"/>
    </w:rPr>
  </w:style>
  <w:style w:type="character" w:customStyle="1" w:styleId="442">
    <w:name w:val="正文01 Char Char"/>
    <w:link w:val="443"/>
    <w:qFormat/>
    <w:uiPriority w:val="0"/>
    <w:rPr>
      <w:rFonts w:ascii="Arial" w:hAnsi="Arial"/>
      <w:sz w:val="24"/>
    </w:rPr>
  </w:style>
  <w:style w:type="paragraph" w:customStyle="1" w:styleId="443">
    <w:name w:val="正文01"/>
    <w:basedOn w:val="1"/>
    <w:link w:val="442"/>
    <w:qFormat/>
    <w:uiPriority w:val="0"/>
    <w:pPr>
      <w:spacing w:before="60" w:line="460" w:lineRule="exact"/>
      <w:ind w:firstLine="200" w:firstLineChars="200"/>
    </w:pPr>
    <w:rPr>
      <w:rFonts w:ascii="Arial" w:hAnsi="Arial"/>
      <w:kern w:val="0"/>
      <w:sz w:val="24"/>
      <w:szCs w:val="20"/>
    </w:rPr>
  </w:style>
  <w:style w:type="character" w:customStyle="1" w:styleId="444">
    <w:name w:val="正文 Char Char"/>
    <w:qFormat/>
    <w:uiPriority w:val="0"/>
    <w:rPr>
      <w:rFonts w:ascii="仿宋_GB2312" w:hAnsi="宋体" w:eastAsia="仿宋_GB2312"/>
      <w:color w:val="000000"/>
      <w:kern w:val="2"/>
      <w:sz w:val="28"/>
      <w:szCs w:val="24"/>
      <w:lang w:val="en-US" w:eastAsia="zh-CN" w:bidi="ar-SA"/>
    </w:rPr>
  </w:style>
  <w:style w:type="character" w:customStyle="1" w:styleId="445">
    <w:name w:val="甲乙酮正文 Char Char Char"/>
    <w:qFormat/>
    <w:uiPriority w:val="0"/>
    <w:rPr>
      <w:rFonts w:ascii="Times New Roman" w:hAnsi="Times New Roman" w:eastAsia="宋体" w:cs="Times New Roman"/>
      <w:color w:val="000000"/>
      <w:sz w:val="24"/>
      <w:szCs w:val="24"/>
    </w:rPr>
  </w:style>
  <w:style w:type="character" w:customStyle="1" w:styleId="446">
    <w:name w:val="表格内容 Char Char Char"/>
    <w:qFormat/>
    <w:uiPriority w:val="0"/>
    <w:rPr>
      <w:rFonts w:ascii="Arial" w:hAnsi="Arial" w:eastAsia="仿宋_GB2312"/>
      <w:sz w:val="24"/>
      <w:lang w:val="en-US" w:eastAsia="zh-CN" w:bidi="ar-SA"/>
    </w:rPr>
  </w:style>
  <w:style w:type="character" w:customStyle="1" w:styleId="447">
    <w:name w:val="表格内文字 Char Char Char"/>
    <w:qFormat/>
    <w:uiPriority w:val="0"/>
    <w:rPr>
      <w:rFonts w:ascii="仿宋_GB2312" w:eastAsia="仿宋_GB2312"/>
      <w:kern w:val="2"/>
      <w:sz w:val="24"/>
      <w:szCs w:val="24"/>
      <w:lang w:val="en-US" w:eastAsia="zh-CN" w:bidi="ar-SA"/>
    </w:rPr>
  </w:style>
  <w:style w:type="character" w:customStyle="1" w:styleId="448">
    <w:name w:val="part"/>
    <w:qFormat/>
    <w:uiPriority w:val="0"/>
    <w:rPr>
      <w:rFonts w:ascii="宋体" w:hAnsi="宋体" w:eastAsia="宋体" w:cs="宋体"/>
      <w:kern w:val="2"/>
      <w:sz w:val="24"/>
      <w:szCs w:val="24"/>
      <w:lang w:val="en-US" w:eastAsia="zh-CN" w:bidi="ar-SA"/>
    </w:rPr>
  </w:style>
  <w:style w:type="character" w:customStyle="1" w:styleId="449">
    <w:name w:val="样式2 Char Char"/>
    <w:qFormat/>
    <w:uiPriority w:val="0"/>
    <w:rPr>
      <w:rFonts w:eastAsia="Times New Roman"/>
      <w:kern w:val="2"/>
      <w:sz w:val="24"/>
      <w:lang w:val="en-US" w:eastAsia="zh-CN" w:bidi="ar-SA"/>
    </w:rPr>
  </w:style>
  <w:style w:type="character" w:customStyle="1" w:styleId="450">
    <w:name w:val="td21"/>
    <w:qFormat/>
    <w:uiPriority w:val="0"/>
    <w:rPr>
      <w:sz w:val="21"/>
      <w:szCs w:val="21"/>
      <w:u w:val="none"/>
    </w:rPr>
  </w:style>
  <w:style w:type="character" w:customStyle="1" w:styleId="451">
    <w:name w:val="highlight1"/>
    <w:qFormat/>
    <w:uiPriority w:val="0"/>
    <w:rPr>
      <w:sz w:val="21"/>
    </w:rPr>
  </w:style>
  <w:style w:type="character" w:customStyle="1" w:styleId="452">
    <w:name w:val="宋体4 Char Char"/>
    <w:link w:val="453"/>
    <w:qFormat/>
    <w:uiPriority w:val="0"/>
    <w:rPr>
      <w:sz w:val="28"/>
      <w:szCs w:val="48"/>
    </w:rPr>
  </w:style>
  <w:style w:type="paragraph" w:customStyle="1" w:styleId="453">
    <w:name w:val="宋体4"/>
    <w:basedOn w:val="1"/>
    <w:link w:val="452"/>
    <w:qFormat/>
    <w:uiPriority w:val="0"/>
    <w:pPr>
      <w:spacing w:line="360" w:lineRule="auto"/>
      <w:ind w:firstLine="200" w:firstLineChars="200"/>
    </w:pPr>
    <w:rPr>
      <w:kern w:val="0"/>
      <w:sz w:val="28"/>
      <w:szCs w:val="48"/>
    </w:rPr>
  </w:style>
  <w:style w:type="character" w:customStyle="1" w:styleId="454">
    <w:name w:val="indetail1"/>
    <w:qFormat/>
    <w:uiPriority w:val="0"/>
    <w:rPr>
      <w:sz w:val="18"/>
      <w:szCs w:val="18"/>
      <w:bdr w:val="single" w:color="E2E2E2" w:sz="6" w:space="0"/>
    </w:rPr>
  </w:style>
  <w:style w:type="character" w:customStyle="1" w:styleId="455">
    <w:name w:val="专用字体 Char Char"/>
    <w:link w:val="456"/>
    <w:qFormat/>
    <w:uiPriority w:val="0"/>
    <w:rPr>
      <w:bCs/>
      <w:sz w:val="24"/>
      <w:szCs w:val="24"/>
    </w:rPr>
  </w:style>
  <w:style w:type="paragraph" w:customStyle="1" w:styleId="456">
    <w:name w:val="专用字体"/>
    <w:basedOn w:val="1"/>
    <w:link w:val="455"/>
    <w:qFormat/>
    <w:uiPriority w:val="0"/>
    <w:pPr>
      <w:spacing w:line="360" w:lineRule="auto"/>
      <w:ind w:firstLine="200" w:firstLineChars="200"/>
    </w:pPr>
    <w:rPr>
      <w:bCs/>
      <w:kern w:val="0"/>
      <w:sz w:val="24"/>
    </w:rPr>
  </w:style>
  <w:style w:type="character" w:customStyle="1" w:styleId="457">
    <w:name w:val="甲乙酮标题3 Char Char"/>
    <w:link w:val="458"/>
    <w:qFormat/>
    <w:uiPriority w:val="0"/>
    <w:rPr>
      <w:b/>
      <w:bCs/>
      <w:sz w:val="32"/>
      <w:szCs w:val="32"/>
    </w:rPr>
  </w:style>
  <w:style w:type="paragraph" w:customStyle="1" w:styleId="458">
    <w:name w:val="甲乙酮标题3"/>
    <w:basedOn w:val="9"/>
    <w:link w:val="457"/>
    <w:qFormat/>
    <w:uiPriority w:val="0"/>
    <w:pPr>
      <w:tabs>
        <w:tab w:val="left" w:pos="1260"/>
      </w:tabs>
      <w:spacing w:before="100" w:after="100" w:line="360" w:lineRule="auto"/>
      <w:ind w:left="1260" w:hanging="420"/>
    </w:pPr>
    <w:rPr>
      <w:kern w:val="0"/>
    </w:rPr>
  </w:style>
  <w:style w:type="character" w:customStyle="1" w:styleId="459">
    <w:name w:val="Char Char Char1"/>
    <w:qFormat/>
    <w:uiPriority w:val="0"/>
    <w:rPr>
      <w:rFonts w:ascii="宋体" w:hAnsi="Courier New" w:eastAsia="宋体" w:cs="Courier New"/>
      <w:kern w:val="2"/>
      <w:sz w:val="21"/>
      <w:szCs w:val="21"/>
      <w:lang w:val="en-US" w:eastAsia="zh-CN" w:bidi="ar-SA"/>
    </w:rPr>
  </w:style>
  <w:style w:type="character" w:customStyle="1" w:styleId="460">
    <w:name w:val="表格填充1 Char Char"/>
    <w:qFormat/>
    <w:uiPriority w:val="0"/>
    <w:rPr>
      <w:rFonts w:eastAsia="宋体"/>
      <w:szCs w:val="18"/>
      <w:lang w:bidi="ar-SA"/>
    </w:rPr>
  </w:style>
  <w:style w:type="character" w:customStyle="1" w:styleId="461">
    <w:name w:val="表格文字1 Char Char"/>
    <w:link w:val="462"/>
    <w:qFormat/>
    <w:uiPriority w:val="0"/>
    <w:rPr>
      <w:bCs/>
      <w:color w:val="000000"/>
      <w:szCs w:val="21"/>
    </w:rPr>
  </w:style>
  <w:style w:type="paragraph" w:customStyle="1" w:styleId="462">
    <w:name w:val="表格文字1"/>
    <w:basedOn w:val="176"/>
    <w:link w:val="461"/>
    <w:qFormat/>
    <w:uiPriority w:val="0"/>
    <w:rPr>
      <w:rFonts w:eastAsia="宋体"/>
      <w:bCs/>
      <w:color w:val="000000"/>
      <w:kern w:val="0"/>
      <w:sz w:val="20"/>
    </w:rPr>
  </w:style>
  <w:style w:type="character" w:customStyle="1" w:styleId="463">
    <w:name w:val="标题1.1.1.1.1.1 Char1"/>
    <w:qFormat/>
    <w:uiPriority w:val="0"/>
    <w:rPr>
      <w:rFonts w:ascii="Arial" w:hAnsi="Arial" w:eastAsia="黑体"/>
      <w:b/>
      <w:bCs/>
      <w:sz w:val="24"/>
      <w:szCs w:val="24"/>
      <w:lang w:bidi="ar-SA"/>
    </w:rPr>
  </w:style>
  <w:style w:type="character" w:customStyle="1" w:styleId="464">
    <w:name w:val="s1"/>
    <w:qFormat/>
    <w:uiPriority w:val="0"/>
    <w:rPr>
      <w:sz w:val="18"/>
      <w:szCs w:val="18"/>
    </w:rPr>
  </w:style>
  <w:style w:type="character" w:customStyle="1" w:styleId="465">
    <w:name w:val="正文5号 Char Char1"/>
    <w:qFormat/>
    <w:uiPriority w:val="0"/>
    <w:rPr>
      <w:sz w:val="24"/>
      <w:lang w:bidi="ar-SA"/>
    </w:rPr>
  </w:style>
  <w:style w:type="character" w:customStyle="1" w:styleId="466">
    <w:name w:val="what"/>
    <w:qFormat/>
    <w:uiPriority w:val="0"/>
    <w:rPr>
      <w:rFonts w:eastAsia="宋体"/>
      <w:kern w:val="2"/>
      <w:sz w:val="24"/>
      <w:szCs w:val="24"/>
      <w:lang w:val="en-US" w:eastAsia="zh-CN" w:bidi="ar-SA"/>
    </w:rPr>
  </w:style>
  <w:style w:type="character" w:customStyle="1" w:styleId="467">
    <w:name w:val="报告正文1 Char Char"/>
    <w:link w:val="468"/>
    <w:qFormat/>
    <w:uiPriority w:val="0"/>
    <w:rPr>
      <w:color w:val="000000"/>
      <w:sz w:val="24"/>
      <w:szCs w:val="24"/>
    </w:rPr>
  </w:style>
  <w:style w:type="paragraph" w:customStyle="1" w:styleId="468">
    <w:name w:val="报告正文1"/>
    <w:basedOn w:val="2"/>
    <w:link w:val="467"/>
    <w:qFormat/>
    <w:uiPriority w:val="0"/>
    <w:pPr>
      <w:spacing w:line="360" w:lineRule="auto"/>
      <w:ind w:firstLine="200"/>
    </w:pPr>
    <w:rPr>
      <w:color w:val="000000"/>
      <w:kern w:val="0"/>
      <w:sz w:val="24"/>
    </w:rPr>
  </w:style>
  <w:style w:type="character" w:customStyle="1" w:styleId="469">
    <w:name w:val="b1 Char2"/>
    <w:qFormat/>
    <w:uiPriority w:val="0"/>
    <w:rPr>
      <w:rFonts w:ascii="Calibri" w:hAnsi="Calibri"/>
      <w:b/>
      <w:bCs/>
      <w:kern w:val="44"/>
      <w:sz w:val="44"/>
      <w:szCs w:val="44"/>
    </w:rPr>
  </w:style>
  <w:style w:type="character" w:customStyle="1" w:styleId="470">
    <w:name w:val="nine-11"/>
    <w:qFormat/>
    <w:uiPriority w:val="0"/>
    <w:rPr>
      <w:rFonts w:hint="default"/>
      <w:sz w:val="18"/>
      <w:szCs w:val="18"/>
    </w:rPr>
  </w:style>
  <w:style w:type="character" w:customStyle="1" w:styleId="471">
    <w:name w:val="sf6tjlp"/>
    <w:qFormat/>
    <w:uiPriority w:val="0"/>
  </w:style>
  <w:style w:type="character" w:customStyle="1" w:styleId="472">
    <w:name w:val="兴武正文 Char Char"/>
    <w:link w:val="473"/>
    <w:qFormat/>
    <w:uiPriority w:val="0"/>
    <w:rPr>
      <w:sz w:val="24"/>
    </w:rPr>
  </w:style>
  <w:style w:type="paragraph" w:customStyle="1" w:styleId="473">
    <w:name w:val="兴武正文"/>
    <w:basedOn w:val="1"/>
    <w:link w:val="472"/>
    <w:qFormat/>
    <w:uiPriority w:val="0"/>
    <w:pPr>
      <w:spacing w:line="480" w:lineRule="exact"/>
      <w:ind w:firstLine="200" w:firstLineChars="200"/>
    </w:pPr>
    <w:rPr>
      <w:kern w:val="0"/>
      <w:sz w:val="24"/>
      <w:szCs w:val="20"/>
    </w:rPr>
  </w:style>
  <w:style w:type="character" w:customStyle="1" w:styleId="474">
    <w:name w:val="a11"/>
    <w:qFormat/>
    <w:uiPriority w:val="0"/>
  </w:style>
  <w:style w:type="character" w:customStyle="1" w:styleId="475">
    <w:name w:val="main-1"/>
    <w:qFormat/>
    <w:uiPriority w:val="0"/>
  </w:style>
  <w:style w:type="character" w:customStyle="1" w:styleId="476">
    <w:name w:val="s4y5"/>
    <w:qFormat/>
    <w:uiPriority w:val="0"/>
  </w:style>
  <w:style w:type="character" w:customStyle="1" w:styleId="477">
    <w:name w:val="lh131"/>
    <w:qFormat/>
    <w:uiPriority w:val="0"/>
  </w:style>
  <w:style w:type="character" w:customStyle="1" w:styleId="478">
    <w:name w:val="Char Char27"/>
    <w:qFormat/>
    <w:uiPriority w:val="0"/>
    <w:rPr>
      <w:kern w:val="2"/>
      <w:sz w:val="24"/>
      <w:szCs w:val="21"/>
      <w:lang w:bidi="ar-SA"/>
    </w:rPr>
  </w:style>
  <w:style w:type="character" w:customStyle="1" w:styleId="479">
    <w:name w:val="shekj8m"/>
    <w:qFormat/>
    <w:uiPriority w:val="0"/>
  </w:style>
  <w:style w:type="character" w:customStyle="1" w:styleId="480">
    <w:name w:val="正文样式 Char Char Char Char Char Char Char"/>
    <w:link w:val="481"/>
    <w:qFormat/>
    <w:uiPriority w:val="0"/>
    <w:rPr>
      <w:rFonts w:ascii="宋体" w:hAnsi="宋体"/>
      <w:color w:val="000000"/>
      <w:sz w:val="24"/>
      <w:szCs w:val="24"/>
    </w:rPr>
  </w:style>
  <w:style w:type="paragraph" w:customStyle="1" w:styleId="481">
    <w:name w:val="正文样式 Char Char Char Char Char"/>
    <w:basedOn w:val="1"/>
    <w:link w:val="480"/>
    <w:qFormat/>
    <w:uiPriority w:val="0"/>
    <w:pPr>
      <w:spacing w:line="360" w:lineRule="auto"/>
      <w:ind w:firstLine="480" w:firstLineChars="200"/>
    </w:pPr>
    <w:rPr>
      <w:rFonts w:ascii="宋体" w:hAnsi="宋体"/>
      <w:color w:val="000000"/>
      <w:kern w:val="0"/>
      <w:sz w:val="24"/>
    </w:rPr>
  </w:style>
  <w:style w:type="character" w:customStyle="1" w:styleId="482">
    <w:name w:val="样式14 Char Char"/>
    <w:link w:val="483"/>
    <w:qFormat/>
    <w:uiPriority w:val="0"/>
    <w:rPr>
      <w:rFonts w:ascii="仿宋_GB2312" w:hAnsi="宋体" w:eastAsia="仿宋_GB2312"/>
      <w:bCs/>
      <w:sz w:val="24"/>
    </w:rPr>
  </w:style>
  <w:style w:type="paragraph" w:customStyle="1" w:styleId="483">
    <w:name w:val="样式14"/>
    <w:basedOn w:val="484"/>
    <w:link w:val="482"/>
    <w:qFormat/>
    <w:uiPriority w:val="0"/>
    <w:pPr>
      <w:adjustRightInd w:val="0"/>
      <w:spacing w:line="240" w:lineRule="auto"/>
      <w:textAlignment w:val="baseline"/>
    </w:pPr>
    <w:rPr>
      <w:rFonts w:ascii="仿宋_GB2312" w:eastAsia="仿宋_GB2312"/>
      <w:bCs/>
      <w:kern w:val="0"/>
      <w:sz w:val="24"/>
      <w:szCs w:val="20"/>
    </w:rPr>
  </w:style>
  <w:style w:type="paragraph" w:customStyle="1" w:styleId="484">
    <w:name w:val="图表文字"/>
    <w:basedOn w:val="1"/>
    <w:qFormat/>
    <w:uiPriority w:val="0"/>
    <w:pPr>
      <w:spacing w:line="320" w:lineRule="exact"/>
      <w:jc w:val="center"/>
    </w:pPr>
    <w:rPr>
      <w:rFonts w:ascii="宋体" w:hAnsi="宋体"/>
    </w:rPr>
  </w:style>
  <w:style w:type="character" w:customStyle="1" w:styleId="485">
    <w:name w:val="s9n1k0c"/>
    <w:qFormat/>
    <w:uiPriority w:val="0"/>
  </w:style>
  <w:style w:type="character" w:customStyle="1" w:styleId="486">
    <w:name w:val="Char Char5"/>
    <w:qFormat/>
    <w:uiPriority w:val="0"/>
    <w:rPr>
      <w:rFonts w:ascii="宋体" w:hAnsi="宋体" w:eastAsia="宋体"/>
      <w:kern w:val="2"/>
      <w:sz w:val="21"/>
      <w:szCs w:val="24"/>
      <w:lang w:val="en-US" w:eastAsia="zh-CN" w:bidi="ar-SA"/>
    </w:rPr>
  </w:style>
  <w:style w:type="character" w:customStyle="1" w:styleId="487">
    <w:name w:val="正文2 Char Char"/>
    <w:link w:val="488"/>
    <w:qFormat/>
    <w:uiPriority w:val="0"/>
    <w:rPr>
      <w:bCs/>
      <w:sz w:val="24"/>
      <w:szCs w:val="44"/>
    </w:rPr>
  </w:style>
  <w:style w:type="paragraph" w:customStyle="1" w:styleId="488">
    <w:name w:val="正文21"/>
    <w:basedOn w:val="1"/>
    <w:link w:val="487"/>
    <w:qFormat/>
    <w:uiPriority w:val="0"/>
    <w:pPr>
      <w:adjustRightInd w:val="0"/>
      <w:spacing w:line="360" w:lineRule="auto"/>
      <w:ind w:firstLine="200" w:firstLineChars="200"/>
    </w:pPr>
    <w:rPr>
      <w:bCs/>
      <w:kern w:val="0"/>
      <w:sz w:val="24"/>
      <w:szCs w:val="44"/>
    </w:rPr>
  </w:style>
  <w:style w:type="character" w:customStyle="1" w:styleId="489">
    <w:name w:val="title31"/>
    <w:qFormat/>
    <w:uiPriority w:val="0"/>
  </w:style>
  <w:style w:type="character" w:customStyle="1" w:styleId="490">
    <w:name w:val="sfmq"/>
    <w:qFormat/>
    <w:uiPriority w:val="0"/>
  </w:style>
  <w:style w:type="character" w:customStyle="1" w:styleId="491">
    <w:name w:val="f121"/>
    <w:qFormat/>
    <w:uiPriority w:val="0"/>
    <w:rPr>
      <w:sz w:val="18"/>
      <w:szCs w:val="18"/>
      <w:u w:val="none"/>
    </w:rPr>
  </w:style>
  <w:style w:type="character" w:customStyle="1" w:styleId="492">
    <w:name w:val="sxwt2u"/>
    <w:qFormat/>
    <w:uiPriority w:val="0"/>
  </w:style>
  <w:style w:type="character" w:customStyle="1" w:styleId="493">
    <w:name w:val="style191"/>
    <w:qFormat/>
    <w:uiPriority w:val="0"/>
    <w:rPr>
      <w:b/>
      <w:bCs/>
      <w:color w:val="FF0000"/>
    </w:rPr>
  </w:style>
  <w:style w:type="character" w:customStyle="1" w:styleId="494">
    <w:name w:val="sv1hyw"/>
    <w:qFormat/>
    <w:uiPriority w:val="0"/>
  </w:style>
  <w:style w:type="character" w:customStyle="1" w:styleId="495">
    <w:name w:val="td1"/>
    <w:qFormat/>
    <w:uiPriority w:val="0"/>
    <w:rPr>
      <w:color w:val="000000"/>
      <w:sz w:val="21"/>
      <w:szCs w:val="21"/>
    </w:rPr>
  </w:style>
  <w:style w:type="character" w:customStyle="1" w:styleId="496">
    <w:name w:val="样式82 Char Char"/>
    <w:link w:val="497"/>
    <w:qFormat/>
    <w:uiPriority w:val="0"/>
    <w:rPr>
      <w:rFonts w:ascii="宋体" w:hAnsi="宋体"/>
      <w:sz w:val="28"/>
      <w:szCs w:val="28"/>
    </w:rPr>
  </w:style>
  <w:style w:type="paragraph" w:customStyle="1" w:styleId="497">
    <w:name w:val="样式82"/>
    <w:basedOn w:val="1"/>
    <w:link w:val="496"/>
    <w:qFormat/>
    <w:uiPriority w:val="0"/>
    <w:pPr>
      <w:spacing w:line="360" w:lineRule="auto"/>
      <w:ind w:firstLine="560" w:firstLineChars="200"/>
    </w:pPr>
    <w:rPr>
      <w:rFonts w:ascii="宋体" w:hAnsi="宋体"/>
      <w:kern w:val="0"/>
      <w:sz w:val="28"/>
      <w:szCs w:val="28"/>
    </w:rPr>
  </w:style>
  <w:style w:type="character" w:customStyle="1" w:styleId="498">
    <w:name w:val="s lh15"/>
    <w:qFormat/>
    <w:uiPriority w:val="0"/>
  </w:style>
  <w:style w:type="character" w:customStyle="1" w:styleId="499">
    <w:name w:val="s8xye"/>
    <w:qFormat/>
    <w:uiPriority w:val="0"/>
  </w:style>
  <w:style w:type="character" w:customStyle="1" w:styleId="500">
    <w:name w:val="style61"/>
    <w:qFormat/>
    <w:uiPriority w:val="0"/>
    <w:rPr>
      <w:sz w:val="45"/>
      <w:szCs w:val="45"/>
    </w:rPr>
  </w:style>
  <w:style w:type="character" w:customStyle="1" w:styleId="501">
    <w:name w:val="表格001 Char Char"/>
    <w:link w:val="502"/>
    <w:qFormat/>
    <w:uiPriority w:val="0"/>
  </w:style>
  <w:style w:type="paragraph" w:customStyle="1" w:styleId="502">
    <w:name w:val="表格001"/>
    <w:basedOn w:val="1"/>
    <w:link w:val="501"/>
    <w:qFormat/>
    <w:uiPriority w:val="0"/>
    <w:pPr>
      <w:jc w:val="center"/>
    </w:pPr>
    <w:rPr>
      <w:kern w:val="0"/>
      <w:sz w:val="20"/>
      <w:szCs w:val="20"/>
    </w:rPr>
  </w:style>
  <w:style w:type="character" w:customStyle="1" w:styleId="503">
    <w:name w:val="style421"/>
    <w:qFormat/>
    <w:uiPriority w:val="0"/>
    <w:rPr>
      <w:color w:val="287D3C"/>
      <w:sz w:val="21"/>
      <w:szCs w:val="21"/>
    </w:rPr>
  </w:style>
  <w:style w:type="character" w:customStyle="1" w:styleId="504">
    <w:name w:val="高表单 Char Char"/>
    <w:qFormat/>
    <w:uiPriority w:val="0"/>
    <w:rPr>
      <w:rFonts w:ascii="Arial" w:hAnsi="Arial" w:eastAsia="宋体"/>
      <w:kern w:val="2"/>
      <w:sz w:val="21"/>
      <w:szCs w:val="21"/>
      <w:lang w:val="en-US" w:eastAsia="zh-CN" w:bidi="ar-SA"/>
    </w:rPr>
  </w:style>
  <w:style w:type="character" w:customStyle="1" w:styleId="505">
    <w:name w:val="soqzabs"/>
    <w:qFormat/>
    <w:uiPriority w:val="0"/>
  </w:style>
  <w:style w:type="character" w:customStyle="1" w:styleId="506">
    <w:name w:val="pccs1"/>
    <w:qFormat/>
    <w:uiPriority w:val="0"/>
    <w:rPr>
      <w:sz w:val="18"/>
      <w:szCs w:val="18"/>
    </w:rPr>
  </w:style>
  <w:style w:type="character" w:customStyle="1" w:styleId="507">
    <w:name w:val="s9zsb3q"/>
    <w:qFormat/>
    <w:uiPriority w:val="0"/>
  </w:style>
  <w:style w:type="character" w:customStyle="1" w:styleId="508">
    <w:name w:val="unnamed91"/>
    <w:qFormat/>
    <w:uiPriority w:val="0"/>
    <w:rPr>
      <w:rFonts w:hint="eastAsia" w:ascii="宋体" w:hAnsi="宋体" w:eastAsia="宋体"/>
      <w:color w:val="000000"/>
      <w:sz w:val="18"/>
      <w:szCs w:val="18"/>
      <w:u w:val="none"/>
    </w:rPr>
  </w:style>
  <w:style w:type="character" w:customStyle="1" w:styleId="509">
    <w:name w:val="sj4lab"/>
    <w:qFormat/>
    <w:uiPriority w:val="0"/>
  </w:style>
  <w:style w:type="character" w:customStyle="1" w:styleId="510">
    <w:name w:val="ttitle1"/>
    <w:qFormat/>
    <w:uiPriority w:val="0"/>
    <w:rPr>
      <w:spacing w:val="120"/>
      <w:sz w:val="21"/>
      <w:szCs w:val="21"/>
    </w:rPr>
  </w:style>
  <w:style w:type="character" w:customStyle="1" w:styleId="511">
    <w:name w:val="style21"/>
    <w:qFormat/>
    <w:uiPriority w:val="0"/>
    <w:rPr>
      <w:color w:val="00007F"/>
    </w:rPr>
  </w:style>
  <w:style w:type="character" w:customStyle="1" w:styleId="512">
    <w:name w:val="sdi8io"/>
    <w:qFormat/>
    <w:uiPriority w:val="0"/>
  </w:style>
  <w:style w:type="character" w:customStyle="1" w:styleId="513">
    <w:name w:val="正文缩进 Cha Char"/>
    <w:qFormat/>
    <w:uiPriority w:val="0"/>
    <w:rPr>
      <w:rFonts w:eastAsia="宋体"/>
      <w:kern w:val="2"/>
      <w:sz w:val="28"/>
      <w:szCs w:val="24"/>
      <w:lang w:val="en-US" w:eastAsia="zh-CN" w:bidi="ar-SA"/>
    </w:rPr>
  </w:style>
  <w:style w:type="character" w:customStyle="1" w:styleId="514">
    <w:name w:val="表文字 Char Char"/>
    <w:link w:val="515"/>
    <w:qFormat/>
    <w:uiPriority w:val="0"/>
    <w:rPr>
      <w:sz w:val="24"/>
    </w:rPr>
  </w:style>
  <w:style w:type="paragraph" w:customStyle="1" w:styleId="515">
    <w:name w:val="表文字"/>
    <w:basedOn w:val="1"/>
    <w:link w:val="514"/>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516">
    <w:name w:val="soa7bda"/>
    <w:qFormat/>
    <w:uiPriority w:val="0"/>
  </w:style>
  <w:style w:type="character" w:customStyle="1" w:styleId="517">
    <w:name w:val="sxuoj4"/>
    <w:qFormat/>
    <w:uiPriority w:val="0"/>
  </w:style>
  <w:style w:type="character" w:customStyle="1" w:styleId="518">
    <w:name w:val="报告 Char Char"/>
    <w:qFormat/>
    <w:uiPriority w:val="0"/>
    <w:rPr>
      <w:sz w:val="24"/>
      <w:lang w:bidi="ar-SA"/>
    </w:rPr>
  </w:style>
  <w:style w:type="character" w:customStyle="1" w:styleId="519">
    <w:name w:val="标题 21"/>
    <w:qFormat/>
    <w:uiPriority w:val="0"/>
    <w:rPr>
      <w:rFonts w:ascii="黑体" w:hAnsi="Arial" w:eastAsia="黑体"/>
      <w:kern w:val="2"/>
      <w:sz w:val="36"/>
      <w:szCs w:val="32"/>
      <w:lang w:val="en-US" w:eastAsia="zh-CN" w:bidi="ar-SA"/>
    </w:rPr>
  </w:style>
  <w:style w:type="character" w:customStyle="1" w:styleId="520">
    <w:name w:val="样式21 Char Char"/>
    <w:link w:val="521"/>
    <w:qFormat/>
    <w:uiPriority w:val="0"/>
    <w:rPr>
      <w:rFonts w:ascii="宋体" w:hAnsi="宋体"/>
      <w:b/>
      <w:bCs/>
      <w:color w:val="000000"/>
      <w:sz w:val="28"/>
      <w:szCs w:val="28"/>
      <w:lang w:val="zh-CN"/>
    </w:rPr>
  </w:style>
  <w:style w:type="paragraph" w:customStyle="1" w:styleId="521">
    <w:name w:val="样式21"/>
    <w:basedOn w:val="281"/>
    <w:link w:val="520"/>
    <w:qFormat/>
    <w:uiPriority w:val="0"/>
    <w:pPr>
      <w:spacing w:beforeLines="0" w:afterLines="0" w:line="480" w:lineRule="auto"/>
      <w:ind w:firstLine="3500" w:firstLineChars="1250"/>
      <w:jc w:val="both"/>
      <w:outlineLvl w:val="9"/>
    </w:pPr>
    <w:rPr>
      <w:rFonts w:ascii="宋体" w:hAnsi="宋体" w:eastAsia="宋体"/>
      <w:sz w:val="28"/>
      <w:szCs w:val="28"/>
      <w:lang w:val="zh-CN"/>
    </w:rPr>
  </w:style>
  <w:style w:type="character" w:customStyle="1" w:styleId="522">
    <w:name w:val="zjgblk1"/>
    <w:qFormat/>
    <w:uiPriority w:val="0"/>
    <w:rPr>
      <w:rFonts w:hint="default"/>
      <w:color w:val="000000"/>
      <w:sz w:val="18"/>
      <w:szCs w:val="18"/>
      <w:u w:val="none"/>
    </w:rPr>
  </w:style>
  <w:style w:type="character" w:customStyle="1" w:styleId="523">
    <w:name w:val="sub42"/>
    <w:qFormat/>
    <w:uiPriority w:val="0"/>
  </w:style>
  <w:style w:type="character" w:customStyle="1" w:styleId="524">
    <w:name w:val="smuvt"/>
    <w:qFormat/>
    <w:uiPriority w:val="0"/>
  </w:style>
  <w:style w:type="character" w:customStyle="1" w:styleId="525">
    <w:name w:val="sgiivq"/>
    <w:qFormat/>
    <w:uiPriority w:val="0"/>
  </w:style>
  <w:style w:type="character" w:customStyle="1" w:styleId="526">
    <w:name w:val="标题 12"/>
    <w:qFormat/>
    <w:uiPriority w:val="0"/>
    <w:rPr>
      <w:rFonts w:ascii="黑体" w:eastAsia="黑体"/>
      <w:kern w:val="44"/>
      <w:sz w:val="44"/>
      <w:lang w:val="en-US" w:eastAsia="zh-CN" w:bidi="ar-SA"/>
    </w:rPr>
  </w:style>
  <w:style w:type="character" w:customStyle="1" w:styleId="527">
    <w:name w:val="nava61"/>
    <w:qFormat/>
    <w:uiPriority w:val="0"/>
    <w:rPr>
      <w:color w:val="000000"/>
      <w:sz w:val="21"/>
      <w:szCs w:val="21"/>
      <w:u w:val="none"/>
    </w:rPr>
  </w:style>
  <w:style w:type="character" w:customStyle="1" w:styleId="528">
    <w:name w:val="Char Char Char11"/>
    <w:qFormat/>
    <w:uiPriority w:val="0"/>
    <w:rPr>
      <w:rFonts w:eastAsia="宋体"/>
      <w:kern w:val="2"/>
      <w:sz w:val="21"/>
      <w:szCs w:val="24"/>
      <w:lang w:val="en-US" w:eastAsia="zh-CN" w:bidi="ar-SA"/>
    </w:rPr>
  </w:style>
  <w:style w:type="character" w:customStyle="1" w:styleId="529">
    <w:name w:val="sc2f7tt"/>
    <w:qFormat/>
    <w:uiPriority w:val="0"/>
  </w:style>
  <w:style w:type="character" w:customStyle="1" w:styleId="530">
    <w:name w:val="oblog_text"/>
    <w:qFormat/>
    <w:uiPriority w:val="0"/>
  </w:style>
  <w:style w:type="character" w:customStyle="1" w:styleId="531">
    <w:name w:val="xiaozhiti1"/>
    <w:qFormat/>
    <w:uiPriority w:val="0"/>
    <w:rPr>
      <w:sz w:val="18"/>
      <w:szCs w:val="18"/>
    </w:rPr>
  </w:style>
  <w:style w:type="character" w:customStyle="1" w:styleId="532">
    <w:name w:val="标题 Char1"/>
    <w:qFormat/>
    <w:uiPriority w:val="0"/>
    <w:rPr>
      <w:rFonts w:ascii="Arial" w:hAnsi="Arial" w:eastAsia="黑体" w:cs="Arial"/>
      <w:b/>
      <w:bCs/>
      <w:kern w:val="2"/>
      <w:sz w:val="32"/>
      <w:szCs w:val="32"/>
      <w:lang w:val="en-US" w:eastAsia="zh-CN" w:bidi="ar-SA"/>
    </w:rPr>
  </w:style>
  <w:style w:type="character" w:customStyle="1" w:styleId="533">
    <w:name w:val="sub_title1"/>
    <w:qFormat/>
    <w:uiPriority w:val="0"/>
    <w:rPr>
      <w:rFonts w:hint="default"/>
      <w:color w:val="FF6600"/>
      <w:sz w:val="21"/>
      <w:szCs w:val="21"/>
    </w:rPr>
  </w:style>
  <w:style w:type="character" w:customStyle="1" w:styleId="534">
    <w:name w:val="s6lx"/>
    <w:qFormat/>
    <w:uiPriority w:val="0"/>
  </w:style>
  <w:style w:type="character" w:customStyle="1" w:styleId="535">
    <w:name w:val="sy7t"/>
    <w:qFormat/>
    <w:uiPriority w:val="0"/>
  </w:style>
  <w:style w:type="character" w:customStyle="1" w:styleId="536">
    <w:name w:val="样式78 Char Char"/>
    <w:link w:val="537"/>
    <w:qFormat/>
    <w:uiPriority w:val="0"/>
    <w:rPr>
      <w:rFonts w:ascii="黑体" w:eastAsia="黑体"/>
      <w:b/>
      <w:kern w:val="44"/>
      <w:sz w:val="32"/>
    </w:rPr>
  </w:style>
  <w:style w:type="paragraph" w:customStyle="1" w:styleId="537">
    <w:name w:val="样式78"/>
    <w:basedOn w:val="1"/>
    <w:link w:val="536"/>
    <w:qFormat/>
    <w:uiPriority w:val="0"/>
    <w:pPr>
      <w:keepNext/>
      <w:keepLines/>
      <w:spacing w:before="290" w:after="290" w:line="360" w:lineRule="auto"/>
      <w:jc w:val="center"/>
      <w:outlineLvl w:val="0"/>
    </w:pPr>
    <w:rPr>
      <w:rFonts w:ascii="黑体" w:eastAsia="黑体"/>
      <w:b/>
      <w:kern w:val="44"/>
      <w:sz w:val="32"/>
      <w:szCs w:val="20"/>
    </w:rPr>
  </w:style>
  <w:style w:type="character" w:customStyle="1" w:styleId="538">
    <w:name w:val="样式45 Char Char"/>
    <w:link w:val="539"/>
    <w:qFormat/>
    <w:uiPriority w:val="0"/>
    <w:rPr>
      <w:rFonts w:ascii="宋体" w:hAnsi="宋体"/>
      <w:color w:val="000000"/>
      <w:sz w:val="28"/>
      <w:szCs w:val="28"/>
    </w:rPr>
  </w:style>
  <w:style w:type="paragraph" w:customStyle="1" w:styleId="539">
    <w:name w:val="样式45"/>
    <w:basedOn w:val="1"/>
    <w:link w:val="538"/>
    <w:qFormat/>
    <w:uiPriority w:val="0"/>
    <w:pPr>
      <w:spacing w:line="360" w:lineRule="auto"/>
      <w:ind w:firstLine="560" w:firstLineChars="200"/>
    </w:pPr>
    <w:rPr>
      <w:rFonts w:ascii="宋体" w:hAnsi="宋体"/>
      <w:color w:val="000000"/>
      <w:kern w:val="0"/>
      <w:sz w:val="28"/>
      <w:szCs w:val="28"/>
    </w:rPr>
  </w:style>
  <w:style w:type="character" w:customStyle="1" w:styleId="540">
    <w:name w:val="样式90 Char Char"/>
    <w:link w:val="541"/>
    <w:qFormat/>
    <w:uiPriority w:val="0"/>
    <w:rPr>
      <w:rFonts w:ascii="黑体" w:hAnsi="宋体" w:eastAsia="黑体"/>
      <w:color w:val="000000"/>
      <w:sz w:val="24"/>
      <w:szCs w:val="24"/>
    </w:rPr>
  </w:style>
  <w:style w:type="paragraph" w:customStyle="1" w:styleId="541">
    <w:name w:val="样式90"/>
    <w:basedOn w:val="1"/>
    <w:link w:val="540"/>
    <w:qFormat/>
    <w:uiPriority w:val="0"/>
    <w:pPr>
      <w:widowControl/>
      <w:spacing w:beforeLines="50" w:afterLines="50" w:line="360" w:lineRule="auto"/>
      <w:ind w:firstLine="480" w:firstLineChars="200"/>
      <w:jc w:val="center"/>
    </w:pPr>
    <w:rPr>
      <w:rFonts w:ascii="黑体" w:hAnsi="宋体" w:eastAsia="黑体"/>
      <w:color w:val="000000"/>
      <w:kern w:val="0"/>
      <w:sz w:val="24"/>
    </w:rPr>
  </w:style>
  <w:style w:type="character" w:customStyle="1" w:styleId="542">
    <w:name w:val="样式70 Char Char"/>
    <w:link w:val="543"/>
    <w:qFormat/>
    <w:uiPriority w:val="0"/>
    <w:rPr>
      <w:rFonts w:ascii="宋体" w:hAnsi="宋体"/>
      <w:color w:val="000000"/>
      <w:kern w:val="28"/>
      <w:sz w:val="28"/>
      <w:szCs w:val="28"/>
    </w:rPr>
  </w:style>
  <w:style w:type="paragraph" w:customStyle="1" w:styleId="543">
    <w:name w:val="样式70"/>
    <w:basedOn w:val="1"/>
    <w:link w:val="542"/>
    <w:qFormat/>
    <w:uiPriority w:val="0"/>
    <w:pPr>
      <w:spacing w:line="460" w:lineRule="exact"/>
      <w:ind w:firstLine="560" w:firstLineChars="200"/>
      <w:jc w:val="left"/>
    </w:pPr>
    <w:rPr>
      <w:rFonts w:ascii="宋体" w:hAnsi="宋体"/>
      <w:color w:val="000000"/>
      <w:kern w:val="28"/>
      <w:sz w:val="28"/>
      <w:szCs w:val="28"/>
    </w:rPr>
  </w:style>
  <w:style w:type="character" w:customStyle="1" w:styleId="544">
    <w:name w:val="标题 Char2"/>
    <w:qFormat/>
    <w:uiPriority w:val="0"/>
    <w:rPr>
      <w:rFonts w:ascii="Cambria" w:hAnsi="Cambria" w:cs="Times New Roman"/>
      <w:b/>
      <w:bCs/>
      <w:kern w:val="2"/>
      <w:sz w:val="32"/>
      <w:szCs w:val="32"/>
    </w:rPr>
  </w:style>
  <w:style w:type="character" w:customStyle="1" w:styleId="545">
    <w:name w:val="甲乙酮正文 Char"/>
    <w:qFormat/>
    <w:uiPriority w:val="0"/>
    <w:rPr>
      <w:rFonts w:eastAsia="宋体"/>
      <w:color w:val="000000"/>
      <w:kern w:val="2"/>
      <w:sz w:val="24"/>
      <w:szCs w:val="24"/>
      <w:lang w:val="en-US" w:eastAsia="zh-CN" w:bidi="ar-SA"/>
    </w:rPr>
  </w:style>
  <w:style w:type="character" w:customStyle="1" w:styleId="546">
    <w:name w:val="甲乙酮标题3 Char"/>
    <w:qFormat/>
    <w:uiPriority w:val="0"/>
    <w:rPr>
      <w:rFonts w:eastAsia="宋体"/>
      <w:b/>
      <w:bCs/>
      <w:kern w:val="2"/>
      <w:sz w:val="32"/>
      <w:szCs w:val="32"/>
      <w:lang w:val="en-US" w:eastAsia="zh-CN" w:bidi="ar-SA"/>
    </w:rPr>
  </w:style>
  <w:style w:type="character" w:customStyle="1" w:styleId="547">
    <w:name w:val="报告正文1 Char"/>
    <w:qFormat/>
    <w:uiPriority w:val="0"/>
    <w:rPr>
      <w:rFonts w:eastAsia="宋体"/>
      <w:color w:val="000000"/>
      <w:kern w:val="2"/>
      <w:sz w:val="24"/>
      <w:szCs w:val="24"/>
      <w:lang w:val="en-US" w:eastAsia="zh-CN" w:bidi="ar-SA"/>
    </w:rPr>
  </w:style>
  <w:style w:type="character" w:customStyle="1" w:styleId="548">
    <w:name w:val="文本 Char"/>
    <w:qFormat/>
    <w:uiPriority w:val="0"/>
    <w:rPr>
      <w:kern w:val="2"/>
      <w:sz w:val="24"/>
      <w:szCs w:val="24"/>
    </w:rPr>
  </w:style>
  <w:style w:type="character" w:customStyle="1" w:styleId="549">
    <w:name w:val="表 标题 Char"/>
    <w:qFormat/>
    <w:uiPriority w:val="0"/>
    <w:rPr>
      <w:rFonts w:cs="宋体"/>
      <w:b/>
      <w:kern w:val="2"/>
      <w:sz w:val="24"/>
    </w:rPr>
  </w:style>
  <w:style w:type="character" w:customStyle="1" w:styleId="550">
    <w:name w:val="环正文 Char4"/>
    <w:link w:val="551"/>
    <w:qFormat/>
    <w:uiPriority w:val="0"/>
    <w:rPr>
      <w:rFonts w:ascii="仿宋_GB2312" w:hAnsi="宋体" w:eastAsia="仿宋_GB2312"/>
      <w:sz w:val="28"/>
    </w:rPr>
  </w:style>
  <w:style w:type="paragraph" w:customStyle="1" w:styleId="551">
    <w:name w:val="环正文"/>
    <w:basedOn w:val="1"/>
    <w:link w:val="550"/>
    <w:qFormat/>
    <w:uiPriority w:val="0"/>
    <w:pPr>
      <w:widowControl/>
      <w:suppressAutoHyphens/>
      <w:adjustRightInd w:val="0"/>
      <w:snapToGrid w:val="0"/>
      <w:spacing w:line="300" w:lineRule="auto"/>
      <w:ind w:firstLine="560"/>
      <w:textAlignment w:val="baseline"/>
    </w:pPr>
    <w:rPr>
      <w:rFonts w:ascii="仿宋_GB2312" w:hAnsi="宋体" w:eastAsia="仿宋_GB2312"/>
      <w:kern w:val="0"/>
      <w:sz w:val="28"/>
      <w:szCs w:val="20"/>
    </w:rPr>
  </w:style>
  <w:style w:type="character" w:customStyle="1" w:styleId="552">
    <w:name w:val="副标题 Char1"/>
    <w:qFormat/>
    <w:uiPriority w:val="11"/>
    <w:rPr>
      <w:rFonts w:ascii="Cambria" w:hAnsi="Cambria" w:eastAsia="宋体" w:cs="Times New Roman"/>
      <w:b/>
      <w:bCs/>
      <w:kern w:val="28"/>
      <w:sz w:val="32"/>
      <w:szCs w:val="32"/>
    </w:rPr>
  </w:style>
  <w:style w:type="character" w:customStyle="1" w:styleId="553">
    <w:name w:val="三级 Char"/>
    <w:link w:val="554"/>
    <w:qFormat/>
    <w:uiPriority w:val="0"/>
    <w:rPr>
      <w:b/>
      <w:kern w:val="2"/>
      <w:sz w:val="28"/>
    </w:rPr>
  </w:style>
  <w:style w:type="paragraph" w:customStyle="1" w:styleId="554">
    <w:name w:val="三级"/>
    <w:basedOn w:val="1"/>
    <w:link w:val="553"/>
    <w:qFormat/>
    <w:uiPriority w:val="0"/>
    <w:pPr>
      <w:adjustRightInd w:val="0"/>
      <w:textAlignment w:val="baseline"/>
    </w:pPr>
    <w:rPr>
      <w:b/>
      <w:sz w:val="28"/>
      <w:szCs w:val="20"/>
    </w:rPr>
  </w:style>
  <w:style w:type="character" w:customStyle="1" w:styleId="555">
    <w:name w:val="兴武正文 Char"/>
    <w:qFormat/>
    <w:uiPriority w:val="0"/>
    <w:rPr>
      <w:rFonts w:eastAsia="宋体" w:cs="宋体"/>
      <w:kern w:val="2"/>
      <w:sz w:val="24"/>
      <w:lang w:val="en-US" w:eastAsia="zh-CN" w:bidi="ar-SA"/>
    </w:rPr>
  </w:style>
  <w:style w:type="character" w:customStyle="1" w:styleId="556">
    <w:name w:val="表格yy Char Char"/>
    <w:link w:val="557"/>
    <w:qFormat/>
    <w:uiPriority w:val="0"/>
    <w:rPr>
      <w:rFonts w:eastAsia="仿宋_GB2312"/>
      <w:szCs w:val="24"/>
    </w:rPr>
  </w:style>
  <w:style w:type="paragraph" w:customStyle="1" w:styleId="557">
    <w:name w:val="表格yy"/>
    <w:basedOn w:val="1"/>
    <w:link w:val="556"/>
    <w:qFormat/>
    <w:uiPriority w:val="0"/>
    <w:pPr>
      <w:snapToGrid w:val="0"/>
      <w:spacing w:line="240" w:lineRule="atLeast"/>
      <w:jc w:val="center"/>
    </w:pPr>
    <w:rPr>
      <w:rFonts w:eastAsia="仿宋_GB2312"/>
      <w:kern w:val="0"/>
      <w:sz w:val="20"/>
    </w:rPr>
  </w:style>
  <w:style w:type="character" w:customStyle="1" w:styleId="558">
    <w:name w:val="正文缩进 Char Char"/>
    <w:qFormat/>
    <w:uiPriority w:val="0"/>
    <w:rPr>
      <w:rFonts w:eastAsia="宋体"/>
      <w:kern w:val="2"/>
      <w:sz w:val="21"/>
      <w:szCs w:val="24"/>
      <w:lang w:val="en-US" w:eastAsia="zh-CN" w:bidi="ar-SA"/>
    </w:rPr>
  </w:style>
  <w:style w:type="character" w:customStyle="1" w:styleId="559">
    <w:name w:val="页眉1 Char1"/>
    <w:qFormat/>
    <w:uiPriority w:val="0"/>
    <w:rPr>
      <w:rFonts w:eastAsia="宋体"/>
      <w:kern w:val="2"/>
      <w:sz w:val="18"/>
      <w:szCs w:val="18"/>
      <w:lang w:val="en-US" w:eastAsia="zh-CN" w:bidi="ar-SA"/>
    </w:rPr>
  </w:style>
  <w:style w:type="character" w:customStyle="1" w:styleId="560">
    <w:name w:val="Char Char48"/>
    <w:qFormat/>
    <w:uiPriority w:val="0"/>
    <w:rPr>
      <w:b/>
      <w:bCs/>
      <w:kern w:val="44"/>
      <w:sz w:val="44"/>
      <w:szCs w:val="44"/>
    </w:rPr>
  </w:style>
  <w:style w:type="character" w:customStyle="1" w:styleId="561">
    <w:name w:val="14588 Char"/>
    <w:link w:val="562"/>
    <w:qFormat/>
    <w:uiPriority w:val="0"/>
    <w:rPr>
      <w:rFonts w:ascii="Calibri" w:hAnsi="Calibri" w:cs="宋体"/>
      <w:kern w:val="2"/>
      <w:sz w:val="24"/>
      <w:lang w:val="de-DE"/>
    </w:rPr>
  </w:style>
  <w:style w:type="paragraph" w:customStyle="1" w:styleId="562">
    <w:name w:val="14588"/>
    <w:basedOn w:val="1"/>
    <w:link w:val="561"/>
    <w:qFormat/>
    <w:uiPriority w:val="0"/>
    <w:pPr>
      <w:spacing w:line="360" w:lineRule="auto"/>
      <w:ind w:firstLine="480" w:firstLineChars="200"/>
    </w:pPr>
    <w:rPr>
      <w:rFonts w:ascii="Calibri" w:hAnsi="Calibri" w:cs="宋体"/>
      <w:sz w:val="24"/>
      <w:szCs w:val="20"/>
      <w:lang w:val="de-DE"/>
    </w:rPr>
  </w:style>
  <w:style w:type="character" w:customStyle="1" w:styleId="563">
    <w:name w:val="茂名 正文 Char"/>
    <w:link w:val="564"/>
    <w:qFormat/>
    <w:uiPriority w:val="0"/>
    <w:rPr>
      <w:rFonts w:ascii="Symbol" w:hAnsi="Symbol" w:eastAsia="微软雅黑" w:cs="Symbol"/>
      <w:sz w:val="24"/>
      <w:szCs w:val="24"/>
    </w:rPr>
  </w:style>
  <w:style w:type="paragraph" w:customStyle="1" w:styleId="564">
    <w:name w:val="茂名 正文"/>
    <w:basedOn w:val="1"/>
    <w:link w:val="563"/>
    <w:qFormat/>
    <w:uiPriority w:val="0"/>
    <w:pPr>
      <w:widowControl/>
      <w:topLinePunct/>
      <w:spacing w:line="480" w:lineRule="exact"/>
      <w:ind w:firstLine="539"/>
    </w:pPr>
    <w:rPr>
      <w:rFonts w:ascii="Symbol" w:hAnsi="Symbol" w:eastAsia="微软雅黑" w:cs="Symbol"/>
      <w:kern w:val="0"/>
      <w:sz w:val="24"/>
    </w:rPr>
  </w:style>
  <w:style w:type="character" w:customStyle="1" w:styleId="565">
    <w:name w:val="正文(康健城) Char"/>
    <w:link w:val="566"/>
    <w:qFormat/>
    <w:uiPriority w:val="0"/>
    <w:rPr>
      <w:sz w:val="24"/>
      <w:szCs w:val="24"/>
    </w:rPr>
  </w:style>
  <w:style w:type="paragraph" w:customStyle="1" w:styleId="566">
    <w:name w:val="正文(康健城)"/>
    <w:basedOn w:val="1"/>
    <w:link w:val="565"/>
    <w:qFormat/>
    <w:uiPriority w:val="0"/>
    <w:pPr>
      <w:adjustRightInd w:val="0"/>
      <w:snapToGrid w:val="0"/>
      <w:spacing w:line="360" w:lineRule="auto"/>
      <w:ind w:firstLine="480" w:firstLineChars="200"/>
      <w:textAlignment w:val="baseline"/>
    </w:pPr>
    <w:rPr>
      <w:kern w:val="0"/>
      <w:sz w:val="24"/>
    </w:rPr>
  </w:style>
  <w:style w:type="character" w:customStyle="1" w:styleId="567">
    <w:name w:val="标题1.1.1.1.1.1 Char"/>
    <w:qFormat/>
    <w:uiPriority w:val="0"/>
    <w:rPr>
      <w:rFonts w:ascii="Arial" w:hAnsi="Arial" w:eastAsia="黑体" w:cs="宋体"/>
      <w:b/>
      <w:color w:val="FF0000"/>
      <w:kern w:val="0"/>
      <w:szCs w:val="20"/>
    </w:rPr>
  </w:style>
  <w:style w:type="character" w:customStyle="1" w:styleId="568">
    <w:name w:val="标题 7表内5号 Char"/>
    <w:qFormat/>
    <w:uiPriority w:val="0"/>
    <w:rPr>
      <w:rFonts w:ascii="Times New Roman" w:hAnsi="Times New Roman" w:eastAsia="宋体" w:cs="宋体"/>
      <w:b/>
      <w:color w:val="FF0000"/>
      <w:kern w:val="0"/>
      <w:szCs w:val="20"/>
    </w:rPr>
  </w:style>
  <w:style w:type="character" w:customStyle="1" w:styleId="569">
    <w:name w:val="目标题 1) Char"/>
    <w:qFormat/>
    <w:uiPriority w:val="0"/>
    <w:rPr>
      <w:rFonts w:ascii="Arial" w:hAnsi="Arial" w:eastAsia="黑体" w:cs="宋体"/>
      <w:b/>
      <w:color w:val="FF0000"/>
      <w:kern w:val="0"/>
      <w:szCs w:val="20"/>
    </w:rPr>
  </w:style>
  <w:style w:type="character" w:customStyle="1" w:styleId="570">
    <w:name w:val="干标题(a) Char"/>
    <w:qFormat/>
    <w:uiPriority w:val="0"/>
    <w:rPr>
      <w:rFonts w:ascii="Arial" w:hAnsi="Arial" w:eastAsia="黑体" w:cs="宋体"/>
      <w:b/>
      <w:color w:val="FF0000"/>
      <w:kern w:val="0"/>
      <w:szCs w:val="20"/>
    </w:rPr>
  </w:style>
  <w:style w:type="character" w:customStyle="1" w:styleId="571">
    <w:name w:val="CN normal Char"/>
    <w:link w:val="572"/>
    <w:qFormat/>
    <w:uiPriority w:val="0"/>
    <w:rPr>
      <w:rFonts w:ascii="Arial" w:hAnsi="Arial"/>
      <w:lang w:val="en-GB"/>
    </w:rPr>
  </w:style>
  <w:style w:type="paragraph" w:customStyle="1" w:styleId="572">
    <w:name w:val="CN normal"/>
    <w:basedOn w:val="1"/>
    <w:link w:val="571"/>
    <w:qFormat/>
    <w:uiPriority w:val="0"/>
    <w:pPr>
      <w:widowControl/>
      <w:spacing w:line="280" w:lineRule="atLeast"/>
      <w:contextualSpacing/>
    </w:pPr>
    <w:rPr>
      <w:rFonts w:ascii="Arial" w:hAnsi="Arial"/>
      <w:kern w:val="0"/>
      <w:sz w:val="20"/>
      <w:szCs w:val="20"/>
      <w:lang w:val="en-GB"/>
    </w:rPr>
  </w:style>
  <w:style w:type="character" w:customStyle="1" w:styleId="573">
    <w:name w:val="li_正文 Char"/>
    <w:link w:val="574"/>
    <w:qFormat/>
    <w:uiPriority w:val="0"/>
    <w:rPr>
      <w:rFonts w:ascii="Calibri" w:hAnsi="Calibri"/>
      <w:kern w:val="2"/>
      <w:sz w:val="21"/>
      <w:szCs w:val="24"/>
    </w:rPr>
  </w:style>
  <w:style w:type="paragraph" w:customStyle="1" w:styleId="574">
    <w:name w:val="li_正文"/>
    <w:basedOn w:val="1"/>
    <w:link w:val="573"/>
    <w:qFormat/>
    <w:uiPriority w:val="0"/>
    <w:pPr>
      <w:ind w:firstLine="480" w:firstLineChars="200"/>
      <w:contextualSpacing/>
    </w:pPr>
    <w:rPr>
      <w:rFonts w:ascii="Calibri" w:hAnsi="Calibri"/>
    </w:rPr>
  </w:style>
  <w:style w:type="character" w:customStyle="1" w:styleId="575">
    <w:name w:val="表名 Char1"/>
    <w:link w:val="576"/>
    <w:semiHidden/>
    <w:qFormat/>
    <w:uiPriority w:val="0"/>
    <w:rPr>
      <w:rFonts w:ascii="Arial" w:hAnsi="Arial" w:eastAsia="楷体_GB2312" w:cs="宋体"/>
      <w:b/>
      <w:sz w:val="21"/>
    </w:rPr>
  </w:style>
  <w:style w:type="paragraph" w:customStyle="1" w:styleId="576">
    <w:name w:val="表名"/>
    <w:basedOn w:val="1"/>
    <w:next w:val="1"/>
    <w:link w:val="575"/>
    <w:semiHidden/>
    <w:qFormat/>
    <w:uiPriority w:val="0"/>
    <w:pPr>
      <w:widowControl/>
      <w:adjustRightInd w:val="0"/>
      <w:spacing w:before="120" w:afterLines="10" w:line="312" w:lineRule="auto"/>
      <w:contextualSpacing/>
      <w:jc w:val="center"/>
      <w:textAlignment w:val="baseline"/>
    </w:pPr>
    <w:rPr>
      <w:rFonts w:ascii="Arial" w:hAnsi="Arial" w:eastAsia="楷体_GB2312" w:cs="宋体"/>
      <w:b/>
      <w:kern w:val="0"/>
      <w:szCs w:val="20"/>
    </w:rPr>
  </w:style>
  <w:style w:type="character" w:customStyle="1" w:styleId="577">
    <w:name w:val="表名 1 Char"/>
    <w:link w:val="578"/>
    <w:qFormat/>
    <w:uiPriority w:val="0"/>
    <w:rPr>
      <w:rFonts w:ascii="Arial" w:hAnsi="Arial" w:eastAsia="楷体_GB2312" w:cs="宋体"/>
      <w:b/>
      <w:sz w:val="21"/>
    </w:rPr>
  </w:style>
  <w:style w:type="paragraph" w:customStyle="1" w:styleId="578">
    <w:name w:val="表名 1"/>
    <w:basedOn w:val="576"/>
    <w:link w:val="577"/>
    <w:qFormat/>
    <w:uiPriority w:val="0"/>
    <w:pPr>
      <w:spacing w:after="31"/>
    </w:pPr>
  </w:style>
  <w:style w:type="character" w:customStyle="1" w:styleId="579">
    <w:name w:val="hangju"/>
    <w:qFormat/>
    <w:uiPriority w:val="0"/>
    <w:rPr>
      <w:rFonts w:ascii="宋体" w:hAnsi="宋体" w:eastAsia="宋体" w:cs="宋体"/>
      <w:kern w:val="2"/>
      <w:sz w:val="24"/>
      <w:szCs w:val="24"/>
      <w:lang w:val="en-US" w:eastAsia="zh-CN" w:bidi="ar-SA"/>
    </w:rPr>
  </w:style>
  <w:style w:type="character" w:customStyle="1" w:styleId="580">
    <w:name w:val="可研报告正文 Char"/>
    <w:link w:val="581"/>
    <w:qFormat/>
    <w:uiPriority w:val="0"/>
    <w:rPr>
      <w:rFonts w:ascii="Calibri" w:hAnsi="Calibri" w:cs="宋体"/>
      <w:sz w:val="21"/>
      <w:szCs w:val="24"/>
    </w:rPr>
  </w:style>
  <w:style w:type="paragraph" w:customStyle="1" w:styleId="581">
    <w:name w:val="可研报告正文"/>
    <w:basedOn w:val="1"/>
    <w:link w:val="580"/>
    <w:qFormat/>
    <w:uiPriority w:val="0"/>
    <w:pPr>
      <w:widowControl/>
      <w:tabs>
        <w:tab w:val="left" w:pos="5880"/>
      </w:tabs>
      <w:spacing w:beforeLines="50" w:line="440" w:lineRule="exact"/>
      <w:ind w:left="425" w:firstLine="482"/>
      <w:contextualSpacing/>
      <w:jc w:val="left"/>
    </w:pPr>
    <w:rPr>
      <w:rFonts w:ascii="Calibri" w:hAnsi="Calibri" w:cs="宋体"/>
      <w:kern w:val="0"/>
    </w:rPr>
  </w:style>
  <w:style w:type="character" w:customStyle="1" w:styleId="582">
    <w:name w:val="csscontent0041"/>
    <w:qFormat/>
    <w:uiPriority w:val="0"/>
    <w:rPr>
      <w:rFonts w:hint="default" w:ascii="ˎ̥" w:hAnsi="ˎ̥"/>
      <w:color w:val="000000"/>
      <w:sz w:val="16"/>
      <w:szCs w:val="16"/>
      <w:u w:val="none"/>
    </w:rPr>
  </w:style>
  <w:style w:type="character" w:customStyle="1" w:styleId="583">
    <w:name w:val="段落文字 Char"/>
    <w:link w:val="584"/>
    <w:qFormat/>
    <w:uiPriority w:val="0"/>
    <w:rPr>
      <w:rFonts w:ascii="宋体" w:hAnsi="宋体"/>
      <w:sz w:val="24"/>
      <w:szCs w:val="24"/>
    </w:rPr>
  </w:style>
  <w:style w:type="paragraph" w:customStyle="1" w:styleId="584">
    <w:name w:val="段落文字"/>
    <w:basedOn w:val="1"/>
    <w:link w:val="583"/>
    <w:qFormat/>
    <w:uiPriority w:val="0"/>
    <w:pPr>
      <w:widowControl/>
      <w:adjustRightInd w:val="0"/>
      <w:snapToGrid w:val="0"/>
      <w:spacing w:line="480" w:lineRule="exact"/>
      <w:contextualSpacing/>
      <w:jc w:val="left"/>
    </w:pPr>
    <w:rPr>
      <w:rFonts w:ascii="宋体" w:hAnsi="宋体"/>
      <w:kern w:val="0"/>
      <w:sz w:val="24"/>
    </w:rPr>
  </w:style>
  <w:style w:type="character" w:customStyle="1" w:styleId="585">
    <w:name w:val="middle1"/>
    <w:qFormat/>
    <w:uiPriority w:val="0"/>
    <w:rPr>
      <w:rFonts w:hint="eastAsia" w:ascii="宋体" w:hAnsi="宋体" w:eastAsia="宋体"/>
      <w:sz w:val="24"/>
      <w:szCs w:val="24"/>
    </w:rPr>
  </w:style>
  <w:style w:type="character" w:customStyle="1" w:styleId="586">
    <w:name w:val="样式 表内样式 + (符号) 宋体 Char1"/>
    <w:link w:val="587"/>
    <w:qFormat/>
    <w:uiPriority w:val="0"/>
    <w:rPr>
      <w:rFonts w:ascii="Calibri" w:hAnsi="Calibri" w:cs="宋体"/>
      <w:sz w:val="21"/>
      <w:szCs w:val="21"/>
    </w:rPr>
  </w:style>
  <w:style w:type="paragraph" w:customStyle="1" w:styleId="587">
    <w:name w:val="样式 表内样式 + (符号) 宋体"/>
    <w:basedOn w:val="1"/>
    <w:link w:val="586"/>
    <w:qFormat/>
    <w:uiPriority w:val="0"/>
    <w:pPr>
      <w:keepLines/>
      <w:widowControl/>
      <w:kinsoku w:val="0"/>
      <w:overflowPunct w:val="0"/>
      <w:adjustRightInd w:val="0"/>
      <w:spacing w:line="320" w:lineRule="exact"/>
      <w:contextualSpacing/>
      <w:jc w:val="center"/>
    </w:pPr>
    <w:rPr>
      <w:rFonts w:ascii="Calibri" w:hAnsi="Calibri" w:cs="宋体"/>
      <w:kern w:val="0"/>
    </w:rPr>
  </w:style>
  <w:style w:type="character" w:customStyle="1" w:styleId="588">
    <w:name w:val="Char Char111"/>
    <w:qFormat/>
    <w:uiPriority w:val="0"/>
    <w:rPr>
      <w:rFonts w:ascii="Arial" w:hAnsi="Arial" w:eastAsia="黑体"/>
      <w:b/>
      <w:sz w:val="28"/>
    </w:rPr>
  </w:style>
  <w:style w:type="character" w:customStyle="1" w:styleId="589">
    <w:name w:val="Char Char2"/>
    <w:qFormat/>
    <w:uiPriority w:val="0"/>
    <w:rPr>
      <w:rFonts w:ascii="宋体" w:hAnsi="Courier New" w:eastAsia="宋体"/>
      <w:kern w:val="2"/>
      <w:sz w:val="21"/>
      <w:lang w:val="en-US" w:eastAsia="zh-CN" w:bidi="ar-SA"/>
    </w:rPr>
  </w:style>
  <w:style w:type="character" w:customStyle="1" w:styleId="590">
    <w:name w:val="正文首行缩进2字符! Char"/>
    <w:link w:val="591"/>
    <w:qFormat/>
    <w:uiPriority w:val="0"/>
    <w:rPr>
      <w:rFonts w:ascii="Calibri" w:hAnsi="Calibri"/>
      <w:kern w:val="2"/>
      <w:sz w:val="28"/>
    </w:rPr>
  </w:style>
  <w:style w:type="paragraph" w:customStyle="1" w:styleId="591">
    <w:name w:val="正文首行缩进2字符!"/>
    <w:basedOn w:val="1"/>
    <w:link w:val="590"/>
    <w:qFormat/>
    <w:uiPriority w:val="0"/>
    <w:pPr>
      <w:adjustRightInd w:val="0"/>
      <w:snapToGrid w:val="0"/>
      <w:ind w:firstLine="560" w:firstLineChars="200"/>
      <w:contextualSpacing/>
      <w:jc w:val="left"/>
    </w:pPr>
    <w:rPr>
      <w:rFonts w:ascii="Calibri" w:hAnsi="Calibri"/>
      <w:sz w:val="28"/>
      <w:szCs w:val="20"/>
    </w:rPr>
  </w:style>
  <w:style w:type="character" w:customStyle="1" w:styleId="592">
    <w:name w:val="标题5 Char"/>
    <w:link w:val="593"/>
    <w:qFormat/>
    <w:uiPriority w:val="0"/>
    <w:rPr>
      <w:rFonts w:ascii="Calibri" w:hAnsi="Calibri"/>
      <w:kern w:val="2"/>
      <w:sz w:val="28"/>
      <w:szCs w:val="21"/>
    </w:rPr>
  </w:style>
  <w:style w:type="paragraph" w:customStyle="1" w:styleId="593">
    <w:name w:val="标题5"/>
    <w:basedOn w:val="1"/>
    <w:next w:val="84"/>
    <w:link w:val="592"/>
    <w:qFormat/>
    <w:uiPriority w:val="0"/>
    <w:pPr>
      <w:numPr>
        <w:ilvl w:val="4"/>
        <w:numId w:val="5"/>
      </w:numPr>
      <w:snapToGrid w:val="0"/>
      <w:contextualSpacing/>
      <w:outlineLvl w:val="4"/>
    </w:pPr>
    <w:rPr>
      <w:rFonts w:ascii="Calibri" w:hAnsi="Calibri"/>
      <w:sz w:val="28"/>
    </w:rPr>
  </w:style>
  <w:style w:type="character" w:customStyle="1" w:styleId="594">
    <w:name w:val="样式 题注 + 首行缩进:  2 字符2 Char"/>
    <w:link w:val="595"/>
    <w:qFormat/>
    <w:uiPriority w:val="0"/>
    <w:rPr>
      <w:rFonts w:ascii="黑体" w:hAnsi="宋体" w:eastAsia="黑体"/>
      <w:kern w:val="2"/>
      <w:sz w:val="24"/>
      <w:szCs w:val="24"/>
    </w:rPr>
  </w:style>
  <w:style w:type="paragraph" w:customStyle="1" w:styleId="595">
    <w:name w:val="样式 题注 + 首行缩进:  2 字符2"/>
    <w:basedOn w:val="25"/>
    <w:link w:val="594"/>
    <w:qFormat/>
    <w:uiPriority w:val="0"/>
    <w:pPr>
      <w:snapToGrid/>
      <w:spacing w:line="240" w:lineRule="auto"/>
      <w:contextualSpacing/>
      <w:jc w:val="center"/>
    </w:pPr>
    <w:rPr>
      <w:rFonts w:ascii="黑体" w:hAnsi="宋体" w:cs="Times New Roman"/>
      <w:sz w:val="24"/>
      <w:szCs w:val="24"/>
    </w:rPr>
  </w:style>
  <w:style w:type="character" w:customStyle="1" w:styleId="596">
    <w:name w:val="题注 + 居中! Char"/>
    <w:link w:val="597"/>
    <w:qFormat/>
    <w:uiPriority w:val="0"/>
    <w:rPr>
      <w:rFonts w:ascii="黑体" w:hAnsi="Arial" w:eastAsia="黑体"/>
      <w:kern w:val="2"/>
      <w:sz w:val="24"/>
      <w:szCs w:val="24"/>
    </w:rPr>
  </w:style>
  <w:style w:type="paragraph" w:customStyle="1" w:styleId="597">
    <w:name w:val="题注 + 居中!"/>
    <w:basedOn w:val="25"/>
    <w:link w:val="596"/>
    <w:qFormat/>
    <w:uiPriority w:val="0"/>
    <w:pPr>
      <w:adjustRightInd w:val="0"/>
      <w:spacing w:line="240" w:lineRule="auto"/>
      <w:ind w:firstLine="480" w:firstLineChars="200"/>
      <w:contextualSpacing/>
      <w:jc w:val="center"/>
    </w:pPr>
    <w:rPr>
      <w:rFonts w:ascii="黑体" w:cs="Times New Roman"/>
      <w:sz w:val="24"/>
      <w:szCs w:val="24"/>
    </w:rPr>
  </w:style>
  <w:style w:type="character" w:customStyle="1" w:styleId="598">
    <w:name w:val="texd1"/>
    <w:qFormat/>
    <w:uiPriority w:val="0"/>
    <w:rPr>
      <w:rFonts w:hint="default"/>
      <w:color w:val="000000"/>
      <w:spacing w:val="480"/>
      <w:w w:val="0"/>
      <w:sz w:val="20"/>
      <w:szCs w:val="20"/>
    </w:rPr>
  </w:style>
  <w:style w:type="character" w:customStyle="1" w:styleId="599">
    <w:name w:val="正文（首行缩进两字） Char1 Char Char"/>
    <w:qFormat/>
    <w:uiPriority w:val="0"/>
    <w:rPr>
      <w:rFonts w:ascii="Times New Roman" w:hAnsi="Times New Roman" w:eastAsia="宋体" w:cs="Times New Roman"/>
      <w:bCs/>
      <w:snapToGrid/>
      <w:kern w:val="0"/>
      <w:szCs w:val="24"/>
      <w:lang w:val="zh-CN"/>
    </w:rPr>
  </w:style>
  <w:style w:type="character" w:customStyle="1" w:styleId="600">
    <w:name w:val="yyp Char"/>
    <w:link w:val="601"/>
    <w:qFormat/>
    <w:uiPriority w:val="0"/>
    <w:rPr>
      <w:rFonts w:ascii="Calibri" w:hAnsi="Calibri"/>
      <w:kern w:val="2"/>
      <w:sz w:val="24"/>
      <w:szCs w:val="24"/>
    </w:rPr>
  </w:style>
  <w:style w:type="paragraph" w:customStyle="1" w:styleId="601">
    <w:name w:val="yyp"/>
    <w:basedOn w:val="84"/>
    <w:link w:val="600"/>
    <w:qFormat/>
    <w:uiPriority w:val="0"/>
    <w:pPr>
      <w:spacing w:line="360" w:lineRule="auto"/>
      <w:ind w:firstLine="480" w:firstLineChars="200"/>
    </w:pPr>
    <w:rPr>
      <w:rFonts w:ascii="Calibri" w:hAnsi="Calibri"/>
      <w:sz w:val="24"/>
    </w:rPr>
  </w:style>
  <w:style w:type="character" w:customStyle="1" w:styleId="602">
    <w:name w:val="正文小四首缩1.3行距 Char"/>
    <w:link w:val="603"/>
    <w:qFormat/>
    <w:uiPriority w:val="0"/>
    <w:rPr>
      <w:rFonts w:ascii="Calibri" w:hAnsi="Calibri"/>
      <w:kern w:val="2"/>
      <w:sz w:val="24"/>
      <w:szCs w:val="24"/>
    </w:rPr>
  </w:style>
  <w:style w:type="paragraph" w:customStyle="1" w:styleId="603">
    <w:name w:val="正文小四首缩1.3行距"/>
    <w:basedOn w:val="1"/>
    <w:link w:val="602"/>
    <w:qFormat/>
    <w:uiPriority w:val="0"/>
    <w:pPr>
      <w:spacing w:line="312" w:lineRule="auto"/>
      <w:ind w:firstLine="420" w:firstLineChars="200"/>
    </w:pPr>
    <w:rPr>
      <w:rFonts w:ascii="Calibri" w:hAnsi="Calibri"/>
      <w:sz w:val="24"/>
    </w:rPr>
  </w:style>
  <w:style w:type="character" w:customStyle="1" w:styleId="604">
    <w:name w:val="表、图标题 Char Char"/>
    <w:link w:val="605"/>
    <w:qFormat/>
    <w:uiPriority w:val="0"/>
    <w:rPr>
      <w:rFonts w:ascii="宋体" w:hAnsi="宋体"/>
      <w:b/>
      <w:bCs/>
      <w:snapToGrid/>
      <w:sz w:val="24"/>
      <w:szCs w:val="21"/>
    </w:rPr>
  </w:style>
  <w:style w:type="paragraph" w:customStyle="1" w:styleId="605">
    <w:name w:val="表、图标题"/>
    <w:basedOn w:val="1"/>
    <w:link w:val="604"/>
    <w:qFormat/>
    <w:uiPriority w:val="0"/>
    <w:pPr>
      <w:adjustRightInd w:val="0"/>
      <w:snapToGrid w:val="0"/>
      <w:spacing w:line="480" w:lineRule="exact"/>
      <w:jc w:val="center"/>
    </w:pPr>
    <w:rPr>
      <w:rFonts w:ascii="宋体" w:hAnsi="宋体"/>
      <w:b/>
      <w:bCs/>
      <w:snapToGrid w:val="0"/>
      <w:kern w:val="0"/>
      <w:sz w:val="24"/>
    </w:rPr>
  </w:style>
  <w:style w:type="character" w:customStyle="1" w:styleId="606">
    <w:name w:val="Footer1 Char1"/>
    <w:qFormat/>
    <w:uiPriority w:val="0"/>
    <w:rPr>
      <w:sz w:val="18"/>
      <w:szCs w:val="18"/>
    </w:rPr>
  </w:style>
  <w:style w:type="character" w:customStyle="1" w:styleId="607">
    <w:name w:val="font21"/>
    <w:basedOn w:val="91"/>
    <w:qFormat/>
    <w:uiPriority w:val="0"/>
    <w:rPr>
      <w:rFonts w:hint="default" w:ascii="Times New Roman" w:hAnsi="Times New Roman" w:cs="Times New Roman"/>
      <w:color w:val="000000"/>
      <w:sz w:val="21"/>
      <w:szCs w:val="21"/>
      <w:u w:val="none"/>
    </w:rPr>
  </w:style>
  <w:style w:type="character" w:customStyle="1" w:styleId="608">
    <w:name w:val="节标题 1.1 Char3"/>
    <w:qFormat/>
    <w:uiPriority w:val="0"/>
    <w:rPr>
      <w:rFonts w:ascii="Times New Roman" w:hAnsi="Times New Roman" w:eastAsia="宋体" w:cs="Times New Roman"/>
      <w:b/>
      <w:bCs/>
      <w:sz w:val="28"/>
      <w:szCs w:val="32"/>
    </w:rPr>
  </w:style>
  <w:style w:type="character" w:customStyle="1" w:styleId="609">
    <w:name w:val="111正文 Char"/>
    <w:link w:val="610"/>
    <w:qFormat/>
    <w:uiPriority w:val="0"/>
    <w:rPr>
      <w:rFonts w:ascii="Calibri" w:hAnsi="Calibri"/>
      <w:kern w:val="2"/>
      <w:sz w:val="24"/>
      <w:szCs w:val="22"/>
    </w:rPr>
  </w:style>
  <w:style w:type="paragraph" w:customStyle="1" w:styleId="610">
    <w:name w:val="111正文"/>
    <w:basedOn w:val="1"/>
    <w:link w:val="609"/>
    <w:qFormat/>
    <w:uiPriority w:val="0"/>
    <w:pPr>
      <w:tabs>
        <w:tab w:val="left" w:pos="600"/>
      </w:tabs>
      <w:spacing w:line="360" w:lineRule="auto"/>
      <w:ind w:firstLine="200" w:firstLineChars="200"/>
    </w:pPr>
    <w:rPr>
      <w:rFonts w:ascii="Calibri" w:hAnsi="Calibri"/>
      <w:sz w:val="24"/>
      <w:szCs w:val="22"/>
    </w:rPr>
  </w:style>
  <w:style w:type="character" w:customStyle="1" w:styleId="611">
    <w:name w:val="表格文字 Char1"/>
    <w:qFormat/>
    <w:uiPriority w:val="0"/>
    <w:rPr>
      <w:rFonts w:ascii="宋体" w:hAnsi="宋体" w:eastAsia="宋体" w:cs="宋体"/>
      <w:kern w:val="2"/>
      <w:sz w:val="21"/>
      <w:szCs w:val="24"/>
      <w:lang w:val="en-US" w:eastAsia="zh-CN" w:bidi="ar-SA"/>
    </w:rPr>
  </w:style>
  <w:style w:type="character" w:customStyle="1" w:styleId="612">
    <w:name w:val="fontstyle21"/>
    <w:qFormat/>
    <w:uiPriority w:val="0"/>
    <w:rPr>
      <w:rFonts w:hint="eastAsia" w:ascii="黑体" w:hAnsi="黑体" w:eastAsia="黑体"/>
      <w:color w:val="000000"/>
      <w:sz w:val="32"/>
      <w:szCs w:val="32"/>
    </w:rPr>
  </w:style>
  <w:style w:type="character" w:customStyle="1" w:styleId="613">
    <w:name w:val="fontstyle31"/>
    <w:qFormat/>
    <w:uiPriority w:val="0"/>
    <w:rPr>
      <w:rFonts w:hint="eastAsia" w:ascii="宋体" w:hAnsi="宋体" w:eastAsia="宋体"/>
      <w:color w:val="000000"/>
      <w:sz w:val="24"/>
      <w:szCs w:val="24"/>
    </w:rPr>
  </w:style>
  <w:style w:type="character" w:customStyle="1" w:styleId="614">
    <w:name w:val="表格标题 Char Char"/>
    <w:qFormat/>
    <w:uiPriority w:val="0"/>
    <w:rPr>
      <w:rFonts w:eastAsia="黑体"/>
      <w:kern w:val="2"/>
      <w:sz w:val="21"/>
      <w:szCs w:val="24"/>
    </w:rPr>
  </w:style>
  <w:style w:type="character" w:customStyle="1" w:styleId="615">
    <w:name w:val="fontstyle11"/>
    <w:qFormat/>
    <w:uiPriority w:val="0"/>
    <w:rPr>
      <w:rFonts w:hint="default" w:ascii="TimesNewRomanPS-ItalicMT" w:hAnsi="TimesNewRomanPS-ItalicMT"/>
      <w:i/>
      <w:iCs/>
      <w:color w:val="000000"/>
      <w:sz w:val="24"/>
      <w:szCs w:val="24"/>
    </w:rPr>
  </w:style>
  <w:style w:type="character" w:customStyle="1" w:styleId="616">
    <w:name w:val="未处理的提及1"/>
    <w:unhideWhenUsed/>
    <w:qFormat/>
    <w:uiPriority w:val="99"/>
    <w:rPr>
      <w:color w:val="808080"/>
      <w:shd w:val="clear" w:color="auto" w:fill="E6E6E6"/>
    </w:rPr>
  </w:style>
  <w:style w:type="character" w:customStyle="1" w:styleId="617">
    <w:name w:val="标题 5 Char"/>
    <w:semiHidden/>
    <w:qFormat/>
    <w:uiPriority w:val="0"/>
    <w:rPr>
      <w:b/>
      <w:bCs/>
      <w:sz w:val="28"/>
      <w:szCs w:val="28"/>
    </w:rPr>
  </w:style>
  <w:style w:type="character" w:customStyle="1" w:styleId="618">
    <w:name w:val="纯文本 Char"/>
    <w:semiHidden/>
    <w:qFormat/>
    <w:uiPriority w:val="99"/>
    <w:rPr>
      <w:rFonts w:ascii="宋体" w:hAnsi="Courier New" w:eastAsia="宋体" w:cs="Courier New"/>
      <w:szCs w:val="21"/>
    </w:rPr>
  </w:style>
  <w:style w:type="character" w:customStyle="1" w:styleId="619">
    <w:name w:val="表头 Char"/>
    <w:semiHidden/>
    <w:qFormat/>
    <w:uiPriority w:val="0"/>
    <w:rPr>
      <w:rFonts w:ascii="Times New Roman" w:hAnsi="Times New Roman" w:eastAsia="宋体" w:cs="宋体"/>
      <w:b/>
      <w:bCs/>
      <w:kern w:val="0"/>
      <w:sz w:val="21"/>
      <w:szCs w:val="21"/>
    </w:rPr>
  </w:style>
  <w:style w:type="character" w:customStyle="1" w:styleId="620">
    <w:name w:val="样式 Arial"/>
    <w:semiHidden/>
    <w:qFormat/>
    <w:uiPriority w:val="0"/>
    <w:rPr>
      <w:rFonts w:ascii="Arial" w:hAnsi="Arial" w:eastAsia="宋体" w:cs="宋体"/>
      <w:kern w:val="2"/>
      <w:sz w:val="24"/>
      <w:szCs w:val="24"/>
      <w:lang w:val="en-US" w:eastAsia="zh-CN" w:bidi="ar-SA"/>
    </w:rPr>
  </w:style>
  <w:style w:type="character" w:customStyle="1" w:styleId="621">
    <w:name w:val="enas"/>
    <w:semiHidden/>
    <w:qFormat/>
    <w:uiPriority w:val="0"/>
    <w:rPr>
      <w:rFonts w:ascii="Arial" w:hAnsi="Arial" w:eastAsia="宋体" w:cs="Arial"/>
      <w:color w:val="auto"/>
      <w:kern w:val="2"/>
      <w:sz w:val="20"/>
      <w:szCs w:val="20"/>
      <w:lang w:val="en-US" w:eastAsia="zh-CN" w:bidi="ar-SA"/>
    </w:rPr>
  </w:style>
  <w:style w:type="character" w:customStyle="1" w:styleId="622">
    <w:name w:val="Char Char10"/>
    <w:semiHidden/>
    <w:qFormat/>
    <w:uiPriority w:val="0"/>
    <w:rPr>
      <w:rFonts w:ascii="宋体" w:hAnsi="宋体" w:eastAsia="宋体" w:cs="宋体"/>
      <w:color w:val="FF0000"/>
      <w:kern w:val="2"/>
      <w:sz w:val="24"/>
      <w:szCs w:val="24"/>
      <w:lang w:val="en-US" w:eastAsia="zh-CN" w:bidi="ar-SA"/>
    </w:rPr>
  </w:style>
  <w:style w:type="character" w:customStyle="1" w:styleId="623">
    <w:name w:val="Char Char7"/>
    <w:semiHidden/>
    <w:qFormat/>
    <w:uiPriority w:val="0"/>
    <w:rPr>
      <w:rFonts w:ascii="宋体" w:hAnsi="宋体" w:eastAsia="宋体" w:cs="宋体"/>
      <w:kern w:val="2"/>
      <w:sz w:val="18"/>
      <w:szCs w:val="18"/>
      <w:lang w:val="en-US" w:eastAsia="zh-CN" w:bidi="ar-SA"/>
    </w:rPr>
  </w:style>
  <w:style w:type="character" w:customStyle="1" w:styleId="624">
    <w:name w:val="HTML 地址 Char1"/>
    <w:semiHidden/>
    <w:qFormat/>
    <w:uiPriority w:val="99"/>
    <w:rPr>
      <w:i/>
      <w:iCs/>
    </w:rPr>
  </w:style>
  <w:style w:type="character" w:customStyle="1" w:styleId="625">
    <w:name w:val="信息标题 Char1"/>
    <w:semiHidden/>
    <w:qFormat/>
    <w:uiPriority w:val="99"/>
    <w:rPr>
      <w:rFonts w:ascii="Calibri Light" w:hAnsi="Calibri Light" w:eastAsia="宋体" w:cs="Times New Roman"/>
      <w:sz w:val="24"/>
      <w:szCs w:val="24"/>
      <w:shd w:val="pct20" w:color="auto" w:fill="auto"/>
    </w:rPr>
  </w:style>
  <w:style w:type="character" w:customStyle="1" w:styleId="626">
    <w:name w:val="z-窗体顶端 Char1"/>
    <w:semiHidden/>
    <w:qFormat/>
    <w:uiPriority w:val="99"/>
    <w:rPr>
      <w:rFonts w:ascii="Arial" w:hAnsi="Arial" w:cs="Arial"/>
      <w:vanish/>
      <w:sz w:val="16"/>
      <w:szCs w:val="16"/>
    </w:rPr>
  </w:style>
  <w:style w:type="character" w:customStyle="1" w:styleId="627">
    <w:name w:val="访问过的超链接1"/>
    <w:unhideWhenUsed/>
    <w:qFormat/>
    <w:uiPriority w:val="99"/>
    <w:rPr>
      <w:rFonts w:ascii="宋体" w:hAnsi="宋体" w:eastAsia="宋体" w:cs="宋体"/>
      <w:color w:val="954F72"/>
      <w:kern w:val="2"/>
      <w:sz w:val="24"/>
      <w:szCs w:val="24"/>
      <w:u w:val="single"/>
      <w:lang w:val="en-US" w:eastAsia="zh-CN" w:bidi="ar-SA"/>
    </w:rPr>
  </w:style>
  <w:style w:type="character" w:customStyle="1" w:styleId="628">
    <w:name w:val="ref"/>
    <w:qFormat/>
    <w:uiPriority w:val="0"/>
  </w:style>
  <w:style w:type="paragraph" w:customStyle="1" w:styleId="629">
    <w:name w:val="fcolor"/>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630">
    <w:name w:val="默认段落字体 Para Char Char Char Char Char Char Char Char Char Char"/>
    <w:basedOn w:val="9"/>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31">
    <w:name w:val="东明_章"/>
    <w:basedOn w:val="7"/>
    <w:qFormat/>
    <w:uiPriority w:val="0"/>
    <w:pPr>
      <w:keepLines/>
      <w:pBdr>
        <w:top w:val="single" w:color="808080" w:sz="24" w:space="1"/>
        <w:left w:val="single" w:color="808080" w:sz="24" w:space="4"/>
        <w:bottom w:val="single" w:color="808080" w:sz="24" w:space="1"/>
        <w:right w:val="single" w:color="808080" w:sz="24" w:space="4"/>
      </w:pBdr>
      <w:shd w:val="clear" w:color="auto" w:fill="D9D9D9"/>
      <w:tabs>
        <w:tab w:val="left" w:pos="0"/>
        <w:tab w:val="left" w:pos="1400"/>
        <w:tab w:val="left" w:pos="8280"/>
      </w:tabs>
      <w:overflowPunct/>
      <w:snapToGrid/>
      <w:spacing w:before="600" w:after="0" w:line="578" w:lineRule="auto"/>
      <w:ind w:left="1400" w:hanging="840"/>
      <w:jc w:val="center"/>
    </w:pPr>
    <w:rPr>
      <w:rFonts w:ascii="Arial" w:hAnsi="Arial" w:eastAsia="宋体-方正超大字符集"/>
      <w:color w:val="auto"/>
      <w:sz w:val="36"/>
      <w:szCs w:val="20"/>
    </w:rPr>
  </w:style>
  <w:style w:type="paragraph" w:customStyle="1" w:styleId="632">
    <w:name w:val="样式 标题 4 + 宋体 行距: 1.5 倍行距"/>
    <w:basedOn w:val="10"/>
    <w:qFormat/>
    <w:uiPriority w:val="0"/>
    <w:pPr>
      <w:snapToGrid w:val="0"/>
      <w:spacing w:before="0" w:beforeLines="50" w:after="0" w:line="360" w:lineRule="auto"/>
      <w:ind w:left="1985" w:hanging="1985"/>
      <w:jc w:val="left"/>
    </w:pPr>
    <w:rPr>
      <w:rFonts w:ascii="宋体" w:hAnsi="宋体" w:cs="宋体"/>
      <w:sz w:val="24"/>
      <w:szCs w:val="20"/>
    </w:rPr>
  </w:style>
  <w:style w:type="paragraph" w:customStyle="1" w:styleId="633">
    <w:name w:val="xl1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634">
    <w:name w:val="其他发布日期"/>
    <w:basedOn w:val="1"/>
    <w:qFormat/>
    <w:uiPriority w:val="0"/>
    <w:pPr>
      <w:widowControl/>
      <w:numPr>
        <w:ilvl w:val="0"/>
        <w:numId w:val="6"/>
      </w:numPr>
      <w:jc w:val="left"/>
    </w:pPr>
    <w:rPr>
      <w:rFonts w:eastAsia="黑体"/>
      <w:kern w:val="0"/>
      <w:sz w:val="28"/>
      <w:szCs w:val="20"/>
    </w:rPr>
  </w:style>
  <w:style w:type="paragraph" w:customStyle="1" w:styleId="635">
    <w:name w:val="1表格"/>
    <w:basedOn w:val="1"/>
    <w:qFormat/>
    <w:uiPriority w:val="0"/>
    <w:pPr>
      <w:adjustRightInd w:val="0"/>
      <w:snapToGrid w:val="0"/>
      <w:jc w:val="center"/>
      <w:textAlignment w:val="baseline"/>
    </w:pPr>
    <w:rPr>
      <w:rFonts w:ascii="宋体" w:hAnsi="宋体" w:cs="宋体"/>
      <w:spacing w:val="4"/>
      <w:sz w:val="24"/>
    </w:rPr>
  </w:style>
  <w:style w:type="paragraph" w:customStyle="1" w:styleId="636">
    <w:name w:val="xl160"/>
    <w:basedOn w:val="1"/>
    <w:qFormat/>
    <w:uiPriority w:val="0"/>
    <w:pPr>
      <w:widowControl/>
      <w:spacing w:before="100" w:beforeAutospacing="1" w:after="100" w:afterAutospacing="1"/>
      <w:jc w:val="center"/>
      <w:textAlignment w:val="center"/>
    </w:pPr>
    <w:rPr>
      <w:rFonts w:ascii="Arial Unicode MS" w:hAnsi="Arial Unicode MS"/>
      <w:kern w:val="0"/>
    </w:rPr>
  </w:style>
  <w:style w:type="paragraph" w:customStyle="1" w:styleId="637">
    <w:name w:val="正文标题"/>
    <w:basedOn w:val="1"/>
    <w:qFormat/>
    <w:uiPriority w:val="0"/>
    <w:pPr>
      <w:spacing w:line="480" w:lineRule="auto"/>
      <w:ind w:firstLine="472" w:firstLineChars="196"/>
    </w:pPr>
    <w:rPr>
      <w:b/>
      <w:sz w:val="24"/>
    </w:rPr>
  </w:style>
  <w:style w:type="paragraph" w:customStyle="1" w:styleId="638">
    <w:name w:val="四级条标题"/>
    <w:basedOn w:val="639"/>
    <w:next w:val="1"/>
    <w:qFormat/>
    <w:uiPriority w:val="0"/>
    <w:pPr>
      <w:tabs>
        <w:tab w:val="left" w:pos="360"/>
        <w:tab w:val="left" w:pos="903"/>
      </w:tabs>
      <w:outlineLvl w:val="5"/>
    </w:pPr>
  </w:style>
  <w:style w:type="paragraph" w:customStyle="1" w:styleId="639">
    <w:name w:val="三级条标题"/>
    <w:basedOn w:val="640"/>
    <w:next w:val="1"/>
    <w:qFormat/>
    <w:uiPriority w:val="0"/>
    <w:pPr>
      <w:tabs>
        <w:tab w:val="left" w:pos="360"/>
        <w:tab w:val="left" w:pos="903"/>
      </w:tabs>
      <w:outlineLvl w:val="4"/>
    </w:pPr>
  </w:style>
  <w:style w:type="paragraph" w:customStyle="1" w:styleId="640">
    <w:name w:val="二级条标题"/>
    <w:basedOn w:val="641"/>
    <w:next w:val="1"/>
    <w:qFormat/>
    <w:uiPriority w:val="0"/>
    <w:pPr>
      <w:tabs>
        <w:tab w:val="left" w:pos="360"/>
        <w:tab w:val="left" w:pos="903"/>
      </w:tabs>
      <w:outlineLvl w:val="3"/>
    </w:pPr>
  </w:style>
  <w:style w:type="paragraph" w:customStyle="1" w:styleId="641">
    <w:name w:val="一级条标题"/>
    <w:basedOn w:val="642"/>
    <w:next w:val="1"/>
    <w:qFormat/>
    <w:uiPriority w:val="0"/>
    <w:pPr>
      <w:tabs>
        <w:tab w:val="left" w:pos="360"/>
        <w:tab w:val="left" w:pos="903"/>
      </w:tabs>
      <w:spacing w:before="0" w:after="0"/>
      <w:ind w:left="0" w:firstLine="0"/>
      <w:outlineLvl w:val="2"/>
    </w:pPr>
  </w:style>
  <w:style w:type="paragraph" w:customStyle="1" w:styleId="642">
    <w:name w:val="章标题"/>
    <w:next w:val="1"/>
    <w:qFormat/>
    <w:uiPriority w:val="0"/>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643">
    <w:name w:val="7"/>
    <w:basedOn w:val="1"/>
    <w:next w:val="12"/>
    <w:qFormat/>
    <w:uiPriority w:val="0"/>
    <w:pPr>
      <w:adjustRightInd w:val="0"/>
      <w:snapToGrid w:val="0"/>
      <w:spacing w:line="312" w:lineRule="auto"/>
      <w:ind w:firstLine="200" w:firstLineChars="200"/>
    </w:pPr>
    <w:rPr>
      <w:rFonts w:ascii="仿宋_GB2312" w:eastAsia="仿宋_GB2312"/>
      <w:sz w:val="28"/>
    </w:rPr>
  </w:style>
  <w:style w:type="paragraph" w:customStyle="1" w:styleId="644">
    <w:name w:val="样式 标题 3东明_小节H3条标题1.1.1二级节名h33rd level3l3CTHeading 3 - ..."/>
    <w:basedOn w:val="9"/>
    <w:qFormat/>
    <w:uiPriority w:val="0"/>
    <w:pPr>
      <w:spacing w:before="0" w:after="0" w:line="360" w:lineRule="auto"/>
    </w:pPr>
    <w:rPr>
      <w:rFonts w:eastAsia="黑体" w:cs="宋体"/>
      <w:sz w:val="24"/>
      <w:szCs w:val="20"/>
      <w:lang w:val="zh-CN"/>
    </w:rPr>
  </w:style>
  <w:style w:type="paragraph" w:customStyle="1" w:styleId="645">
    <w:name w:val="扉页 黑体-"/>
    <w:basedOn w:val="1"/>
    <w:qFormat/>
    <w:uiPriority w:val="0"/>
    <w:pPr>
      <w:spacing w:before="240" w:after="240" w:line="480" w:lineRule="exact"/>
      <w:ind w:firstLine="600" w:firstLineChars="200"/>
      <w:jc w:val="left"/>
    </w:pPr>
    <w:rPr>
      <w:rFonts w:eastAsia="黑体"/>
      <w:sz w:val="30"/>
      <w:szCs w:val="20"/>
    </w:rPr>
  </w:style>
  <w:style w:type="paragraph" w:customStyle="1" w:styleId="646">
    <w:name w:val="xl117"/>
    <w:basedOn w:val="1"/>
    <w:qFormat/>
    <w:uiPriority w:val="0"/>
    <w:pPr>
      <w:widowControl/>
      <w:pBdr>
        <w:left w:val="single" w:color="auto" w:sz="8" w:space="0"/>
      </w:pBdr>
      <w:spacing w:before="100" w:beforeAutospacing="1" w:after="100" w:afterAutospacing="1"/>
      <w:jc w:val="left"/>
    </w:pPr>
    <w:rPr>
      <w:rFonts w:ascii="Arial Unicode MS" w:hAnsi="Arial Unicode MS"/>
      <w:kern w:val="0"/>
    </w:rPr>
  </w:style>
  <w:style w:type="paragraph" w:customStyle="1" w:styleId="647">
    <w:name w:val="样式 题注 + 首行缩进:  2 字符"/>
    <w:basedOn w:val="25"/>
    <w:qFormat/>
    <w:uiPriority w:val="0"/>
    <w:pPr>
      <w:snapToGrid/>
      <w:spacing w:before="152" w:after="160" w:line="360" w:lineRule="auto"/>
      <w:ind w:firstLine="400" w:firstLineChars="200"/>
      <w:jc w:val="both"/>
    </w:pPr>
    <w:rPr>
      <w:rFonts w:cs="宋体"/>
      <w:sz w:val="21"/>
    </w:rPr>
  </w:style>
  <w:style w:type="paragraph" w:customStyle="1" w:styleId="648">
    <w:name w:val="样式 标题 4 + 左侧:  0 厘米 首行缩进:  0 厘米"/>
    <w:basedOn w:val="10"/>
    <w:qFormat/>
    <w:uiPriority w:val="0"/>
    <w:pPr>
      <w:spacing w:before="0" w:after="0" w:line="360" w:lineRule="auto"/>
    </w:pPr>
    <w:rPr>
      <w:rFonts w:ascii="黑体" w:hAnsi="宋体" w:eastAsia="黑体" w:cs="宋体"/>
      <w:b w:val="0"/>
      <w:sz w:val="24"/>
      <w:szCs w:val="20"/>
    </w:rPr>
  </w:style>
  <w:style w:type="paragraph" w:customStyle="1" w:styleId="649">
    <w:name w:val="xl73"/>
    <w:basedOn w:val="1"/>
    <w:qFormat/>
    <w:uiPriority w:val="0"/>
    <w:pPr>
      <w:widowControl/>
      <w:spacing w:before="100" w:beforeAutospacing="1" w:after="100" w:afterAutospacing="1"/>
      <w:jc w:val="center"/>
      <w:textAlignment w:val="bottom"/>
    </w:pPr>
    <w:rPr>
      <w:rFonts w:ascii="宋体" w:hAnsi="宋体"/>
      <w:b/>
      <w:bCs/>
      <w:kern w:val="0"/>
      <w:sz w:val="22"/>
      <w:szCs w:val="22"/>
    </w:rPr>
  </w:style>
  <w:style w:type="paragraph" w:customStyle="1" w:styleId="650">
    <w:name w:val="标题小四"/>
    <w:basedOn w:val="1"/>
    <w:next w:val="1"/>
    <w:qFormat/>
    <w:uiPriority w:val="0"/>
    <w:pPr>
      <w:spacing w:line="360" w:lineRule="auto"/>
      <w:jc w:val="center"/>
    </w:pPr>
    <w:rPr>
      <w:rFonts w:eastAsia="黑体"/>
      <w:sz w:val="24"/>
    </w:rPr>
  </w:style>
  <w:style w:type="paragraph" w:customStyle="1" w:styleId="651">
    <w:name w:val="Char1 Char Char Char2"/>
    <w:basedOn w:val="1"/>
    <w:qFormat/>
    <w:uiPriority w:val="0"/>
    <w:pPr>
      <w:spacing w:line="360" w:lineRule="auto"/>
      <w:ind w:firstLine="200" w:firstLineChars="200"/>
    </w:pPr>
    <w:rPr>
      <w:rFonts w:ascii="宋体" w:hAnsi="宋体" w:cs="宋体"/>
      <w:sz w:val="24"/>
    </w:rPr>
  </w:style>
  <w:style w:type="paragraph" w:customStyle="1" w:styleId="652">
    <w:name w:val="二级无标题条"/>
    <w:basedOn w:val="1"/>
    <w:qFormat/>
    <w:uiPriority w:val="0"/>
  </w:style>
  <w:style w:type="paragraph" w:customStyle="1" w:styleId="653">
    <w:name w:val="版式1-表名 Char Char Char"/>
    <w:basedOn w:val="12"/>
    <w:next w:val="1"/>
    <w:qFormat/>
    <w:uiPriority w:val="0"/>
    <w:pPr>
      <w:overflowPunct w:val="0"/>
      <w:snapToGrid w:val="0"/>
      <w:spacing w:beforeLines="50" w:afterLines="50" w:line="440" w:lineRule="exact"/>
      <w:ind w:firstLine="0" w:firstLineChars="0"/>
      <w:jc w:val="center"/>
    </w:pPr>
    <w:rPr>
      <w:rFonts w:ascii="华文细黑" w:hAnsi="华文细黑" w:eastAsia="华文细黑"/>
      <w:b/>
      <w:sz w:val="24"/>
    </w:rPr>
  </w:style>
  <w:style w:type="paragraph" w:customStyle="1" w:styleId="65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color w:val="FF0000"/>
      <w:kern w:val="0"/>
      <w:sz w:val="24"/>
    </w:rPr>
  </w:style>
  <w:style w:type="paragraph" w:customStyle="1" w:styleId="655">
    <w:name w:val="样式 标题 1章标题 11标题 1H1一、 + 行距: 1.5 倍行距1"/>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656">
    <w:name w:val="4号两端对齐"/>
    <w:qFormat/>
    <w:uiPriority w:val="0"/>
    <w:pPr>
      <w:widowControl w:val="0"/>
      <w:adjustRightInd w:val="0"/>
      <w:snapToGrid w:val="0"/>
      <w:jc w:val="both"/>
    </w:pPr>
    <w:rPr>
      <w:rFonts w:ascii="宋体" w:hAnsi="Times New Roman" w:eastAsia="宋体" w:cs="Times New Roman"/>
      <w:sz w:val="28"/>
      <w:lang w:val="en-US" w:eastAsia="zh-CN" w:bidi="ar-SA"/>
    </w:rPr>
  </w:style>
  <w:style w:type="paragraph" w:customStyle="1" w:styleId="657">
    <w:name w:val="Char Char"/>
    <w:basedOn w:val="1"/>
    <w:qFormat/>
    <w:uiPriority w:val="0"/>
    <w:pPr>
      <w:widowControl/>
      <w:spacing w:after="160" w:line="240" w:lineRule="exact"/>
      <w:jc w:val="left"/>
    </w:pPr>
    <w:rPr>
      <w:rFonts w:ascii="Arial" w:hAnsi="Arial"/>
      <w:kern w:val="0"/>
      <w:sz w:val="20"/>
      <w:szCs w:val="20"/>
      <w:lang w:eastAsia="en-US"/>
    </w:rPr>
  </w:style>
  <w:style w:type="paragraph" w:customStyle="1" w:styleId="658">
    <w:name w:val="表目"/>
    <w:basedOn w:val="1"/>
    <w:qFormat/>
    <w:uiPriority w:val="0"/>
    <w:pPr>
      <w:adjustRightInd w:val="0"/>
      <w:spacing w:line="480" w:lineRule="atLeast"/>
      <w:ind w:left="-105" w:leftChars="-50" w:right="-105" w:rightChars="-50"/>
      <w:jc w:val="center"/>
      <w:textAlignment w:val="baseline"/>
    </w:pPr>
    <w:rPr>
      <w:rFonts w:ascii="Arial" w:hAnsi="Arial" w:eastAsia="仿宋_GB2312" w:cs="Arial"/>
      <w:kern w:val="0"/>
      <w:sz w:val="24"/>
      <w:szCs w:val="20"/>
    </w:rPr>
  </w:style>
  <w:style w:type="paragraph" w:customStyle="1" w:styleId="659">
    <w:name w:val="地理段落"/>
    <w:basedOn w:val="1"/>
    <w:qFormat/>
    <w:uiPriority w:val="0"/>
    <w:pPr>
      <w:adjustRightInd w:val="0"/>
      <w:snapToGrid w:val="0"/>
      <w:spacing w:line="360" w:lineRule="auto"/>
      <w:ind w:firstLine="200" w:firstLineChars="200"/>
    </w:pPr>
    <w:rPr>
      <w:rFonts w:ascii="仿宋_GB2312" w:eastAsia="仿宋_GB2312"/>
      <w:sz w:val="28"/>
      <w:szCs w:val="28"/>
    </w:rPr>
  </w:style>
  <w:style w:type="paragraph" w:customStyle="1" w:styleId="660">
    <w:name w:val="Char5"/>
    <w:basedOn w:val="1"/>
    <w:qFormat/>
    <w:uiPriority w:val="0"/>
  </w:style>
  <w:style w:type="paragraph" w:customStyle="1" w:styleId="661">
    <w:name w:val="综述"/>
    <w:qFormat/>
    <w:uiPriority w:val="0"/>
    <w:pPr>
      <w:spacing w:beforeLines="50" w:line="440" w:lineRule="exact"/>
      <w:ind w:firstLine="200" w:firstLineChars="200"/>
    </w:pPr>
    <w:rPr>
      <w:rFonts w:ascii="Times New Roman" w:hAnsi="Times New Roman" w:eastAsia="宋体" w:cs="MS Mincho"/>
      <w:b/>
      <w:kern w:val="2"/>
      <w:sz w:val="24"/>
      <w:szCs w:val="24"/>
      <w:lang w:val="en-US" w:eastAsia="zh-CN" w:bidi="ar-SA"/>
    </w:rPr>
  </w:style>
  <w:style w:type="paragraph" w:customStyle="1" w:styleId="662">
    <w:name w:val="样式 标题 3 + 宋体 四号1"/>
    <w:basedOn w:val="9"/>
    <w:qFormat/>
    <w:uiPriority w:val="0"/>
    <w:pPr>
      <w:tabs>
        <w:tab w:val="left" w:pos="1260"/>
      </w:tabs>
      <w:spacing w:line="360" w:lineRule="auto"/>
      <w:ind w:left="1260" w:hanging="420"/>
    </w:pPr>
    <w:rPr>
      <w:rFonts w:ascii="宋体" w:hAnsi="宋体" w:eastAsia="黑体" w:cs="宋体"/>
      <w:kern w:val="0"/>
      <w:sz w:val="28"/>
      <w:szCs w:val="20"/>
    </w:rPr>
  </w:style>
  <w:style w:type="paragraph" w:customStyle="1" w:styleId="663">
    <w:name w:val="样式 样式 正文文本缩进 + 行距: 固定值 24 磅1 + 首行缩进:  2 字符"/>
    <w:basedOn w:val="1"/>
    <w:qFormat/>
    <w:uiPriority w:val="0"/>
    <w:pPr>
      <w:spacing w:line="480" w:lineRule="exact"/>
      <w:ind w:firstLine="480" w:firstLineChars="200"/>
    </w:pPr>
    <w:rPr>
      <w:rFonts w:ascii="宋体" w:hAnsi="宋体" w:cs="宋体"/>
      <w:sz w:val="24"/>
      <w:szCs w:val="20"/>
    </w:rPr>
  </w:style>
  <w:style w:type="paragraph" w:customStyle="1" w:styleId="664">
    <w:name w:val="样式 标题 1 + 两端对齐"/>
    <w:basedOn w:val="7"/>
    <w:qFormat/>
    <w:uiPriority w:val="0"/>
    <w:pPr>
      <w:keepNext w:val="0"/>
      <w:pageBreakBefore/>
      <w:widowControl/>
      <w:tabs>
        <w:tab w:val="left" w:pos="390"/>
        <w:tab w:val="left" w:pos="420"/>
      </w:tabs>
      <w:overflowPunct/>
      <w:adjustRightInd w:val="0"/>
      <w:spacing w:before="0" w:after="0" w:line="300" w:lineRule="auto"/>
      <w:ind w:left="425" w:hanging="425"/>
      <w:jc w:val="center"/>
    </w:pPr>
    <w:rPr>
      <w:rFonts w:ascii="仿宋_GB2312" w:hAnsi="Calibri" w:eastAsia="仿宋_GB2312" w:cs="宋体"/>
      <w:b w:val="0"/>
      <w:bCs w:val="0"/>
      <w:snapToGrid w:val="0"/>
      <w:color w:val="auto"/>
      <w:kern w:val="0"/>
      <w:sz w:val="32"/>
      <w:szCs w:val="32"/>
    </w:rPr>
  </w:style>
  <w:style w:type="paragraph" w:customStyle="1" w:styleId="665">
    <w:name w:val="xl85"/>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666">
    <w:name w:val="xl118"/>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667">
    <w:name w:val="xl134"/>
    <w:basedOn w:val="1"/>
    <w:qFormat/>
    <w:uiPriority w:val="0"/>
    <w:pPr>
      <w:widowControl/>
      <w:spacing w:before="100" w:beforeAutospacing="1" w:after="100" w:afterAutospacing="1"/>
      <w:jc w:val="left"/>
    </w:pPr>
    <w:rPr>
      <w:rFonts w:ascii="Arial Unicode MS" w:hAnsi="Arial Unicode MS"/>
      <w:kern w:val="0"/>
      <w:sz w:val="20"/>
      <w:szCs w:val="20"/>
    </w:rPr>
  </w:style>
  <w:style w:type="paragraph" w:customStyle="1" w:styleId="668">
    <w:name w:val="xl168"/>
    <w:basedOn w:val="1"/>
    <w:qFormat/>
    <w:uiPriority w:val="0"/>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669">
    <w:name w:val="3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76"/>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671">
    <w:name w:val="表蕊"/>
    <w:basedOn w:val="1"/>
    <w:qFormat/>
    <w:uiPriority w:val="0"/>
    <w:pPr>
      <w:adjustRightInd w:val="0"/>
      <w:spacing w:line="280" w:lineRule="atLeast"/>
      <w:jc w:val="left"/>
      <w:textAlignment w:val="baseline"/>
    </w:pPr>
    <w:rPr>
      <w:rFonts w:eastAsia="楷体_GB2312"/>
      <w:color w:val="000000"/>
      <w:spacing w:val="-10"/>
      <w:kern w:val="0"/>
    </w:rPr>
  </w:style>
  <w:style w:type="paragraph" w:customStyle="1" w:styleId="672">
    <w:name w:val="图"/>
    <w:basedOn w:val="473"/>
    <w:qFormat/>
    <w:uiPriority w:val="0"/>
    <w:pPr>
      <w:spacing w:line="240" w:lineRule="auto"/>
      <w:ind w:firstLine="0" w:firstLineChars="0"/>
      <w:jc w:val="center"/>
    </w:pPr>
  </w:style>
  <w:style w:type="paragraph" w:customStyle="1" w:styleId="673">
    <w:name w:val="Char Char Char Char1"/>
    <w:basedOn w:val="1"/>
    <w:qFormat/>
    <w:uiPriority w:val="0"/>
  </w:style>
  <w:style w:type="paragraph" w:customStyle="1" w:styleId="674">
    <w:name w:val="xl162"/>
    <w:basedOn w:val="1"/>
    <w:qFormat/>
    <w:uiPriority w:val="0"/>
    <w:pPr>
      <w:widowControl/>
      <w:pBdr>
        <w:bottom w:val="single" w:color="auto" w:sz="12" w:space="0"/>
        <w:right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675">
    <w:name w:val="标题-图表"/>
    <w:basedOn w:val="1"/>
    <w:qFormat/>
    <w:uiPriority w:val="0"/>
    <w:pPr>
      <w:spacing w:line="500" w:lineRule="exact"/>
      <w:jc w:val="center"/>
    </w:pPr>
    <w:rPr>
      <w:rFonts w:ascii="黑体" w:eastAsia="黑体"/>
      <w:sz w:val="24"/>
    </w:rPr>
  </w:style>
  <w:style w:type="paragraph" w:customStyle="1" w:styleId="676">
    <w:name w:val="BG-WZ"/>
    <w:basedOn w:val="1"/>
    <w:qFormat/>
    <w:uiPriority w:val="0"/>
    <w:pPr>
      <w:adjustRightInd w:val="0"/>
      <w:snapToGrid w:val="0"/>
      <w:ind w:left="-51" w:right="-51"/>
      <w:jc w:val="center"/>
    </w:pPr>
    <w:rPr>
      <w:rFonts w:ascii="宋体" w:hAnsi="宋体"/>
      <w:szCs w:val="20"/>
    </w:rPr>
  </w:style>
  <w:style w:type="paragraph" w:customStyle="1" w:styleId="677">
    <w:name w:val="甲乙酮标题2"/>
    <w:basedOn w:val="8"/>
    <w:qFormat/>
    <w:uiPriority w:val="0"/>
    <w:pPr>
      <w:tabs>
        <w:tab w:val="left" w:pos="840"/>
      </w:tabs>
      <w:ind w:left="840"/>
    </w:pPr>
    <w:rPr>
      <w:rFonts w:ascii="Times New Roman" w:hAnsi="Times New Roman" w:eastAsia="宋体"/>
      <w:kern w:val="0"/>
    </w:rPr>
  </w:style>
  <w:style w:type="paragraph" w:customStyle="1" w:styleId="678">
    <w:name w:val="char"/>
    <w:basedOn w:val="1"/>
    <w:qFormat/>
    <w:uiPriority w:val="0"/>
    <w:pPr>
      <w:widowControl/>
      <w:spacing w:after="160"/>
      <w:jc w:val="left"/>
    </w:pPr>
    <w:rPr>
      <w:rFonts w:ascii="宋体" w:hAnsi="宋体" w:cs="宋体"/>
      <w:sz w:val="24"/>
    </w:rPr>
  </w:style>
  <w:style w:type="paragraph" w:customStyle="1" w:styleId="679">
    <w:name w:val="In Table"/>
    <w:basedOn w:val="1"/>
    <w:qFormat/>
    <w:uiPriority w:val="0"/>
    <w:pPr>
      <w:keepNext/>
      <w:tabs>
        <w:tab w:val="left" w:pos="3960"/>
        <w:tab w:val="left" w:pos="5280"/>
      </w:tabs>
      <w:snapToGrid w:val="0"/>
      <w:spacing w:beforeLines="40" w:afterLines="40" w:line="0" w:lineRule="atLeast"/>
      <w:contextualSpacing/>
      <w:jc w:val="center"/>
    </w:pPr>
    <w:rPr>
      <w:rFonts w:ascii="Tahoma" w:hAnsi="Tahoma" w:eastAsia="华文中宋" w:cs="Arial"/>
      <w:szCs w:val="20"/>
    </w:rPr>
  </w:style>
  <w:style w:type="paragraph" w:customStyle="1" w:styleId="680">
    <w:name w:val="xl49"/>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681">
    <w:name w:val="表的格式（小四）"/>
    <w:basedOn w:val="1"/>
    <w:qFormat/>
    <w:uiPriority w:val="0"/>
    <w:pPr>
      <w:adjustRightInd w:val="0"/>
      <w:spacing w:line="360" w:lineRule="atLeast"/>
      <w:jc w:val="center"/>
    </w:pPr>
    <w:rPr>
      <w:kern w:val="0"/>
      <w:sz w:val="24"/>
      <w:szCs w:val="20"/>
    </w:rPr>
  </w:style>
  <w:style w:type="paragraph" w:customStyle="1" w:styleId="682">
    <w:name w:val="术语标题"/>
    <w:basedOn w:val="1"/>
    <w:next w:val="1"/>
    <w:qFormat/>
    <w:uiPriority w:val="0"/>
    <w:pPr>
      <w:ind w:firstLine="425"/>
    </w:pPr>
    <w:rPr>
      <w:rFonts w:ascii="黑体" w:eastAsia="黑体"/>
      <w:szCs w:val="20"/>
    </w:rPr>
  </w:style>
  <w:style w:type="paragraph" w:customStyle="1" w:styleId="683">
    <w:name w:val="东明_正文 Char Char Char"/>
    <w:basedOn w:val="1"/>
    <w:qFormat/>
    <w:uiPriority w:val="0"/>
    <w:pPr>
      <w:spacing w:before="240" w:after="240" w:line="480" w:lineRule="exact"/>
      <w:ind w:firstLine="560" w:firstLineChars="200"/>
    </w:pPr>
    <w:rPr>
      <w:sz w:val="28"/>
      <w:szCs w:val="20"/>
    </w:rPr>
  </w:style>
  <w:style w:type="paragraph" w:customStyle="1" w:styleId="684">
    <w:name w:val="样式 表标题4.9 + 居中"/>
    <w:basedOn w:val="1"/>
    <w:qFormat/>
    <w:uiPriority w:val="0"/>
    <w:pPr>
      <w:numPr>
        <w:ilvl w:val="0"/>
        <w:numId w:val="7"/>
      </w:numPr>
      <w:tabs>
        <w:tab w:val="center" w:pos="4060"/>
        <w:tab w:val="right" w:pos="8261"/>
      </w:tabs>
      <w:suppressAutoHyphens/>
      <w:adjustRightInd w:val="0"/>
      <w:spacing w:before="240" w:line="0" w:lineRule="atLeast"/>
      <w:jc w:val="center"/>
    </w:pPr>
    <w:rPr>
      <w:rFonts w:ascii="黑体" w:eastAsia="黑体" w:cs="宋体"/>
      <w:b/>
      <w:bCs/>
      <w:spacing w:val="6"/>
      <w:kern w:val="0"/>
      <w:sz w:val="26"/>
      <w:szCs w:val="20"/>
    </w:rPr>
  </w:style>
  <w:style w:type="paragraph" w:customStyle="1" w:styleId="685">
    <w:name w:val="(文字) (文字)"/>
    <w:basedOn w:val="1"/>
    <w:qFormat/>
    <w:uiPriority w:val="0"/>
  </w:style>
  <w:style w:type="paragraph" w:customStyle="1" w:styleId="686">
    <w:name w:val="xl170"/>
    <w:basedOn w:val="1"/>
    <w:qFormat/>
    <w:uiPriority w:val="0"/>
    <w:pPr>
      <w:widowControl/>
      <w:pBdr>
        <w:left w:val="single" w:color="auto" w:sz="4" w:space="0"/>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687">
    <w:name w:val="xl92"/>
    <w:basedOn w:val="1"/>
    <w:qFormat/>
    <w:uiPriority w:val="0"/>
    <w:pPr>
      <w:widowControl/>
      <w:pBdr>
        <w:top w:val="single" w:color="auto" w:sz="12" w:space="0"/>
        <w:left w:val="single" w:color="auto" w:sz="12" w:space="0"/>
        <w:right w:val="single" w:color="auto" w:sz="4"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688">
    <w:name w:val="首页脚注"/>
    <w:basedOn w:val="54"/>
    <w:qFormat/>
    <w:uiPriority w:val="0"/>
    <w:pPr>
      <w:keepLines/>
      <w:widowControl/>
      <w:tabs>
        <w:tab w:val="center" w:pos="4320"/>
        <w:tab w:val="clear" w:pos="4153"/>
        <w:tab w:val="clear" w:pos="8306"/>
      </w:tabs>
      <w:overflowPunct w:val="0"/>
      <w:autoSpaceDE w:val="0"/>
      <w:autoSpaceDN w:val="0"/>
      <w:adjustRightInd w:val="0"/>
      <w:snapToGrid/>
      <w:jc w:val="center"/>
      <w:textAlignment w:val="baseline"/>
    </w:pPr>
    <w:rPr>
      <w:sz w:val="20"/>
    </w:rPr>
  </w:style>
  <w:style w:type="paragraph" w:customStyle="1" w:styleId="689">
    <w:name w:val="文本框文字格式"/>
    <w:basedOn w:val="1"/>
    <w:qFormat/>
    <w:uiPriority w:val="0"/>
    <w:pPr>
      <w:jc w:val="center"/>
    </w:pPr>
    <w:rPr>
      <w:sz w:val="24"/>
    </w:rPr>
  </w:style>
  <w:style w:type="paragraph" w:customStyle="1" w:styleId="690">
    <w:name w:val="Char Char Char Char Char Char Char Char Char Char Char Char Char Char Char Char Char Char Char1"/>
    <w:basedOn w:val="1"/>
    <w:qFormat/>
    <w:uiPriority w:val="0"/>
    <w:pPr>
      <w:widowControl/>
      <w:contextualSpacing/>
      <w:jc w:val="left"/>
    </w:pPr>
    <w:rPr>
      <w:rFonts w:cs="宋体"/>
      <w:kern w:val="0"/>
    </w:rPr>
  </w:style>
  <w:style w:type="paragraph" w:customStyle="1" w:styleId="691">
    <w:name w:val="标2"/>
    <w:basedOn w:val="8"/>
    <w:next w:val="292"/>
    <w:qFormat/>
    <w:uiPriority w:val="0"/>
    <w:pPr>
      <w:tabs>
        <w:tab w:val="left" w:pos="0"/>
      </w:tabs>
      <w:spacing w:before="0" w:after="0" w:line="240" w:lineRule="auto"/>
      <w:ind w:left="576" w:hanging="576"/>
      <w:contextualSpacing/>
      <w:jc w:val="left"/>
    </w:pPr>
    <w:rPr>
      <w:rFonts w:ascii="黑体" w:hAnsi="黑体" w:cs="宋体"/>
      <w:bCs w:val="0"/>
      <w:sz w:val="30"/>
      <w:szCs w:val="20"/>
    </w:rPr>
  </w:style>
  <w:style w:type="paragraph" w:customStyle="1" w:styleId="692">
    <w:name w:val="style12"/>
    <w:basedOn w:val="1"/>
    <w:qFormat/>
    <w:uiPriority w:val="0"/>
    <w:pPr>
      <w:widowControl/>
      <w:spacing w:before="100" w:beforeAutospacing="1" w:after="100" w:afterAutospacing="1"/>
      <w:jc w:val="left"/>
    </w:pPr>
    <w:rPr>
      <w:rFonts w:ascii="Arial" w:hAnsi="Arial" w:cs="Arial"/>
      <w:color w:val="666666"/>
      <w:kern w:val="0"/>
      <w:sz w:val="18"/>
      <w:szCs w:val="18"/>
    </w:rPr>
  </w:style>
  <w:style w:type="paragraph" w:customStyle="1" w:styleId="693">
    <w:name w:val="xl62"/>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694">
    <w:name w:val="样式6"/>
    <w:basedOn w:val="1"/>
    <w:next w:val="1"/>
    <w:qFormat/>
    <w:uiPriority w:val="0"/>
    <w:pPr>
      <w:adjustRightInd w:val="0"/>
      <w:jc w:val="center"/>
      <w:textAlignment w:val="center"/>
    </w:pPr>
  </w:style>
  <w:style w:type="paragraph" w:customStyle="1" w:styleId="695">
    <w:name w:val="样式8"/>
    <w:basedOn w:val="1"/>
    <w:next w:val="1"/>
    <w:qFormat/>
    <w:uiPriority w:val="0"/>
    <w:pPr>
      <w:ind w:firstLine="420"/>
    </w:pPr>
    <w:rPr>
      <w:rFonts w:ascii="宋体" w:hAnsi="Arial Black" w:cs="宋体"/>
      <w:sz w:val="24"/>
    </w:rPr>
  </w:style>
  <w:style w:type="paragraph" w:customStyle="1" w:styleId="696">
    <w:name w:val="工业统一正文"/>
    <w:basedOn w:val="1"/>
    <w:qFormat/>
    <w:uiPriority w:val="0"/>
    <w:pPr>
      <w:adjustRightInd w:val="0"/>
      <w:snapToGrid w:val="0"/>
      <w:spacing w:line="360" w:lineRule="auto"/>
      <w:ind w:firstLine="200" w:firstLineChars="200"/>
      <w:jc w:val="left"/>
    </w:pPr>
    <w:rPr>
      <w:rFonts w:ascii="宋体"/>
      <w:sz w:val="28"/>
      <w:szCs w:val="20"/>
    </w:rPr>
  </w:style>
  <w:style w:type="paragraph" w:customStyle="1" w:styleId="697">
    <w:name w:val="菏泽-正文 Char Char Char"/>
    <w:basedOn w:val="1"/>
    <w:qFormat/>
    <w:uiPriority w:val="0"/>
    <w:pPr>
      <w:spacing w:line="440" w:lineRule="exact"/>
      <w:ind w:firstLine="420" w:firstLineChars="200"/>
    </w:pPr>
    <w:rPr>
      <w:rFonts w:ascii="Arial" w:hAnsi="Arial" w:eastAsia="华文细黑"/>
      <w:szCs w:val="20"/>
    </w:rPr>
  </w:style>
  <w:style w:type="paragraph" w:customStyle="1" w:styleId="698">
    <w:name w:val="xl173"/>
    <w:basedOn w:val="1"/>
    <w:qFormat/>
    <w:uiPriority w:val="0"/>
    <w:pPr>
      <w:widowControl/>
      <w:spacing w:before="100" w:beforeAutospacing="1" w:after="100" w:afterAutospacing="1"/>
      <w:jc w:val="center"/>
      <w:textAlignment w:val="center"/>
    </w:pPr>
    <w:rPr>
      <w:rFonts w:ascii="Arial Unicode MS" w:hAnsi="Arial Unicode MS"/>
      <w:kern w:val="0"/>
    </w:rPr>
  </w:style>
  <w:style w:type="paragraph" w:customStyle="1" w:styleId="699">
    <w:name w:val="pian"/>
    <w:basedOn w:val="1"/>
    <w:qFormat/>
    <w:uiPriority w:val="0"/>
    <w:pPr>
      <w:widowControl/>
      <w:spacing w:before="100" w:beforeAutospacing="1" w:after="100" w:afterAutospacing="1"/>
      <w:jc w:val="left"/>
    </w:pPr>
    <w:rPr>
      <w:rFonts w:ascii="宋体" w:hAnsi="宋体"/>
      <w:kern w:val="0"/>
      <w:sz w:val="24"/>
    </w:rPr>
  </w:style>
  <w:style w:type="paragraph" w:customStyle="1" w:styleId="700">
    <w:name w:val="缩进"/>
    <w:basedOn w:val="1"/>
    <w:qFormat/>
    <w:uiPriority w:val="0"/>
    <w:pPr>
      <w:autoSpaceDE w:val="0"/>
      <w:autoSpaceDN w:val="0"/>
      <w:adjustRightInd w:val="0"/>
      <w:spacing w:line="400" w:lineRule="atLeast"/>
      <w:ind w:firstLine="200" w:firstLineChars="200"/>
      <w:textAlignment w:val="baseline"/>
    </w:pPr>
    <w:rPr>
      <w:kern w:val="0"/>
      <w:sz w:val="24"/>
      <w:szCs w:val="20"/>
    </w:rPr>
  </w:style>
  <w:style w:type="paragraph" w:customStyle="1" w:styleId="701">
    <w:name w:val="工艺统一正文"/>
    <w:basedOn w:val="1"/>
    <w:qFormat/>
    <w:uiPriority w:val="0"/>
    <w:pPr>
      <w:adjustRightInd w:val="0"/>
      <w:snapToGrid w:val="0"/>
      <w:spacing w:line="360" w:lineRule="auto"/>
      <w:ind w:firstLine="578"/>
    </w:pPr>
    <w:rPr>
      <w:rFonts w:ascii="宋体"/>
      <w:sz w:val="28"/>
      <w:szCs w:val="20"/>
    </w:rPr>
  </w:style>
  <w:style w:type="paragraph" w:customStyle="1" w:styleId="702">
    <w:name w:val="样式 楷体_GB2312 居中"/>
    <w:basedOn w:val="1"/>
    <w:qFormat/>
    <w:uiPriority w:val="0"/>
    <w:pPr>
      <w:spacing w:line="360" w:lineRule="auto"/>
      <w:jc w:val="center"/>
    </w:pPr>
    <w:rPr>
      <w:rFonts w:ascii="楷体_GB2312" w:eastAsia="楷体_GB2312"/>
      <w:szCs w:val="20"/>
      <w:lang w:bidi="ar-OM"/>
    </w:rPr>
  </w:style>
  <w:style w:type="paragraph" w:customStyle="1" w:styleId="703">
    <w:name w:val="居中正文"/>
    <w:basedOn w:val="84"/>
    <w:qFormat/>
    <w:uiPriority w:val="0"/>
    <w:pPr>
      <w:adjustRightInd w:val="0"/>
      <w:spacing w:before="120" w:after="0" w:line="360" w:lineRule="auto"/>
      <w:ind w:firstLine="0" w:firstLineChars="0"/>
      <w:jc w:val="center"/>
      <w:textAlignment w:val="baseline"/>
    </w:pPr>
    <w:rPr>
      <w:rFonts w:ascii="宋体"/>
      <w:kern w:val="28"/>
      <w:sz w:val="24"/>
      <w:szCs w:val="20"/>
    </w:rPr>
  </w:style>
  <w:style w:type="paragraph" w:customStyle="1" w:styleId="704">
    <w:name w:val="Char4"/>
    <w:basedOn w:val="1"/>
    <w:qFormat/>
    <w:uiPriority w:val="0"/>
    <w:pPr>
      <w:widowControl/>
      <w:spacing w:after="160"/>
      <w:jc w:val="left"/>
    </w:pPr>
    <w:rPr>
      <w:rFonts w:ascii="Verdana" w:hAnsi="Verdana" w:eastAsia="仿宋_GB2312" w:cs="”“Times New Roman”“"/>
      <w:kern w:val="0"/>
      <w:sz w:val="28"/>
      <w:szCs w:val="28"/>
      <w:lang w:eastAsia="en-US"/>
    </w:rPr>
  </w:style>
  <w:style w:type="paragraph" w:customStyle="1" w:styleId="705">
    <w:name w:val="CM75"/>
    <w:basedOn w:val="1"/>
    <w:next w:val="1"/>
    <w:qFormat/>
    <w:uiPriority w:val="0"/>
    <w:pPr>
      <w:autoSpaceDE w:val="0"/>
      <w:autoSpaceDN w:val="0"/>
      <w:adjustRightInd w:val="0"/>
      <w:spacing w:after="60"/>
      <w:jc w:val="left"/>
    </w:pPr>
    <w:rPr>
      <w:rFonts w:ascii="Sim Sun+ 2" w:eastAsia="Sim Sun+ 2" w:cs="Sim Sun+ 2"/>
      <w:kern w:val="0"/>
      <w:sz w:val="24"/>
    </w:rPr>
  </w:style>
  <w:style w:type="paragraph" w:customStyle="1" w:styleId="706">
    <w:name w:val="WPS Plain"/>
    <w:qFormat/>
    <w:uiPriority w:val="0"/>
    <w:rPr>
      <w:rFonts w:ascii="Times New Roman" w:hAnsi="Times New Roman" w:eastAsia="宋体" w:cs="Times New Roman"/>
      <w:lang w:val="en-US" w:eastAsia="zh-CN" w:bidi="ar-SA"/>
    </w:rPr>
  </w:style>
  <w:style w:type="paragraph" w:customStyle="1" w:styleId="707">
    <w:name w:val="xl133"/>
    <w:basedOn w:val="1"/>
    <w:qFormat/>
    <w:uiPriority w:val="0"/>
    <w:pPr>
      <w:widowControl/>
      <w:pBdr>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708">
    <w:name w:val="xl57"/>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709">
    <w:name w:val="宏福正文-2"/>
    <w:basedOn w:val="84"/>
    <w:qFormat/>
    <w:uiPriority w:val="0"/>
    <w:pPr>
      <w:snapToGrid w:val="0"/>
      <w:spacing w:before="240" w:after="0" w:line="400" w:lineRule="atLeast"/>
      <w:ind w:firstLine="567" w:firstLineChars="0"/>
    </w:pPr>
    <w:rPr>
      <w:kern w:val="0"/>
      <w:sz w:val="28"/>
    </w:rPr>
  </w:style>
  <w:style w:type="paragraph" w:customStyle="1" w:styleId="710">
    <w:name w:val="正文2"/>
    <w:qFormat/>
    <w:uiPriority w:val="0"/>
    <w:pPr>
      <w:widowControl w:val="0"/>
      <w:tabs>
        <w:tab w:val="left" w:pos="567"/>
      </w:tabs>
      <w:adjustRightInd w:val="0"/>
      <w:spacing w:line="360" w:lineRule="atLeast"/>
      <w:jc w:val="both"/>
      <w:textAlignment w:val="baseline"/>
    </w:pPr>
    <w:rPr>
      <w:rFonts w:ascii="Times New Roman" w:hAnsi="Courier" w:eastAsia="PMingLiU" w:cs="Times New Roman"/>
      <w:sz w:val="24"/>
      <w:lang w:val="en-US" w:eastAsia="zh-TW" w:bidi="ar-SA"/>
    </w:rPr>
  </w:style>
  <w:style w:type="paragraph" w:customStyle="1" w:styleId="711">
    <w:name w:val="我的样式（正文）"/>
    <w:basedOn w:val="1"/>
    <w:qFormat/>
    <w:uiPriority w:val="0"/>
    <w:pPr>
      <w:spacing w:line="440" w:lineRule="exact"/>
    </w:pPr>
    <w:rPr>
      <w:rFonts w:ascii="宋体"/>
      <w:sz w:val="28"/>
      <w:szCs w:val="20"/>
    </w:rPr>
  </w:style>
  <w:style w:type="paragraph" w:customStyle="1" w:styleId="712">
    <w:name w:val="xl36"/>
    <w:basedOn w:val="1"/>
    <w:qFormat/>
    <w:uiPriority w:val="0"/>
    <w:pPr>
      <w:widowControl/>
      <w:spacing w:before="100" w:beforeAutospacing="1" w:after="100" w:afterAutospacing="1"/>
      <w:jc w:val="left"/>
      <w:textAlignment w:val="bottom"/>
    </w:pPr>
    <w:rPr>
      <w:rFonts w:ascii="Arial" w:hAnsi="Arial" w:cs="Arial"/>
      <w:b/>
      <w:bCs/>
      <w:kern w:val="0"/>
      <w:sz w:val="24"/>
    </w:rPr>
  </w:style>
  <w:style w:type="paragraph" w:customStyle="1" w:styleId="713">
    <w:name w:val="表格文字居中 Char"/>
    <w:basedOn w:val="84"/>
    <w:qFormat/>
    <w:uiPriority w:val="0"/>
    <w:pPr>
      <w:keepNext/>
      <w:tabs>
        <w:tab w:val="left" w:pos="628"/>
        <w:tab w:val="left" w:pos="1727"/>
        <w:tab w:val="left" w:pos="1884"/>
        <w:tab w:val="left" w:pos="2660"/>
        <w:tab w:val="left" w:pos="5460"/>
      </w:tabs>
      <w:spacing w:before="100" w:beforeAutospacing="1" w:after="0"/>
      <w:ind w:firstLine="0" w:firstLineChars="0"/>
      <w:jc w:val="center"/>
    </w:pPr>
    <w:rPr>
      <w:rFonts w:ascii="宋体"/>
      <w:bCs/>
      <w:color w:val="000000"/>
      <w:kern w:val="0"/>
      <w:sz w:val="24"/>
    </w:rPr>
  </w:style>
  <w:style w:type="paragraph" w:customStyle="1" w:styleId="714">
    <w:name w:val="Char2"/>
    <w:basedOn w:val="1"/>
    <w:qFormat/>
    <w:uiPriority w:val="0"/>
    <w:pPr>
      <w:spacing w:line="360" w:lineRule="auto"/>
      <w:ind w:firstLine="200" w:firstLineChars="200"/>
    </w:pPr>
    <w:rPr>
      <w:rFonts w:ascii="宋体" w:hAnsi="宋体" w:cs="宋体"/>
      <w:sz w:val="24"/>
    </w:rPr>
  </w:style>
  <w:style w:type="paragraph" w:customStyle="1" w:styleId="715">
    <w:name w:val="xl58"/>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716">
    <w:name w:val="7表格(治)"/>
    <w:qFormat/>
    <w:uiPriority w:val="0"/>
    <w:pPr>
      <w:jc w:val="center"/>
    </w:pPr>
    <w:rPr>
      <w:rFonts w:ascii="Calibri" w:hAnsi="Calibri" w:eastAsia="楷体_GB2312" w:cs="Times New Roman"/>
      <w:color w:val="000000"/>
      <w:sz w:val="21"/>
      <w:lang w:val="en-US" w:eastAsia="zh-CN" w:bidi="ar-SA"/>
    </w:rPr>
  </w:style>
  <w:style w:type="paragraph" w:customStyle="1" w:styleId="717">
    <w:name w:val="环表"/>
    <w:basedOn w:val="551"/>
    <w:qFormat/>
    <w:uiPriority w:val="0"/>
    <w:pPr>
      <w:tabs>
        <w:tab w:val="left" w:pos="1464"/>
        <w:tab w:val="left" w:pos="5094"/>
      </w:tabs>
      <w:suppressAutoHyphens w:val="0"/>
      <w:spacing w:before="120" w:after="120" w:line="324" w:lineRule="auto"/>
      <w:ind w:left="7" w:right="29" w:firstLine="539"/>
      <w:jc w:val="center"/>
    </w:pPr>
    <w:rPr>
      <w:rFonts w:hAnsi="Courier New"/>
      <w:sz w:val="21"/>
    </w:rPr>
  </w:style>
  <w:style w:type="paragraph" w:customStyle="1" w:styleId="718">
    <w:name w:val="Char Char Char Char Char Char Char2"/>
    <w:basedOn w:val="1"/>
    <w:qFormat/>
    <w:uiPriority w:val="0"/>
    <w:pPr>
      <w:widowControl/>
      <w:spacing w:after="160" w:line="240" w:lineRule="exact"/>
      <w:contextualSpacing/>
      <w:jc w:val="left"/>
    </w:pPr>
    <w:rPr>
      <w:rFonts w:ascii="Arial" w:hAnsi="Arial" w:eastAsia="Times New Roman" w:cs="Verdana"/>
      <w:b/>
      <w:kern w:val="0"/>
      <w:lang w:eastAsia="en-US"/>
    </w:rPr>
  </w:style>
  <w:style w:type="paragraph" w:customStyle="1" w:styleId="719">
    <w:name w:val="xl59"/>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720">
    <w:name w:val="w4"/>
    <w:basedOn w:val="1"/>
    <w:qFormat/>
    <w:uiPriority w:val="0"/>
    <w:pPr>
      <w:widowControl/>
      <w:spacing w:before="100" w:beforeAutospacing="1" w:after="100" w:afterAutospacing="1" w:line="336" w:lineRule="auto"/>
      <w:ind w:firstLine="360"/>
      <w:jc w:val="left"/>
    </w:pPr>
    <w:rPr>
      <w:rFonts w:ascii="Calibri" w:hAnsi="Calibri"/>
      <w:color w:val="8A5E00"/>
      <w:kern w:val="0"/>
      <w:sz w:val="18"/>
      <w:szCs w:val="18"/>
    </w:rPr>
  </w:style>
  <w:style w:type="paragraph" w:customStyle="1" w:styleId="721">
    <w:name w:val="xl176"/>
    <w:basedOn w:val="1"/>
    <w:qFormat/>
    <w:uiPriority w:val="0"/>
    <w:pPr>
      <w:widowControl/>
      <w:pBdr>
        <w:top w:val="single" w:color="auto" w:sz="12" w:space="0"/>
        <w:left w:val="single" w:color="auto" w:sz="12" w:space="0"/>
      </w:pBdr>
      <w:spacing w:before="100" w:beforeAutospacing="1" w:after="100" w:afterAutospacing="1"/>
      <w:jc w:val="left"/>
    </w:pPr>
    <w:rPr>
      <w:rFonts w:ascii="Arial Unicode MS" w:hAnsi="Arial Unicode MS"/>
      <w:kern w:val="0"/>
    </w:rPr>
  </w:style>
  <w:style w:type="paragraph" w:customStyle="1" w:styleId="722">
    <w:name w:val="表格文字居中"/>
    <w:basedOn w:val="1"/>
    <w:next w:val="84"/>
    <w:qFormat/>
    <w:uiPriority w:val="0"/>
    <w:pPr>
      <w:keepNext/>
      <w:tabs>
        <w:tab w:val="left" w:pos="628"/>
        <w:tab w:val="left" w:pos="1727"/>
        <w:tab w:val="left" w:pos="1884"/>
      </w:tabs>
      <w:adjustRightInd w:val="0"/>
      <w:snapToGrid w:val="0"/>
      <w:contextualSpacing/>
      <w:jc w:val="center"/>
    </w:pPr>
    <w:rPr>
      <w:bCs/>
      <w:color w:val="000000"/>
      <w:kern w:val="0"/>
    </w:rPr>
  </w:style>
  <w:style w:type="paragraph" w:customStyle="1" w:styleId="723">
    <w:name w:val="缺省文本_宋体"/>
    <w:basedOn w:val="1"/>
    <w:qFormat/>
    <w:uiPriority w:val="0"/>
    <w:pPr>
      <w:tabs>
        <w:tab w:val="left" w:pos="525"/>
        <w:tab w:val="center" w:pos="5670"/>
        <w:tab w:val="right" w:pos="7655"/>
      </w:tabs>
      <w:spacing w:before="80" w:after="120" w:line="360" w:lineRule="auto"/>
      <w:outlineLvl w:val="7"/>
    </w:pPr>
    <w:rPr>
      <w:spacing w:val="16"/>
      <w:kern w:val="28"/>
      <w:sz w:val="24"/>
      <w:szCs w:val="20"/>
    </w:rPr>
  </w:style>
  <w:style w:type="paragraph" w:customStyle="1" w:styleId="724">
    <w:name w:val="流程图"/>
    <w:basedOn w:val="1"/>
    <w:qFormat/>
    <w:uiPriority w:val="0"/>
    <w:pPr>
      <w:tabs>
        <w:tab w:val="left" w:pos="0"/>
      </w:tabs>
      <w:autoSpaceDE w:val="0"/>
      <w:autoSpaceDN w:val="0"/>
      <w:adjustRightInd w:val="0"/>
      <w:spacing w:line="240" w:lineRule="atLeast"/>
      <w:jc w:val="center"/>
      <w:textAlignment w:val="bottom"/>
    </w:pPr>
    <w:rPr>
      <w:rFonts w:ascii="宋体"/>
      <w:szCs w:val="20"/>
    </w:rPr>
  </w:style>
  <w:style w:type="paragraph" w:customStyle="1" w:styleId="725">
    <w:name w:val="流程文字"/>
    <w:basedOn w:val="1"/>
    <w:qFormat/>
    <w:uiPriority w:val="0"/>
    <w:pPr>
      <w:tabs>
        <w:tab w:val="left" w:pos="6480"/>
      </w:tabs>
      <w:topLinePunct/>
      <w:adjustRightInd w:val="0"/>
      <w:snapToGrid w:val="0"/>
      <w:jc w:val="center"/>
    </w:pPr>
    <w:rPr>
      <w:rFonts w:eastAsia="仿宋_GB2312"/>
      <w:szCs w:val="20"/>
    </w:rPr>
  </w:style>
  <w:style w:type="paragraph" w:customStyle="1" w:styleId="726">
    <w:name w:val="表格1"/>
    <w:basedOn w:val="1"/>
    <w:qFormat/>
    <w:uiPriority w:val="0"/>
    <w:pPr>
      <w:jc w:val="center"/>
    </w:pPr>
  </w:style>
  <w:style w:type="paragraph" w:customStyle="1" w:styleId="727">
    <w:name w:val="xl53"/>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728">
    <w:name w:val="EIA1"/>
    <w:basedOn w:val="7"/>
    <w:qFormat/>
    <w:uiPriority w:val="0"/>
    <w:pPr>
      <w:tabs>
        <w:tab w:val="left" w:pos="390"/>
      </w:tabs>
      <w:overflowPunct/>
      <w:snapToGrid/>
      <w:spacing w:before="0" w:after="0" w:line="480" w:lineRule="auto"/>
      <w:ind w:left="390" w:firstLine="0"/>
      <w:jc w:val="left"/>
    </w:pPr>
    <w:rPr>
      <w:rFonts w:ascii="Calibri" w:hAnsi="Calibri" w:eastAsia="宋体"/>
      <w:bCs w:val="0"/>
      <w:color w:val="auto"/>
      <w:kern w:val="2"/>
      <w:sz w:val="32"/>
      <w:szCs w:val="20"/>
    </w:rPr>
  </w:style>
  <w:style w:type="paragraph" w:customStyle="1" w:styleId="729">
    <w:name w:val="标准条文"/>
    <w:basedOn w:val="730"/>
    <w:next w:val="730"/>
    <w:qFormat/>
    <w:uiPriority w:val="0"/>
    <w:rPr>
      <w:rFonts w:ascii="宋体"/>
      <w:color w:val="auto"/>
    </w:rPr>
  </w:style>
  <w:style w:type="paragraph" w:customStyle="1" w:styleId="730">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32">
    <w:name w:val="表格标题2"/>
    <w:basedOn w:val="158"/>
    <w:qFormat/>
    <w:uiPriority w:val="0"/>
    <w:pPr>
      <w:adjustRightInd/>
      <w:snapToGrid/>
      <w:spacing w:line="360" w:lineRule="auto"/>
      <w:jc w:val="left"/>
      <w:textAlignment w:val="auto"/>
    </w:pPr>
    <w:rPr>
      <w:rFonts w:eastAsia="宋体"/>
      <w:b/>
      <w:color w:val="000000"/>
      <w:sz w:val="24"/>
      <w:szCs w:val="21"/>
    </w:rPr>
  </w:style>
  <w:style w:type="paragraph" w:customStyle="1" w:styleId="733">
    <w:name w:val="图文字"/>
    <w:basedOn w:val="1"/>
    <w:qFormat/>
    <w:uiPriority w:val="0"/>
    <w:pPr>
      <w:spacing w:line="400" w:lineRule="exact"/>
      <w:jc w:val="center"/>
    </w:pPr>
    <w:rPr>
      <w:rFonts w:ascii="宋体" w:hAnsi="宋体"/>
      <w:kern w:val="44"/>
      <w:sz w:val="24"/>
    </w:rPr>
  </w:style>
  <w:style w:type="paragraph" w:customStyle="1" w:styleId="734">
    <w:name w:val="xl52"/>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735">
    <w:name w:val="xl159"/>
    <w:basedOn w:val="1"/>
    <w:qFormat/>
    <w:uiPriority w:val="0"/>
    <w:pPr>
      <w:widowControl/>
      <w:pBdr>
        <w:right w:val="single" w:color="auto" w:sz="4" w:space="0"/>
      </w:pBdr>
      <w:spacing w:before="100" w:beforeAutospacing="1" w:after="100" w:afterAutospacing="1"/>
      <w:jc w:val="left"/>
    </w:pPr>
    <w:rPr>
      <w:rFonts w:ascii="Arial Unicode MS" w:hAnsi="Arial Unicode MS"/>
      <w:kern w:val="0"/>
    </w:rPr>
  </w:style>
  <w:style w:type="paragraph" w:customStyle="1" w:styleId="736">
    <w:name w:val="GY6"/>
    <w:basedOn w:val="1"/>
    <w:qFormat/>
    <w:uiPriority w:val="0"/>
    <w:pPr>
      <w:tabs>
        <w:tab w:val="left" w:pos="840"/>
      </w:tabs>
      <w:adjustRightInd w:val="0"/>
      <w:snapToGrid w:val="0"/>
      <w:spacing w:line="360" w:lineRule="auto"/>
    </w:pPr>
    <w:rPr>
      <w:rFonts w:hint="eastAsia" w:ascii="宋体" w:hAnsi="宋体"/>
      <w:sz w:val="28"/>
      <w:szCs w:val="20"/>
    </w:rPr>
  </w:style>
  <w:style w:type="paragraph" w:customStyle="1" w:styleId="737">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738">
    <w:name w:val="甲乙酮标题4"/>
    <w:basedOn w:val="10"/>
    <w:qFormat/>
    <w:uiPriority w:val="0"/>
    <w:pPr>
      <w:tabs>
        <w:tab w:val="left" w:pos="1680"/>
      </w:tabs>
      <w:spacing w:before="100" w:after="100" w:line="377" w:lineRule="auto"/>
      <w:ind w:left="1680"/>
    </w:pPr>
    <w:rPr>
      <w:rFonts w:ascii="Times New Roman" w:hAnsi="Times New Roman"/>
      <w:sz w:val="24"/>
      <w:szCs w:val="24"/>
    </w:rPr>
  </w:style>
  <w:style w:type="paragraph" w:customStyle="1" w:styleId="739">
    <w:name w:val="样式10"/>
    <w:basedOn w:val="7"/>
    <w:qFormat/>
    <w:uiPriority w:val="0"/>
    <w:pPr>
      <w:keepLines/>
      <w:tabs>
        <w:tab w:val="left" w:pos="390"/>
      </w:tabs>
      <w:overflowPunct/>
      <w:snapToGrid/>
      <w:spacing w:before="340" w:beforeLines="100" w:after="330" w:afterLines="100" w:line="520" w:lineRule="exact"/>
      <w:ind w:left="390" w:firstLine="0"/>
    </w:pPr>
    <w:rPr>
      <w:rFonts w:ascii="Calibri" w:hAnsi="Calibri" w:eastAsia="宋体"/>
      <w:color w:val="FF0000"/>
    </w:rPr>
  </w:style>
  <w:style w:type="paragraph" w:customStyle="1" w:styleId="740">
    <w:name w:val="xl146"/>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741">
    <w:name w:val="标题 2 + 黑体"/>
    <w:basedOn w:val="8"/>
    <w:qFormat/>
    <w:uiPriority w:val="0"/>
    <w:pPr>
      <w:keepNext w:val="0"/>
      <w:keepLines w:val="0"/>
      <w:tabs>
        <w:tab w:val="left" w:pos="280"/>
        <w:tab w:val="left" w:pos="1400"/>
      </w:tabs>
      <w:adjustRightInd w:val="0"/>
      <w:snapToGrid w:val="0"/>
      <w:spacing w:before="50" w:after="240" w:line="480" w:lineRule="exact"/>
      <w:ind w:left="1233" w:right="100" w:rightChars="100" w:firstLine="567"/>
      <w:jc w:val="left"/>
    </w:pPr>
    <w:rPr>
      <w:rFonts w:ascii="黑体" w:hAnsi="黑体"/>
      <w:b w:val="0"/>
      <w:bCs w:val="0"/>
      <w:sz w:val="28"/>
      <w:szCs w:val="28"/>
    </w:rPr>
  </w:style>
  <w:style w:type="paragraph" w:customStyle="1" w:styleId="742">
    <w:name w:val="xl96"/>
    <w:basedOn w:val="1"/>
    <w:qFormat/>
    <w:uiPriority w:val="0"/>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743">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744">
    <w:name w:val="表后文"/>
    <w:basedOn w:val="1"/>
    <w:qFormat/>
    <w:uiPriority w:val="0"/>
    <w:pPr>
      <w:adjustRightInd w:val="0"/>
      <w:spacing w:before="120" w:line="400" w:lineRule="exact"/>
      <w:ind w:firstLine="601"/>
      <w:textAlignment w:val="baseline"/>
    </w:pPr>
    <w:rPr>
      <w:rFonts w:eastAsia="楷体_GB2312"/>
      <w:spacing w:val="8"/>
      <w:kern w:val="0"/>
      <w:sz w:val="28"/>
      <w:szCs w:val="20"/>
    </w:rPr>
  </w:style>
  <w:style w:type="paragraph" w:customStyle="1" w:styleId="745">
    <w:name w:val="xl144"/>
    <w:basedOn w:val="1"/>
    <w:qFormat/>
    <w:uiPriority w:val="0"/>
    <w:pPr>
      <w:widowControl/>
      <w:pBdr>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746">
    <w:name w:val="图编号"/>
    <w:basedOn w:val="415"/>
    <w:qFormat/>
    <w:uiPriority w:val="0"/>
    <w:pPr>
      <w:tabs>
        <w:tab w:val="left" w:pos="763"/>
        <w:tab w:val="left" w:pos="1440"/>
      </w:tabs>
      <w:spacing w:before="300" w:after="300" w:line="360" w:lineRule="auto"/>
      <w:ind w:left="400" w:leftChars="400" w:hanging="200" w:hangingChars="200"/>
    </w:pPr>
    <w:rPr>
      <w:rFonts w:ascii="Times New Roman" w:hAnsi="Times New Roman" w:eastAsia="宋体"/>
      <w:kern w:val="0"/>
      <w:sz w:val="20"/>
      <w:szCs w:val="24"/>
    </w:rPr>
  </w:style>
  <w:style w:type="paragraph" w:customStyle="1" w:styleId="747">
    <w:name w:val="xl169"/>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748">
    <w:name w:val="样式13"/>
    <w:basedOn w:val="1"/>
    <w:next w:val="32"/>
    <w:qFormat/>
    <w:uiPriority w:val="0"/>
    <w:pPr>
      <w:adjustRightInd w:val="0"/>
      <w:spacing w:line="500" w:lineRule="exact"/>
      <w:ind w:firstLine="200" w:firstLineChars="200"/>
      <w:textAlignment w:val="baseline"/>
    </w:pPr>
    <w:rPr>
      <w:rFonts w:ascii="仿宋_GB2312" w:hAnsi="宋体" w:eastAsia="仿宋_GB2312"/>
      <w:color w:val="FF0000"/>
      <w:sz w:val="28"/>
      <w:szCs w:val="28"/>
    </w:rPr>
  </w:style>
  <w:style w:type="paragraph" w:customStyle="1" w:styleId="749">
    <w:name w:val="表格03"/>
    <w:basedOn w:val="1"/>
    <w:qFormat/>
    <w:uiPriority w:val="0"/>
    <w:pPr>
      <w:spacing w:line="400" w:lineRule="exact"/>
      <w:jc w:val="center"/>
    </w:pPr>
    <w:rPr>
      <w:color w:val="000000"/>
      <w:sz w:val="24"/>
    </w:rPr>
  </w:style>
  <w:style w:type="paragraph" w:customStyle="1" w:styleId="750">
    <w:name w:val="xl104"/>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751">
    <w:name w:val="扉页 黑体缩进"/>
    <w:basedOn w:val="1"/>
    <w:qFormat/>
    <w:uiPriority w:val="0"/>
    <w:pPr>
      <w:spacing w:before="240" w:after="240" w:line="480" w:lineRule="exact"/>
      <w:ind w:firstLine="2240" w:firstLineChars="700"/>
      <w:jc w:val="left"/>
    </w:pPr>
    <w:rPr>
      <w:rFonts w:eastAsia="黑体"/>
      <w:sz w:val="32"/>
      <w:szCs w:val="20"/>
    </w:rPr>
  </w:style>
  <w:style w:type="paragraph" w:customStyle="1" w:styleId="752">
    <w:name w:val="xl33"/>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753">
    <w:name w:val="正文首行缩进2字"/>
    <w:basedOn w:val="1"/>
    <w:qFormat/>
    <w:uiPriority w:val="0"/>
    <w:pPr>
      <w:adjustRightInd w:val="0"/>
      <w:snapToGrid w:val="0"/>
      <w:spacing w:line="300" w:lineRule="auto"/>
      <w:ind w:firstLine="563" w:firstLineChars="201"/>
    </w:pPr>
    <w:rPr>
      <w:sz w:val="28"/>
    </w:rPr>
  </w:style>
  <w:style w:type="paragraph" w:customStyle="1" w:styleId="754">
    <w:name w:val="xl82"/>
    <w:basedOn w:val="1"/>
    <w:qFormat/>
    <w:uiPriority w:val="0"/>
    <w:pPr>
      <w:widowControl/>
      <w:pBdr>
        <w:left w:val="single" w:color="auto" w:sz="12" w:space="0"/>
        <w:bottom w:val="single" w:color="auto" w:sz="12" w:space="0"/>
      </w:pBdr>
      <w:spacing w:before="100" w:beforeAutospacing="1" w:after="100" w:afterAutospacing="1"/>
      <w:jc w:val="right"/>
      <w:textAlignment w:val="center"/>
    </w:pPr>
    <w:rPr>
      <w:rFonts w:ascii="Arial Unicode MS" w:hAnsi="Arial Unicode MS"/>
      <w:kern w:val="0"/>
      <w:sz w:val="12"/>
      <w:szCs w:val="12"/>
    </w:rPr>
  </w:style>
  <w:style w:type="paragraph" w:customStyle="1" w:styleId="755">
    <w:name w:val="1"/>
    <w:basedOn w:val="1"/>
    <w:next w:val="3"/>
    <w:qFormat/>
    <w:uiPriority w:val="0"/>
    <w:pPr>
      <w:ind w:firstLine="480" w:firstLineChars="200"/>
    </w:pPr>
    <w:rPr>
      <w:sz w:val="24"/>
    </w:rPr>
  </w:style>
  <w:style w:type="paragraph" w:customStyle="1" w:styleId="756">
    <w:name w:val="样式"/>
    <w:basedOn w:val="1"/>
    <w:next w:val="370"/>
    <w:qFormat/>
    <w:uiPriority w:val="0"/>
    <w:pPr>
      <w:tabs>
        <w:tab w:val="left" w:pos="280"/>
        <w:tab w:val="left" w:pos="620"/>
      </w:tabs>
      <w:adjustRightInd w:val="0"/>
      <w:snapToGrid w:val="0"/>
      <w:spacing w:before="240" w:after="240" w:line="480" w:lineRule="exact"/>
      <w:ind w:left="2098" w:right="392" w:rightChars="140" w:firstLine="454" w:firstLineChars="200"/>
    </w:pPr>
    <w:rPr>
      <w:sz w:val="28"/>
    </w:rPr>
  </w:style>
  <w:style w:type="paragraph" w:customStyle="1" w:styleId="757">
    <w:name w:val="高表标"/>
    <w:basedOn w:val="1"/>
    <w:qFormat/>
    <w:uiPriority w:val="0"/>
    <w:pPr>
      <w:snapToGrid w:val="0"/>
      <w:spacing w:line="300" w:lineRule="auto"/>
      <w:jc w:val="right"/>
    </w:pPr>
    <w:rPr>
      <w:rFonts w:ascii="Arial" w:hAnsi="Arial" w:eastAsia="黑体"/>
      <w:bCs/>
      <w:sz w:val="24"/>
    </w:rPr>
  </w:style>
  <w:style w:type="paragraph" w:customStyle="1" w:styleId="758">
    <w:name w:val="五级条标题"/>
    <w:basedOn w:val="638"/>
    <w:next w:val="1"/>
    <w:qFormat/>
    <w:uiPriority w:val="0"/>
    <w:pPr>
      <w:outlineLvl w:val="6"/>
    </w:pPr>
  </w:style>
  <w:style w:type="paragraph" w:customStyle="1" w:styleId="759">
    <w:name w:val="myformat_content Char"/>
    <w:basedOn w:val="1"/>
    <w:qFormat/>
    <w:uiPriority w:val="0"/>
    <w:pPr>
      <w:spacing w:beforeLines="50" w:afterLines="50" w:line="360" w:lineRule="exact"/>
      <w:ind w:firstLine="480" w:firstLineChars="200"/>
    </w:pPr>
    <w:rPr>
      <w:sz w:val="24"/>
      <w:szCs w:val="20"/>
    </w:rPr>
  </w:style>
  <w:style w:type="paragraph" w:customStyle="1" w:styleId="760">
    <w:name w:val="xl123"/>
    <w:basedOn w:val="1"/>
    <w:qFormat/>
    <w:uiPriority w:val="0"/>
    <w:pPr>
      <w:widowControl/>
      <w:pBdr>
        <w:top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761">
    <w:name w:val="xl149"/>
    <w:basedOn w:val="1"/>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kern w:val="0"/>
    </w:rPr>
  </w:style>
  <w:style w:type="paragraph" w:customStyle="1" w:styleId="762">
    <w:name w:val="表样式3"/>
    <w:basedOn w:val="1"/>
    <w:qFormat/>
    <w:uiPriority w:val="0"/>
    <w:pPr>
      <w:spacing w:beforeLines="50" w:afterLines="50"/>
      <w:jc w:val="center"/>
    </w:pPr>
    <w:rPr>
      <w:rFonts w:ascii="宋体" w:hAnsi="宋体" w:eastAsia="黑体"/>
      <w:color w:val="000000"/>
      <w:szCs w:val="18"/>
    </w:rPr>
  </w:style>
  <w:style w:type="paragraph" w:customStyle="1" w:styleId="763">
    <w:name w:val="word"/>
    <w:basedOn w:val="1"/>
    <w:qFormat/>
    <w:uiPriority w:val="0"/>
    <w:pPr>
      <w:spacing w:line="360" w:lineRule="auto"/>
      <w:ind w:firstLine="480" w:firstLineChars="200"/>
    </w:pPr>
    <w:rPr>
      <w:sz w:val="24"/>
    </w:rPr>
  </w:style>
  <w:style w:type="paragraph" w:customStyle="1" w:styleId="764">
    <w:name w:val="样式 标题 2 + 行距: 1.5 倍行距"/>
    <w:basedOn w:val="8"/>
    <w:qFormat/>
    <w:uiPriority w:val="0"/>
    <w:pPr>
      <w:snapToGrid w:val="0"/>
      <w:spacing w:before="240" w:after="240" w:line="240" w:lineRule="auto"/>
      <w:ind w:left="1134" w:hanging="992"/>
      <w:jc w:val="left"/>
    </w:pPr>
    <w:rPr>
      <w:rFonts w:ascii="Times New Roman" w:hAnsi="Times New Roman" w:cs="宋体"/>
      <w:sz w:val="28"/>
      <w:szCs w:val="20"/>
    </w:rPr>
  </w:style>
  <w:style w:type="paragraph" w:customStyle="1" w:styleId="765">
    <w:name w:val="注"/>
    <w:basedOn w:val="1"/>
    <w:next w:val="1"/>
    <w:qFormat/>
    <w:uiPriority w:val="0"/>
    <w:pPr>
      <w:widowControl/>
      <w:spacing w:before="60" w:after="60" w:line="312" w:lineRule="auto"/>
    </w:pPr>
    <w:rPr>
      <w:rFonts w:eastAsia="黑体"/>
      <w:kern w:val="0"/>
      <w:szCs w:val="20"/>
    </w:rPr>
  </w:style>
  <w:style w:type="paragraph" w:customStyle="1" w:styleId="766">
    <w:name w:val="样式 正文文本 + 左侧:  2 字符 首行缩进:  2 字符"/>
    <w:basedOn w:val="35"/>
    <w:qFormat/>
    <w:uiPriority w:val="0"/>
    <w:pPr>
      <w:widowControl w:val="0"/>
      <w:adjustRightInd w:val="0"/>
      <w:spacing w:before="0" w:after="0" w:line="360" w:lineRule="auto"/>
      <w:ind w:left="480" w:leftChars="200" w:right="0" w:firstLine="480" w:firstLineChars="200"/>
      <w:jc w:val="left"/>
    </w:pPr>
    <w:rPr>
      <w:rFonts w:ascii="Arial" w:hAnsi="Arial" w:cs="宋体"/>
      <w:kern w:val="2"/>
      <w:sz w:val="24"/>
    </w:rPr>
  </w:style>
  <w:style w:type="paragraph" w:customStyle="1" w:styleId="767">
    <w:name w:val="xl31"/>
    <w:basedOn w:val="1"/>
    <w:qFormat/>
    <w:uiPriority w:val="0"/>
    <w:pPr>
      <w:widowControl/>
      <w:spacing w:before="100" w:beforeAutospacing="1" w:after="100" w:afterAutospacing="1"/>
      <w:jc w:val="center"/>
      <w:textAlignment w:val="bottom"/>
    </w:pPr>
    <w:rPr>
      <w:rFonts w:ascii="Arial" w:hAnsi="Arial" w:cs="Arial"/>
      <w:b/>
      <w:bCs/>
      <w:kern w:val="0"/>
      <w:sz w:val="28"/>
      <w:szCs w:val="28"/>
    </w:rPr>
  </w:style>
  <w:style w:type="paragraph" w:customStyle="1" w:styleId="768">
    <w:name w:val="表名称"/>
    <w:semiHidden/>
    <w:qFormat/>
    <w:uiPriority w:val="0"/>
    <w:pPr>
      <w:widowControl w:val="0"/>
      <w:spacing w:before="240" w:line="288" w:lineRule="auto"/>
      <w:jc w:val="both"/>
    </w:pPr>
    <w:rPr>
      <w:rFonts w:ascii="Times New Roman" w:hAnsi="Times New Roman" w:eastAsia="宋体" w:cs="Times New Roman"/>
      <w:kern w:val="2"/>
      <w:sz w:val="24"/>
      <w:szCs w:val="24"/>
      <w:lang w:val="en-US" w:eastAsia="zh-CN" w:bidi="ar-SA"/>
    </w:rPr>
  </w:style>
  <w:style w:type="paragraph" w:customStyle="1" w:styleId="769">
    <w:name w:val="Char Char Char Char Char Char"/>
    <w:basedOn w:val="1"/>
    <w:qFormat/>
    <w:uiPriority w:val="0"/>
    <w:rPr>
      <w:sz w:val="24"/>
    </w:rPr>
  </w:style>
  <w:style w:type="paragraph" w:customStyle="1" w:styleId="770">
    <w:name w:val="标准"/>
    <w:basedOn w:val="1"/>
    <w:qFormat/>
    <w:uiPriority w:val="0"/>
    <w:pPr>
      <w:adjustRightInd w:val="0"/>
      <w:spacing w:line="312" w:lineRule="atLeast"/>
      <w:jc w:val="center"/>
      <w:textAlignment w:val="baseline"/>
    </w:pPr>
    <w:rPr>
      <w:kern w:val="0"/>
      <w:szCs w:val="20"/>
    </w:rPr>
  </w:style>
  <w:style w:type="paragraph" w:customStyle="1" w:styleId="771">
    <w:name w:val="样式 样式 正文 首行缩进:  2 字符 + (中文) 楷体_GB2312 + 宋体 首行缩进:  2 字符 段前: 7.8..."/>
    <w:basedOn w:val="409"/>
    <w:qFormat/>
    <w:uiPriority w:val="0"/>
    <w:rPr>
      <w:rFonts w:eastAsia="宋体"/>
    </w:rPr>
  </w:style>
  <w:style w:type="paragraph" w:customStyle="1" w:styleId="772">
    <w:name w:val="样式 样式 标题 3东明_小节H3条标题1.1.1二级节名h33rd level3l3CTHeading 3 - ... + 段..."/>
    <w:basedOn w:val="644"/>
    <w:qFormat/>
    <w:uiPriority w:val="0"/>
    <w:pPr>
      <w:spacing w:after="156"/>
    </w:pPr>
  </w:style>
  <w:style w:type="paragraph" w:customStyle="1" w:styleId="773">
    <w:name w:val="首行缩进"/>
    <w:basedOn w:val="1"/>
    <w:qFormat/>
    <w:uiPriority w:val="0"/>
    <w:pPr>
      <w:spacing w:line="360" w:lineRule="auto"/>
      <w:ind w:firstLine="480" w:firstLineChars="200"/>
    </w:pPr>
    <w:rPr>
      <w:sz w:val="24"/>
    </w:rPr>
  </w:style>
  <w:style w:type="paragraph" w:customStyle="1" w:styleId="774">
    <w:name w:val="Char Char Char Char Char Char Char Char Char Char Char Char Char Char Char Char"/>
    <w:basedOn w:val="1"/>
    <w:qFormat/>
    <w:uiPriority w:val="0"/>
    <w:rPr>
      <w:rFonts w:cs="宋体"/>
      <w:bCs/>
      <w:color w:val="000000"/>
      <w:szCs w:val="28"/>
    </w:rPr>
  </w:style>
  <w:style w:type="paragraph" w:customStyle="1" w:styleId="775">
    <w:name w:val="修订1"/>
    <w:semiHidden/>
    <w:qFormat/>
    <w:uiPriority w:val="0"/>
    <w:rPr>
      <w:rFonts w:ascii="Times New Roman" w:hAnsi="Times New Roman" w:eastAsia="宋体" w:cs="Times New Roman"/>
      <w:kern w:val="2"/>
      <w:sz w:val="24"/>
      <w:szCs w:val="21"/>
      <w:lang w:val="en-US" w:eastAsia="zh-CN" w:bidi="ar-SA"/>
    </w:rPr>
  </w:style>
  <w:style w:type="paragraph" w:customStyle="1" w:styleId="776">
    <w:name w:val="文本框"/>
    <w:basedOn w:val="1"/>
    <w:qFormat/>
    <w:uiPriority w:val="0"/>
    <w:pPr>
      <w:adjustRightInd w:val="0"/>
      <w:snapToGrid w:val="0"/>
      <w:spacing w:line="300" w:lineRule="exact"/>
      <w:jc w:val="center"/>
    </w:pPr>
    <w:rPr>
      <w:sz w:val="24"/>
    </w:rPr>
  </w:style>
  <w:style w:type="paragraph" w:customStyle="1" w:styleId="777">
    <w:name w:val="xl69"/>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778">
    <w:name w:val="五号表格"/>
    <w:next w:val="1"/>
    <w:qFormat/>
    <w:uiPriority w:val="0"/>
    <w:rPr>
      <w:rFonts w:ascii="宋体" w:hAnsi="Times New Roman" w:eastAsia="宋体" w:cs="Times New Roman"/>
      <w:sz w:val="21"/>
      <w:lang w:val="en-US" w:eastAsia="zh-CN" w:bidi="ar-SA"/>
    </w:rPr>
  </w:style>
  <w:style w:type="paragraph" w:customStyle="1" w:styleId="779">
    <w:name w:val="样式 样式 样式 首行缩进:  2 字符 + 首行缩进:  2 字符 + 首行缩进:  2 字符"/>
    <w:basedOn w:val="1"/>
    <w:qFormat/>
    <w:uiPriority w:val="0"/>
    <w:pPr>
      <w:spacing w:line="360" w:lineRule="auto"/>
      <w:ind w:firstLine="480" w:firstLineChars="200"/>
    </w:pPr>
    <w:rPr>
      <w:rFonts w:eastAsia="仿宋_GB2312"/>
      <w:sz w:val="24"/>
      <w:szCs w:val="20"/>
    </w:rPr>
  </w:style>
  <w:style w:type="paragraph" w:customStyle="1" w:styleId="780">
    <w:name w:val="xl1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781">
    <w:name w:val="xl88"/>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82">
    <w:name w:val="注释"/>
    <w:basedOn w:val="209"/>
    <w:qFormat/>
    <w:uiPriority w:val="0"/>
    <w:pPr>
      <w:ind w:firstLine="420"/>
    </w:pPr>
    <w:rPr>
      <w:sz w:val="21"/>
      <w:szCs w:val="24"/>
    </w:rPr>
  </w:style>
  <w:style w:type="paragraph" w:customStyle="1" w:styleId="783">
    <w:name w:val="xl131"/>
    <w:basedOn w:val="1"/>
    <w:qFormat/>
    <w:uiPriority w:val="0"/>
    <w:pPr>
      <w:widowControl/>
      <w:pBdr>
        <w:left w:val="single" w:color="auto" w:sz="4" w:space="0"/>
        <w:right w:val="single" w:color="auto" w:sz="8" w:space="0"/>
      </w:pBdr>
      <w:spacing w:before="100" w:beforeAutospacing="1" w:after="100" w:afterAutospacing="1"/>
      <w:jc w:val="left"/>
    </w:pPr>
    <w:rPr>
      <w:rFonts w:ascii="Arial Unicode MS" w:hAnsi="Arial Unicode MS"/>
      <w:kern w:val="0"/>
    </w:rPr>
  </w:style>
  <w:style w:type="paragraph" w:customStyle="1" w:styleId="7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5">
    <w:name w:val="xl80"/>
    <w:basedOn w:val="1"/>
    <w:qFormat/>
    <w:uiPriority w:val="0"/>
    <w:pPr>
      <w:widowControl/>
      <w:pBdr>
        <w:left w:val="single" w:color="auto" w:sz="12" w:space="0"/>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86">
    <w:name w:val="样式 标题 2东明_节Chapter HeadingHeading 2 HiddenHeading 2 CCBShea..."/>
    <w:basedOn w:val="8"/>
    <w:qFormat/>
    <w:uiPriority w:val="0"/>
    <w:pPr>
      <w:spacing w:before="0" w:after="0" w:line="360" w:lineRule="auto"/>
    </w:pPr>
    <w:rPr>
      <w:rFonts w:ascii="Times New Roman" w:hAnsi="Times New Roman" w:cs="宋体"/>
      <w:kern w:val="44"/>
      <w:sz w:val="28"/>
      <w:szCs w:val="20"/>
      <w:lang w:val="zh-CN"/>
    </w:rPr>
  </w:style>
  <w:style w:type="paragraph" w:customStyle="1" w:styleId="787">
    <w:name w:val="Char Char Char4 Char Char Char Char Char Char3"/>
    <w:basedOn w:val="1"/>
    <w:qFormat/>
    <w:uiPriority w:val="0"/>
    <w:rPr>
      <w:rFonts w:ascii="宋体" w:hAnsi="宋体" w:cs="宋体"/>
      <w:sz w:val="24"/>
    </w:rPr>
  </w:style>
  <w:style w:type="paragraph" w:customStyle="1" w:styleId="788">
    <w:name w:val="前言、引言标题"/>
    <w:next w:val="1"/>
    <w:qFormat/>
    <w:uiPriority w:val="0"/>
    <w:pPr>
      <w:shd w:val="clear" w:color="FFFFFF" w:fill="FFFFFF"/>
      <w:tabs>
        <w:tab w:val="left" w:pos="903"/>
      </w:tabs>
      <w:spacing w:before="640" w:after="560"/>
      <w:ind w:left="903" w:hanging="315"/>
      <w:jc w:val="center"/>
      <w:outlineLvl w:val="0"/>
    </w:pPr>
    <w:rPr>
      <w:rFonts w:ascii="黑体" w:hAnsi="Times New Roman" w:eastAsia="黑体" w:cs="Times New Roman"/>
      <w:sz w:val="32"/>
      <w:lang w:val="en-US" w:eastAsia="zh-CN" w:bidi="ar-SA"/>
    </w:rPr>
  </w:style>
  <w:style w:type="paragraph" w:customStyle="1" w:styleId="789">
    <w:name w:val="项目编号"/>
    <w:basedOn w:val="1"/>
    <w:next w:val="1"/>
    <w:qFormat/>
    <w:uiPriority w:val="0"/>
    <w:pPr>
      <w:spacing w:before="120" w:after="120" w:line="360" w:lineRule="auto"/>
    </w:pPr>
    <w:rPr>
      <w:sz w:val="24"/>
      <w:szCs w:val="20"/>
    </w:rPr>
  </w:style>
  <w:style w:type="paragraph" w:customStyle="1" w:styleId="790">
    <w:name w:val="xl38"/>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791">
    <w:name w:val="图目"/>
    <w:basedOn w:val="1"/>
    <w:qFormat/>
    <w:uiPriority w:val="0"/>
    <w:pPr>
      <w:snapToGrid w:val="0"/>
      <w:spacing w:before="360" w:after="360" w:line="440" w:lineRule="atLeast"/>
      <w:jc w:val="center"/>
    </w:pPr>
    <w:rPr>
      <w:rFonts w:ascii="黑体" w:hAnsi="Arial" w:eastAsia="黑体"/>
      <w:sz w:val="24"/>
      <w:szCs w:val="20"/>
    </w:rPr>
  </w:style>
  <w:style w:type="paragraph" w:customStyle="1" w:styleId="792">
    <w:name w:val="Char Char Char1 Char Char Char Char Char Char Char Char Char Char"/>
    <w:basedOn w:val="1"/>
    <w:qFormat/>
    <w:uiPriority w:val="0"/>
  </w:style>
  <w:style w:type="paragraph" w:customStyle="1" w:styleId="793">
    <w:name w:val="表居中（中文）"/>
    <w:basedOn w:val="1"/>
    <w:qFormat/>
    <w:uiPriority w:val="0"/>
    <w:pPr>
      <w:adjustRightInd w:val="0"/>
      <w:spacing w:line="380" w:lineRule="atLeast"/>
      <w:jc w:val="center"/>
      <w:textAlignment w:val="baseline"/>
    </w:pPr>
    <w:rPr>
      <w:rFonts w:eastAsia="楷体_GB2312"/>
      <w:kern w:val="0"/>
      <w:sz w:val="24"/>
      <w:szCs w:val="20"/>
    </w:rPr>
  </w:style>
  <w:style w:type="paragraph" w:customStyle="1" w:styleId="794">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795">
    <w:name w:val="样式a"/>
    <w:basedOn w:val="1"/>
    <w:qFormat/>
    <w:uiPriority w:val="0"/>
    <w:pPr>
      <w:adjustRightInd w:val="0"/>
      <w:snapToGrid w:val="0"/>
      <w:spacing w:line="420" w:lineRule="exact"/>
      <w:ind w:firstLine="200" w:firstLineChars="200"/>
      <w:textAlignment w:val="baseline"/>
    </w:pPr>
    <w:rPr>
      <w:kern w:val="0"/>
      <w:sz w:val="24"/>
    </w:rPr>
  </w:style>
  <w:style w:type="paragraph" w:customStyle="1" w:styleId="796">
    <w:name w:val="xl71"/>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797">
    <w:name w:val="xl98"/>
    <w:basedOn w:val="1"/>
    <w:qFormat/>
    <w:uiPriority w:val="0"/>
    <w:pPr>
      <w:widowControl/>
      <w:pBdr>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98">
    <w:name w:val="4"/>
    <w:basedOn w:val="1"/>
    <w:qFormat/>
    <w:uiPriority w:val="0"/>
    <w:rPr>
      <w:sz w:val="28"/>
    </w:rPr>
  </w:style>
  <w:style w:type="paragraph" w:customStyle="1" w:styleId="799">
    <w:name w:val="样式 标题 1章标题 11标题 1H1一、 + 行距: 1.5 倍行距4"/>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800">
    <w:name w:val="样式 列表 2 + 华文仿宋 居中"/>
    <w:basedOn w:val="38"/>
    <w:qFormat/>
    <w:uiPriority w:val="0"/>
    <w:pPr>
      <w:ind w:left="0" w:leftChars="0" w:firstLine="0" w:firstLineChars="0"/>
      <w:jc w:val="center"/>
    </w:pPr>
    <w:rPr>
      <w:rFonts w:ascii="宋体" w:hAnsi="宋体" w:eastAsia="宋体"/>
      <w:snapToGrid/>
      <w:kern w:val="2"/>
      <w:sz w:val="21"/>
      <w:szCs w:val="21"/>
    </w:rPr>
  </w:style>
  <w:style w:type="paragraph" w:customStyle="1" w:styleId="801">
    <w:name w:val="样式 样式 首行缩进:  0.85 厘米 行距: 1.5 倍行距 + 段后: 0.3 行"/>
    <w:basedOn w:val="802"/>
    <w:semiHidden/>
    <w:qFormat/>
    <w:uiPriority w:val="0"/>
  </w:style>
  <w:style w:type="paragraph" w:customStyle="1" w:styleId="802">
    <w:name w:val="样式 首行缩进:  0.85 厘米 行距: 1.5 倍行距"/>
    <w:basedOn w:val="1"/>
    <w:semiHidden/>
    <w:qFormat/>
    <w:uiPriority w:val="0"/>
    <w:pPr>
      <w:snapToGrid w:val="0"/>
      <w:spacing w:beforeLines="50" w:line="360" w:lineRule="auto"/>
      <w:ind w:firstLine="480" w:firstLineChars="200"/>
    </w:pPr>
    <w:rPr>
      <w:sz w:val="24"/>
      <w:szCs w:val="20"/>
    </w:rPr>
  </w:style>
  <w:style w:type="paragraph" w:customStyle="1" w:styleId="803">
    <w:name w:val="正文首行缩进2"/>
    <w:basedOn w:val="1"/>
    <w:qFormat/>
    <w:uiPriority w:val="0"/>
    <w:pPr>
      <w:snapToGrid w:val="0"/>
      <w:spacing w:line="500" w:lineRule="exact"/>
      <w:ind w:firstLine="480" w:firstLineChars="200"/>
    </w:pPr>
    <w:rPr>
      <w:sz w:val="18"/>
      <w:szCs w:val="20"/>
    </w:rPr>
  </w:style>
  <w:style w:type="paragraph" w:customStyle="1" w:styleId="804">
    <w:name w:val="font6"/>
    <w:basedOn w:val="1"/>
    <w:qFormat/>
    <w:uiPriority w:val="0"/>
    <w:pPr>
      <w:widowControl/>
      <w:spacing w:before="100" w:beforeAutospacing="1" w:after="100" w:afterAutospacing="1"/>
      <w:jc w:val="left"/>
    </w:pPr>
    <w:rPr>
      <w:rFonts w:ascii="宋体" w:hAnsi="宋体"/>
      <w:b/>
      <w:bCs/>
      <w:kern w:val="0"/>
      <w:sz w:val="24"/>
    </w:rPr>
  </w:style>
  <w:style w:type="paragraph" w:customStyle="1" w:styleId="805">
    <w:name w:val="p6"/>
    <w:basedOn w:val="1"/>
    <w:qFormat/>
    <w:uiPriority w:val="0"/>
    <w:pPr>
      <w:tabs>
        <w:tab w:val="left" w:pos="4720"/>
      </w:tabs>
      <w:spacing w:line="240" w:lineRule="atLeast"/>
      <w:ind w:left="3280"/>
      <w:jc w:val="left"/>
    </w:pPr>
    <w:rPr>
      <w:rFonts w:ascii="Arial" w:hAnsi="Arial"/>
      <w:snapToGrid w:val="0"/>
      <w:kern w:val="0"/>
      <w:sz w:val="24"/>
      <w:szCs w:val="20"/>
      <w:lang w:eastAsia="en-US"/>
    </w:rPr>
  </w:style>
  <w:style w:type="paragraph" w:customStyle="1" w:styleId="806">
    <w:name w:val="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07">
    <w:name w:val="font11"/>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808">
    <w:name w:val="样式 上标 Char"/>
    <w:basedOn w:val="683"/>
    <w:next w:val="683"/>
    <w:qFormat/>
    <w:uiPriority w:val="0"/>
    <w:pPr>
      <w:spacing w:before="0" w:after="0" w:line="320" w:lineRule="exact"/>
      <w:ind w:firstLine="200"/>
    </w:pPr>
    <w:rPr>
      <w:caps/>
      <w:szCs w:val="36"/>
    </w:rPr>
  </w:style>
  <w:style w:type="paragraph" w:customStyle="1" w:styleId="809">
    <w:name w:val="样式 样式 首行缩进:  2 字符 + 首行缩进:  2 字符2"/>
    <w:basedOn w:val="1"/>
    <w:qFormat/>
    <w:uiPriority w:val="0"/>
    <w:pPr>
      <w:spacing w:line="440" w:lineRule="exact"/>
      <w:ind w:firstLine="584" w:firstLineChars="200"/>
    </w:pPr>
    <w:rPr>
      <w:rFonts w:eastAsia="楷体_GB2312" w:cs="宋体"/>
      <w:spacing w:val="6"/>
      <w:kern w:val="0"/>
      <w:sz w:val="28"/>
      <w:szCs w:val="20"/>
    </w:rPr>
  </w:style>
  <w:style w:type="paragraph" w:customStyle="1" w:styleId="810">
    <w:name w:val="xl22"/>
    <w:basedOn w:val="1"/>
    <w:qFormat/>
    <w:uiPriority w:val="0"/>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811">
    <w:name w:val="正文缩进3"/>
    <w:basedOn w:val="1"/>
    <w:qFormat/>
    <w:uiPriority w:val="0"/>
    <w:pPr>
      <w:adjustRightInd w:val="0"/>
      <w:ind w:firstLine="420" w:firstLineChars="200"/>
      <w:textAlignment w:val="baseline"/>
    </w:pPr>
    <w:rPr>
      <w:rFonts w:hint="eastAsia" w:hAnsi="宋体"/>
      <w:sz w:val="24"/>
      <w:szCs w:val="20"/>
    </w:rPr>
  </w:style>
  <w:style w:type="paragraph" w:customStyle="1" w:styleId="812">
    <w:name w:val="样式 标题 2 + 首行缩进:  2.5 字符"/>
    <w:basedOn w:val="8"/>
    <w:qFormat/>
    <w:uiPriority w:val="0"/>
    <w:pPr>
      <w:keepNext w:val="0"/>
      <w:keepLines w:val="0"/>
      <w:tabs>
        <w:tab w:val="left" w:pos="840"/>
      </w:tabs>
      <w:spacing w:before="0" w:after="0" w:line="240" w:lineRule="auto"/>
      <w:ind w:left="840" w:hanging="420"/>
    </w:pPr>
    <w:rPr>
      <w:rFonts w:ascii="Times New Roman" w:hAnsi="Times New Roman" w:eastAsia="楷体_GB2312" w:cs="宋体"/>
      <w:b w:val="0"/>
      <w:bCs w:val="0"/>
      <w:kern w:val="0"/>
      <w:sz w:val="28"/>
      <w:szCs w:val="20"/>
    </w:rPr>
  </w:style>
  <w:style w:type="paragraph" w:customStyle="1" w:styleId="813">
    <w:name w:val="xl132"/>
    <w:basedOn w:val="1"/>
    <w:qFormat/>
    <w:uiPriority w:val="0"/>
    <w:pPr>
      <w:widowControl/>
      <w:pBdr>
        <w:top w:val="single" w:color="auto" w:sz="12" w:space="0"/>
        <w:lef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814">
    <w:name w:val="xl66"/>
    <w:basedOn w:val="1"/>
    <w:qFormat/>
    <w:uiPriority w:val="0"/>
    <w:pPr>
      <w:widowControl/>
      <w:spacing w:before="100" w:beforeAutospacing="1" w:after="100" w:afterAutospacing="1"/>
      <w:jc w:val="center"/>
      <w:textAlignment w:val="bottom"/>
    </w:pPr>
    <w:rPr>
      <w:rFonts w:ascii="宋体" w:hAnsi="宋体"/>
      <w:b/>
      <w:bCs/>
      <w:color w:val="0000FF"/>
      <w:kern w:val="0"/>
      <w:sz w:val="22"/>
      <w:szCs w:val="22"/>
    </w:rPr>
  </w:style>
  <w:style w:type="paragraph" w:customStyle="1" w:styleId="815">
    <w:name w:val="dandan6-13正文 Char Char Char Char Char Char"/>
    <w:basedOn w:val="1"/>
    <w:next w:val="1"/>
    <w:qFormat/>
    <w:uiPriority w:val="0"/>
    <w:pPr>
      <w:keepNext/>
      <w:keepLines/>
      <w:widowControl/>
      <w:adjustRightInd w:val="0"/>
      <w:spacing w:before="40" w:after="40" w:line="360" w:lineRule="auto"/>
      <w:ind w:firstLine="200" w:firstLineChars="200"/>
      <w:textAlignment w:val="baseline"/>
    </w:pPr>
    <w:rPr>
      <w:szCs w:val="20"/>
    </w:rPr>
  </w:style>
  <w:style w:type="paragraph" w:customStyle="1" w:styleId="816">
    <w:name w:val="xl120"/>
    <w:basedOn w:val="1"/>
    <w:qFormat/>
    <w:uiPriority w:val="0"/>
    <w:pPr>
      <w:widowControl/>
      <w:spacing w:before="100" w:beforeAutospacing="1" w:after="100" w:afterAutospacing="1"/>
      <w:jc w:val="left"/>
      <w:textAlignment w:val="center"/>
    </w:pPr>
    <w:rPr>
      <w:rFonts w:ascii="Arial Unicode MS" w:hAnsi="Arial Unicode MS"/>
      <w:kern w:val="0"/>
      <w:sz w:val="12"/>
      <w:szCs w:val="12"/>
    </w:rPr>
  </w:style>
  <w:style w:type="paragraph" w:customStyle="1" w:styleId="817">
    <w:name w:val="xl105"/>
    <w:basedOn w:val="1"/>
    <w:qFormat/>
    <w:uiPriority w:val="0"/>
    <w:pPr>
      <w:widowControl/>
      <w:spacing w:before="100" w:beforeAutospacing="1" w:after="100" w:afterAutospacing="1"/>
      <w:jc w:val="center"/>
      <w:textAlignment w:val="center"/>
    </w:pPr>
    <w:rPr>
      <w:rFonts w:ascii="Arial Unicode MS" w:hAnsi="Arial Unicode MS"/>
      <w:kern w:val="0"/>
    </w:rPr>
  </w:style>
  <w:style w:type="paragraph" w:customStyle="1" w:styleId="818">
    <w:name w:val="目录3"/>
    <w:basedOn w:val="1"/>
    <w:qFormat/>
    <w:uiPriority w:val="0"/>
    <w:pPr>
      <w:tabs>
        <w:tab w:val="right" w:leader="dot" w:pos="8112"/>
        <w:tab w:val="right" w:leader="dot" w:pos="8160"/>
        <w:tab w:val="right" w:leader="dot" w:pos="8280"/>
      </w:tabs>
      <w:spacing w:line="480" w:lineRule="exact"/>
      <w:ind w:left="1134"/>
      <w:jc w:val="left"/>
    </w:pPr>
    <w:rPr>
      <w:bCs/>
      <w:sz w:val="28"/>
      <w:szCs w:val="20"/>
    </w:rPr>
  </w:style>
  <w:style w:type="paragraph" w:customStyle="1" w:styleId="819">
    <w:name w:val="xl28"/>
    <w:basedOn w:val="1"/>
    <w:qFormat/>
    <w:uiPriority w:val="0"/>
    <w:pPr>
      <w:widowControl/>
      <w:spacing w:before="100" w:beforeAutospacing="1" w:after="100" w:afterAutospacing="1"/>
      <w:jc w:val="center"/>
      <w:textAlignment w:val="bottom"/>
    </w:pPr>
    <w:rPr>
      <w:rFonts w:ascii="Arial" w:hAnsi="Arial" w:cs="Arial"/>
      <w:b/>
      <w:bCs/>
      <w:kern w:val="0"/>
      <w:sz w:val="24"/>
    </w:rPr>
  </w:style>
  <w:style w:type="paragraph" w:customStyle="1" w:styleId="820">
    <w:name w:val="样式 段前: 3 磅 段后: 3 磅"/>
    <w:basedOn w:val="1"/>
    <w:qFormat/>
    <w:uiPriority w:val="0"/>
    <w:pPr>
      <w:adjustRightInd w:val="0"/>
      <w:snapToGrid w:val="0"/>
      <w:spacing w:line="360" w:lineRule="auto"/>
      <w:ind w:firstLine="480" w:firstLineChars="200"/>
    </w:pPr>
    <w:rPr>
      <w:rFonts w:ascii="宋体" w:hAnsi="宋体" w:cs="宋体"/>
      <w:snapToGrid w:val="0"/>
      <w:color w:val="000000"/>
      <w:kern w:val="0"/>
      <w:sz w:val="24"/>
    </w:rPr>
  </w:style>
  <w:style w:type="paragraph" w:customStyle="1" w:styleId="821">
    <w:name w:val="xl15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822">
    <w:name w:val="Char Char Char Char4"/>
    <w:basedOn w:val="1"/>
    <w:qFormat/>
    <w:uiPriority w:val="0"/>
    <w:pPr>
      <w:snapToGrid w:val="0"/>
      <w:ind w:firstLine="200" w:firstLineChars="200"/>
    </w:pPr>
  </w:style>
  <w:style w:type="paragraph" w:customStyle="1" w:styleId="823">
    <w:name w:val="p0"/>
    <w:basedOn w:val="1"/>
    <w:qFormat/>
    <w:uiPriority w:val="0"/>
    <w:pPr>
      <w:widowControl/>
    </w:pPr>
    <w:rPr>
      <w:kern w:val="0"/>
    </w:rPr>
  </w:style>
  <w:style w:type="paragraph" w:customStyle="1" w:styleId="824">
    <w:name w:val="xl166"/>
    <w:basedOn w:val="1"/>
    <w:qFormat/>
    <w:uiPriority w:val="0"/>
    <w:pPr>
      <w:widowControl/>
      <w:pBdr>
        <w:left w:val="single" w:color="auto" w:sz="12" w:space="0"/>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825">
    <w:name w:val="xl4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rPr>
  </w:style>
  <w:style w:type="paragraph" w:customStyle="1" w:styleId="826">
    <w:name w:val="xl25"/>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827">
    <w:name w:val="正文可研"/>
    <w:basedOn w:val="1"/>
    <w:qFormat/>
    <w:uiPriority w:val="0"/>
    <w:pPr>
      <w:autoSpaceDE w:val="0"/>
      <w:autoSpaceDN w:val="0"/>
      <w:adjustRightInd w:val="0"/>
      <w:spacing w:line="360" w:lineRule="auto"/>
      <w:ind w:firstLine="480" w:firstLineChars="200"/>
      <w:textAlignment w:val="baseline"/>
    </w:pPr>
    <w:rPr>
      <w:rFonts w:ascii="宋体" w:hAnsi="Tms Rmn" w:cs="宋体"/>
      <w:kern w:val="0"/>
      <w:sz w:val="24"/>
      <w:szCs w:val="20"/>
    </w:rPr>
  </w:style>
  <w:style w:type="paragraph" w:customStyle="1" w:styleId="828">
    <w:name w:val="正文样式3"/>
    <w:basedOn w:val="1"/>
    <w:qFormat/>
    <w:uiPriority w:val="0"/>
    <w:pPr>
      <w:keepLines/>
      <w:adjustRightInd w:val="0"/>
      <w:spacing w:line="20" w:lineRule="atLeast"/>
      <w:ind w:firstLine="200" w:firstLineChars="200"/>
      <w:jc w:val="center"/>
      <w:textAlignment w:val="baseline"/>
    </w:pPr>
    <w:rPr>
      <w:rFonts w:eastAsia="仿宋_GB2312"/>
      <w:kern w:val="0"/>
      <w:sz w:val="24"/>
      <w:szCs w:val="20"/>
    </w:rPr>
  </w:style>
  <w:style w:type="paragraph" w:customStyle="1" w:styleId="829">
    <w:name w:val="Date1"/>
    <w:basedOn w:val="1"/>
    <w:next w:val="1"/>
    <w:qFormat/>
    <w:uiPriority w:val="0"/>
    <w:pPr>
      <w:adjustRightInd w:val="0"/>
      <w:textAlignment w:val="baseline"/>
    </w:pPr>
  </w:style>
  <w:style w:type="paragraph" w:customStyle="1" w:styleId="830">
    <w:name w:val="表格中"/>
    <w:basedOn w:val="1"/>
    <w:qFormat/>
    <w:uiPriority w:val="0"/>
    <w:rPr>
      <w:rFonts w:ascii="宋体"/>
    </w:rPr>
  </w:style>
  <w:style w:type="paragraph" w:customStyle="1" w:styleId="831">
    <w:name w:val="Char31"/>
    <w:basedOn w:val="1"/>
    <w:qFormat/>
    <w:uiPriority w:val="0"/>
    <w:pPr>
      <w:spacing w:line="360" w:lineRule="auto"/>
      <w:ind w:firstLine="200" w:firstLineChars="200"/>
    </w:pPr>
    <w:rPr>
      <w:rFonts w:ascii="宋体" w:hAnsi="宋体" w:cs="宋体"/>
      <w:sz w:val="24"/>
    </w:rPr>
  </w:style>
  <w:style w:type="paragraph" w:customStyle="1" w:styleId="832">
    <w:name w:val="式中："/>
    <w:basedOn w:val="284"/>
    <w:qFormat/>
    <w:uiPriority w:val="0"/>
    <w:pPr>
      <w:spacing w:after="0"/>
      <w:ind w:left="500" w:leftChars="500" w:firstLine="0" w:firstLineChars="0"/>
      <w:jc w:val="left"/>
    </w:pPr>
  </w:style>
  <w:style w:type="paragraph" w:customStyle="1" w:styleId="833">
    <w:name w:val="xl161"/>
    <w:basedOn w:val="1"/>
    <w:qFormat/>
    <w:uiPriority w:val="0"/>
    <w:pPr>
      <w:widowControl/>
      <w:spacing w:before="100" w:beforeAutospacing="1" w:after="100" w:afterAutospacing="1"/>
      <w:jc w:val="center"/>
      <w:textAlignment w:val="center"/>
    </w:pPr>
    <w:rPr>
      <w:rFonts w:ascii="Arial Unicode MS" w:hAnsi="Arial Unicode MS"/>
      <w:kern w:val="0"/>
    </w:rPr>
  </w:style>
  <w:style w:type="paragraph" w:customStyle="1" w:styleId="834">
    <w:name w:val="defaultfont"/>
    <w:basedOn w:val="1"/>
    <w:qFormat/>
    <w:uiPriority w:val="0"/>
    <w:pPr>
      <w:widowControl/>
      <w:spacing w:before="100" w:beforeAutospacing="1" w:after="100" w:afterAutospacing="1"/>
      <w:jc w:val="left"/>
    </w:pPr>
    <w:rPr>
      <w:rFonts w:ascii="宋体" w:hAnsi="宋体" w:cs="宋体"/>
      <w:kern w:val="0"/>
      <w:sz w:val="24"/>
    </w:rPr>
  </w:style>
  <w:style w:type="paragraph" w:customStyle="1" w:styleId="835">
    <w:name w:val="普通文字 Char Char"/>
    <w:basedOn w:val="1"/>
    <w:next w:val="80"/>
    <w:qFormat/>
    <w:uiPriority w:val="0"/>
    <w:rPr>
      <w:sz w:val="24"/>
    </w:rPr>
  </w:style>
  <w:style w:type="paragraph" w:customStyle="1" w:styleId="836">
    <w:name w:val="xl44"/>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837">
    <w:name w:val="xl142"/>
    <w:basedOn w:val="1"/>
    <w:qFormat/>
    <w:uiPriority w:val="0"/>
    <w:pPr>
      <w:widowControl/>
      <w:pBdr>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838">
    <w:name w:val="_Style 1"/>
    <w:basedOn w:val="1"/>
    <w:next w:val="12"/>
    <w:qFormat/>
    <w:uiPriority w:val="0"/>
    <w:pPr>
      <w:adjustRightInd w:val="0"/>
      <w:spacing w:line="288" w:lineRule="auto"/>
      <w:ind w:firstLine="480"/>
      <w:textAlignment w:val="baseline"/>
    </w:pPr>
    <w:rPr>
      <w:rFonts w:ascii="宋体" w:hAnsi="宋体" w:cs="宋体"/>
      <w:sz w:val="24"/>
    </w:rPr>
  </w:style>
  <w:style w:type="paragraph" w:customStyle="1" w:styleId="839">
    <w:name w:val="xl56"/>
    <w:basedOn w:val="1"/>
    <w:qFormat/>
    <w:uiPriority w:val="0"/>
    <w:pPr>
      <w:widowControl/>
      <w:spacing w:before="100" w:beforeAutospacing="1" w:after="100" w:afterAutospacing="1"/>
      <w:jc w:val="right"/>
    </w:pPr>
    <w:rPr>
      <w:rFonts w:ascii="Arial" w:hAnsi="Arial" w:cs="Arial"/>
      <w:b/>
      <w:bCs/>
      <w:i/>
      <w:iCs/>
      <w:kern w:val="0"/>
      <w:sz w:val="22"/>
      <w:szCs w:val="22"/>
    </w:rPr>
  </w:style>
  <w:style w:type="paragraph" w:customStyle="1" w:styleId="840">
    <w:name w:val="样式 样式 左侧:  2 字符 + 首行缩进:  2 字符 Char"/>
    <w:basedOn w:val="1"/>
    <w:qFormat/>
    <w:uiPriority w:val="0"/>
    <w:pPr>
      <w:tabs>
        <w:tab w:val="left" w:pos="540"/>
      </w:tabs>
      <w:spacing w:line="360" w:lineRule="auto"/>
      <w:ind w:firstLine="478" w:firstLineChars="199"/>
    </w:pPr>
    <w:rPr>
      <w:rFonts w:ascii="宋体" w:hAnsi="宋体"/>
      <w:bCs/>
      <w:sz w:val="24"/>
    </w:rPr>
  </w:style>
  <w:style w:type="paragraph" w:customStyle="1" w:styleId="841">
    <w:name w:val="样式 标题 2 + 左侧:  0厘米 首行缩进:  0 厘米 右侧:  1 字符"/>
    <w:basedOn w:val="8"/>
    <w:qFormat/>
    <w:uiPriority w:val="0"/>
    <w:pPr>
      <w:keepNext w:val="0"/>
      <w:keepLines w:val="0"/>
      <w:tabs>
        <w:tab w:val="left" w:pos="280"/>
        <w:tab w:val="left" w:pos="1400"/>
      </w:tabs>
      <w:adjustRightInd w:val="0"/>
      <w:snapToGrid w:val="0"/>
      <w:spacing w:before="50" w:after="240" w:line="480" w:lineRule="exact"/>
      <w:ind w:left="1233" w:right="280" w:rightChars="100" w:firstLine="567"/>
      <w:jc w:val="left"/>
    </w:pPr>
    <w:rPr>
      <w:rFonts w:ascii="Times New Roman" w:hAnsi="Times New Roman" w:eastAsia="宋体"/>
      <w:b w:val="0"/>
      <w:bCs w:val="0"/>
      <w:sz w:val="28"/>
      <w:szCs w:val="20"/>
    </w:rPr>
  </w:style>
  <w:style w:type="paragraph" w:customStyle="1" w:styleId="842">
    <w:name w:val="表格（大）"/>
    <w:basedOn w:val="1"/>
    <w:qFormat/>
    <w:uiPriority w:val="0"/>
    <w:pPr>
      <w:jc w:val="center"/>
    </w:pPr>
    <w:rPr>
      <w:rFonts w:ascii="仿宋_GB2312" w:eastAsia="仿宋_GB2312"/>
      <w:color w:val="000000"/>
      <w:sz w:val="24"/>
      <w:szCs w:val="20"/>
    </w:rPr>
  </w:style>
  <w:style w:type="paragraph" w:customStyle="1" w:styleId="843">
    <w:name w:val="表格注释"/>
    <w:basedOn w:val="1"/>
    <w:next w:val="683"/>
    <w:qFormat/>
    <w:uiPriority w:val="0"/>
    <w:pPr>
      <w:spacing w:before="240" w:after="240" w:line="480" w:lineRule="exact"/>
      <w:jc w:val="center"/>
    </w:pPr>
    <w:rPr>
      <w:sz w:val="24"/>
      <w:szCs w:val="20"/>
    </w:rPr>
  </w:style>
  <w:style w:type="paragraph" w:customStyle="1" w:styleId="844">
    <w:name w:val="标题16.1.1.1"/>
    <w:basedOn w:val="10"/>
    <w:qFormat/>
    <w:uiPriority w:val="0"/>
    <w:pPr>
      <w:tabs>
        <w:tab w:val="left" w:pos="360"/>
      </w:tabs>
      <w:spacing w:before="120" w:after="120" w:line="312" w:lineRule="auto"/>
      <w:ind w:left="864" w:hanging="864"/>
      <w:contextualSpacing/>
    </w:pPr>
    <w:rPr>
      <w:rFonts w:ascii="Arial" w:hAnsi="Arial" w:eastAsia="黑体"/>
      <w:sz w:val="21"/>
      <w:szCs w:val="24"/>
    </w:rPr>
  </w:style>
  <w:style w:type="paragraph" w:customStyle="1" w:styleId="845">
    <w:name w:val="xl151"/>
    <w:basedOn w:val="1"/>
    <w:qFormat/>
    <w:uiPriority w:val="0"/>
    <w:pPr>
      <w:widowControl/>
      <w:spacing w:before="100" w:beforeAutospacing="1" w:after="100" w:afterAutospacing="1"/>
      <w:jc w:val="left"/>
    </w:pPr>
    <w:rPr>
      <w:kern w:val="0"/>
      <w:sz w:val="16"/>
      <w:szCs w:val="16"/>
    </w:rPr>
  </w:style>
  <w:style w:type="paragraph" w:customStyle="1" w:styleId="846">
    <w:name w:val="样式 表格正文样式A-MHZ-居中定表长格文本 + 五号"/>
    <w:basedOn w:val="1"/>
    <w:qFormat/>
    <w:uiPriority w:val="0"/>
    <w:pPr>
      <w:spacing w:line="360" w:lineRule="auto"/>
      <w:jc w:val="center"/>
    </w:pPr>
    <w:rPr>
      <w:rFonts w:cs="宋体"/>
      <w:kern w:val="24"/>
      <w:sz w:val="24"/>
    </w:rPr>
  </w:style>
  <w:style w:type="paragraph" w:customStyle="1" w:styleId="847">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848">
    <w:name w:val="注："/>
    <w:next w:val="1"/>
    <w:qFormat/>
    <w:uiPriority w:val="0"/>
    <w:pPr>
      <w:spacing w:line="300" w:lineRule="exact"/>
    </w:pPr>
    <w:rPr>
      <w:rFonts w:ascii="Times New Roman" w:hAnsi="Times New Roman" w:eastAsia="宋体" w:cs="宋体"/>
      <w:bCs/>
      <w:kern w:val="2"/>
      <w:sz w:val="18"/>
      <w:lang w:val="en-US" w:eastAsia="zh-CN" w:bidi="ar-SA"/>
    </w:rPr>
  </w:style>
  <w:style w:type="paragraph" w:customStyle="1" w:styleId="849">
    <w:name w:val="xl167"/>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850">
    <w:name w:val="正文表标题"/>
    <w:next w:val="1"/>
    <w:qFormat/>
    <w:uiPriority w:val="0"/>
    <w:pPr>
      <w:numPr>
        <w:ilvl w:val="0"/>
        <w:numId w:val="8"/>
      </w:numPr>
      <w:spacing w:beforeLines="50" w:afterLines="50"/>
      <w:jc w:val="center"/>
    </w:pPr>
    <w:rPr>
      <w:rFonts w:ascii="黑体" w:hAnsi="Times New Roman" w:eastAsia="黑体" w:cs="Times New Roman"/>
      <w:sz w:val="21"/>
      <w:lang w:val="en-US" w:eastAsia="zh-CN" w:bidi="ar-SA"/>
    </w:rPr>
  </w:style>
  <w:style w:type="paragraph" w:customStyle="1" w:styleId="851">
    <w:name w:val="样式 样式 标题 4 + 宋体 行距: 1.5 倍行距 + 段前: 0.5 行"/>
    <w:basedOn w:val="632"/>
    <w:qFormat/>
    <w:uiPriority w:val="0"/>
    <w:pPr>
      <w:snapToGrid/>
      <w:spacing w:beforeLines="0"/>
      <w:ind w:left="1984" w:hanging="1984"/>
      <w:jc w:val="both"/>
    </w:pPr>
    <w:rPr>
      <w:rFonts w:ascii="Times New Roman" w:eastAsia="黑体" w:cs="Times New Roman"/>
    </w:rPr>
  </w:style>
  <w:style w:type="paragraph" w:customStyle="1" w:styleId="852">
    <w:name w:val="小四表文左齐"/>
    <w:basedOn w:val="1"/>
    <w:qFormat/>
    <w:uiPriority w:val="0"/>
    <w:pPr>
      <w:jc w:val="center"/>
    </w:pPr>
    <w:rPr>
      <w:rFonts w:ascii="仿宋_GB2312" w:hAnsi="宋体" w:eastAsia="仿宋_GB2312"/>
    </w:rPr>
  </w:style>
  <w:style w:type="paragraph" w:customStyle="1" w:styleId="853">
    <w:name w:val="TOC 标题2"/>
    <w:basedOn w:val="7"/>
    <w:next w:val="1"/>
    <w:unhideWhenUsed/>
    <w:qFormat/>
    <w:uiPriority w:val="39"/>
    <w:pPr>
      <w:keepLines/>
      <w:widowControl/>
      <w:overflowPunct/>
      <w:snapToGrid/>
      <w:spacing w:before="240" w:after="0"/>
      <w:ind w:left="0" w:firstLine="0"/>
      <w:jc w:val="left"/>
      <w:outlineLvl w:val="9"/>
    </w:pPr>
    <w:rPr>
      <w:rFonts w:ascii="Cambria" w:hAnsi="Cambria" w:eastAsia="宋体"/>
      <w:b w:val="0"/>
      <w:bCs w:val="0"/>
      <w:color w:val="365F91"/>
      <w:kern w:val="0"/>
      <w:sz w:val="32"/>
      <w:szCs w:val="32"/>
    </w:rPr>
  </w:style>
  <w:style w:type="paragraph" w:customStyle="1" w:styleId="854">
    <w:name w:val="项目段落"/>
    <w:basedOn w:val="1"/>
    <w:qFormat/>
    <w:uiPriority w:val="0"/>
    <w:pPr>
      <w:spacing w:before="60" w:line="360" w:lineRule="auto"/>
      <w:ind w:left="476" w:firstLine="482"/>
    </w:pPr>
    <w:rPr>
      <w:rFonts w:ascii="Arial" w:hAnsi="Arial" w:eastAsia="仿宋_GB2312"/>
      <w:kern w:val="0"/>
      <w:sz w:val="24"/>
      <w:szCs w:val="20"/>
    </w:rPr>
  </w:style>
  <w:style w:type="paragraph" w:customStyle="1" w:styleId="855">
    <w:name w:val="Char Char Char Char Char Char Char Char Char1 Char Char Char Char Char Char Char Char1 Char Char Char"/>
    <w:basedOn w:val="1"/>
    <w:qFormat/>
    <w:uiPriority w:val="0"/>
    <w:pPr>
      <w:snapToGrid w:val="0"/>
      <w:spacing w:line="360" w:lineRule="auto"/>
      <w:ind w:firstLine="200" w:firstLineChars="200"/>
    </w:pPr>
    <w:rPr>
      <w:rFonts w:eastAsia="仿宋_GB2312"/>
      <w:sz w:val="24"/>
    </w:rPr>
  </w:style>
  <w:style w:type="paragraph" w:customStyle="1" w:styleId="856">
    <w:name w:val="默认段落字体 Para Char Char Char1 Char Char"/>
    <w:basedOn w:val="1"/>
    <w:qFormat/>
    <w:uiPriority w:val="0"/>
    <w:rPr>
      <w:sz w:val="24"/>
    </w:rPr>
  </w:style>
  <w:style w:type="paragraph" w:customStyle="1" w:styleId="857">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58">
    <w:name w:val="xl48"/>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859">
    <w:name w:val="1正文段落"/>
    <w:basedOn w:val="1"/>
    <w:qFormat/>
    <w:uiPriority w:val="0"/>
    <w:pPr>
      <w:spacing w:line="360" w:lineRule="auto"/>
      <w:ind w:firstLine="480" w:firstLineChars="200"/>
      <w:jc w:val="left"/>
    </w:pPr>
    <w:rPr>
      <w:snapToGrid w:val="0"/>
      <w:kern w:val="0"/>
      <w:sz w:val="24"/>
    </w:rPr>
  </w:style>
  <w:style w:type="paragraph" w:customStyle="1" w:styleId="860">
    <w:name w:val="五号字表格"/>
    <w:basedOn w:val="726"/>
    <w:qFormat/>
    <w:uiPriority w:val="0"/>
    <w:pPr>
      <w:adjustRightInd w:val="0"/>
      <w:textAlignment w:val="baseline"/>
    </w:pPr>
    <w:rPr>
      <w:rFonts w:ascii="宋体"/>
      <w:kern w:val="0"/>
      <w:szCs w:val="20"/>
    </w:rPr>
  </w:style>
  <w:style w:type="paragraph" w:customStyle="1" w:styleId="861">
    <w:name w:val="样式 首行缩进:  2 字符"/>
    <w:basedOn w:val="1"/>
    <w:qFormat/>
    <w:uiPriority w:val="0"/>
    <w:pPr>
      <w:snapToGrid w:val="0"/>
      <w:spacing w:line="500" w:lineRule="exact"/>
      <w:ind w:firstLine="480" w:firstLineChars="200"/>
      <w:jc w:val="left"/>
    </w:pPr>
    <w:rPr>
      <w:rFonts w:cs="宋体"/>
      <w:sz w:val="24"/>
      <w:szCs w:val="20"/>
    </w:rPr>
  </w:style>
  <w:style w:type="paragraph" w:customStyle="1" w:styleId="862">
    <w:name w:val="标题6"/>
    <w:basedOn w:val="1"/>
    <w:next w:val="84"/>
    <w:qFormat/>
    <w:uiPriority w:val="0"/>
    <w:pPr>
      <w:keepNext/>
      <w:spacing w:line="360" w:lineRule="auto"/>
      <w:ind w:firstLine="567"/>
      <w:jc w:val="left"/>
      <w:outlineLvl w:val="5"/>
    </w:pPr>
    <w:rPr>
      <w:sz w:val="28"/>
    </w:rPr>
  </w:style>
  <w:style w:type="paragraph" w:customStyle="1" w:styleId="863">
    <w:name w:val="图标题"/>
    <w:basedOn w:val="422"/>
    <w:qFormat/>
    <w:uiPriority w:val="0"/>
    <w:pPr>
      <w:adjustRightInd/>
      <w:snapToGrid/>
      <w:spacing w:before="0" w:after="0" w:line="300" w:lineRule="exact"/>
      <w:jc w:val="both"/>
    </w:pPr>
    <w:rPr>
      <w:rFonts w:ascii="仿宋_GB2312" w:eastAsia="仿宋_GB2312"/>
      <w:kern w:val="0"/>
      <w:szCs w:val="24"/>
    </w:rPr>
  </w:style>
  <w:style w:type="paragraph" w:customStyle="1" w:styleId="864">
    <w:name w:val="1条目"/>
    <w:basedOn w:val="741"/>
    <w:qFormat/>
    <w:uiPriority w:val="0"/>
    <w:pPr>
      <w:ind w:left="851"/>
    </w:pPr>
    <w:rPr>
      <w:rFonts w:ascii="宋体" w:hAnsi="宋体"/>
      <w:b/>
      <w:sz w:val="30"/>
      <w:szCs w:val="30"/>
    </w:rPr>
  </w:style>
  <w:style w:type="paragraph" w:customStyle="1" w:styleId="865">
    <w:name w:val="源程序"/>
    <w:qFormat/>
    <w:uiPriority w:val="0"/>
    <w:pPr>
      <w:widowControl w:val="0"/>
      <w:kinsoku w:val="0"/>
      <w:wordWrap w:val="0"/>
      <w:overflowPunct w:val="0"/>
      <w:autoSpaceDE w:val="0"/>
      <w:autoSpaceDN w:val="0"/>
      <w:adjustRightInd w:val="0"/>
      <w:ind w:left="482"/>
    </w:pPr>
    <w:rPr>
      <w:rFonts w:ascii="Courier New" w:hAnsi="Courier New" w:eastAsia="仿宋_GB2312" w:cs="Times New Roman"/>
      <w:snapToGrid w:val="0"/>
      <w:sz w:val="24"/>
      <w:lang w:val="en-US" w:eastAsia="zh-CN" w:bidi="ar-SA"/>
    </w:rPr>
  </w:style>
  <w:style w:type="paragraph" w:customStyle="1" w:styleId="866">
    <w:name w:val="三级标题 大王 20100426"/>
    <w:basedOn w:val="1"/>
    <w:qFormat/>
    <w:uiPriority w:val="0"/>
    <w:pPr>
      <w:numPr>
        <w:ilvl w:val="3"/>
        <w:numId w:val="4"/>
      </w:numPr>
      <w:spacing w:beforeLines="20" w:afterLines="50"/>
      <w:ind w:left="0" w:firstLine="0"/>
      <w:outlineLvl w:val="2"/>
    </w:pPr>
    <w:rPr>
      <w:rFonts w:eastAsia="黑体"/>
      <w:sz w:val="28"/>
      <w:szCs w:val="28"/>
    </w:rPr>
  </w:style>
  <w:style w:type="paragraph" w:customStyle="1" w:styleId="867">
    <w:name w:val="xl78"/>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868">
    <w:name w:val="h"/>
    <w:basedOn w:val="1"/>
    <w:qFormat/>
    <w:uiPriority w:val="0"/>
    <w:pPr>
      <w:spacing w:before="60"/>
      <w:ind w:firstLine="482"/>
    </w:pPr>
    <w:rPr>
      <w:rFonts w:ascii="Arial" w:hAnsi="Arial" w:eastAsia="仿宋_GB2312"/>
      <w:kern w:val="0"/>
      <w:sz w:val="24"/>
      <w:szCs w:val="20"/>
    </w:rPr>
  </w:style>
  <w:style w:type="paragraph" w:customStyle="1" w:styleId="869">
    <w:name w:val="xl43"/>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870">
    <w:name w:val="Char Char Char Char Char Char1"/>
    <w:basedOn w:val="1"/>
    <w:qFormat/>
    <w:uiPriority w:val="0"/>
    <w:rPr>
      <w:sz w:val="24"/>
    </w:rPr>
  </w:style>
  <w:style w:type="paragraph" w:customStyle="1" w:styleId="871">
    <w:name w:val="xl106"/>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872">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73">
    <w:name w:val="GY3"/>
    <w:basedOn w:val="1"/>
    <w:qFormat/>
    <w:uiPriority w:val="0"/>
    <w:pPr>
      <w:adjustRightInd w:val="0"/>
      <w:snapToGrid w:val="0"/>
      <w:spacing w:line="360" w:lineRule="auto"/>
    </w:pPr>
    <w:rPr>
      <w:rFonts w:ascii="黑体" w:hAnsi="宋体" w:eastAsia="黑体"/>
      <w:sz w:val="28"/>
      <w:szCs w:val="20"/>
    </w:rPr>
  </w:style>
  <w:style w:type="paragraph" w:customStyle="1" w:styleId="874">
    <w:name w:val="xl108"/>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875">
    <w:name w:val="Char Char Char Char Char Char2"/>
    <w:basedOn w:val="1"/>
    <w:qFormat/>
    <w:uiPriority w:val="0"/>
    <w:rPr>
      <w:sz w:val="24"/>
    </w:rPr>
  </w:style>
  <w:style w:type="paragraph" w:customStyle="1" w:styleId="876">
    <w:name w:val="样式2.2.5"/>
    <w:basedOn w:val="1"/>
    <w:qFormat/>
    <w:uiPriority w:val="0"/>
    <w:pPr>
      <w:spacing w:beforeLines="50" w:line="360" w:lineRule="auto"/>
      <w:outlineLvl w:val="3"/>
    </w:pPr>
    <w:rPr>
      <w:b/>
      <w:sz w:val="24"/>
    </w:rPr>
  </w:style>
  <w:style w:type="paragraph" w:customStyle="1" w:styleId="877">
    <w:name w:val="xl54"/>
    <w:basedOn w:val="1"/>
    <w:qFormat/>
    <w:uiPriority w:val="0"/>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878">
    <w:name w:val="扉页 黑体"/>
    <w:basedOn w:val="1"/>
    <w:qFormat/>
    <w:uiPriority w:val="0"/>
    <w:pPr>
      <w:spacing w:before="240" w:after="240" w:line="480" w:lineRule="exact"/>
      <w:ind w:firstLine="640" w:firstLineChars="200"/>
      <w:jc w:val="left"/>
    </w:pPr>
    <w:rPr>
      <w:rFonts w:eastAsia="黑体"/>
      <w:bCs/>
      <w:sz w:val="32"/>
      <w:szCs w:val="20"/>
    </w:rPr>
  </w:style>
  <w:style w:type="paragraph" w:customStyle="1" w:styleId="879">
    <w:name w:val="图文框"/>
    <w:basedOn w:val="1"/>
    <w:qFormat/>
    <w:uiPriority w:val="0"/>
    <w:pPr>
      <w:widowControl/>
      <w:spacing w:line="240" w:lineRule="exact"/>
      <w:jc w:val="center"/>
    </w:pPr>
    <w:rPr>
      <w:rFonts w:ascii="仿宋_GB2312" w:hAnsi="宋体" w:eastAsia="仿宋_GB2312"/>
      <w:spacing w:val="-14"/>
      <w:kern w:val="0"/>
      <w:sz w:val="18"/>
      <w:szCs w:val="20"/>
    </w:rPr>
  </w:style>
  <w:style w:type="paragraph" w:customStyle="1" w:styleId="880">
    <w:name w:val="样式 样式3 + 首行缩进:  2 字符"/>
    <w:basedOn w:val="1"/>
    <w:qFormat/>
    <w:uiPriority w:val="0"/>
    <w:pPr>
      <w:widowControl/>
      <w:spacing w:line="440" w:lineRule="exact"/>
      <w:ind w:firstLine="560" w:firstLineChars="200"/>
      <w:contextualSpacing/>
      <w:jc w:val="left"/>
    </w:pPr>
    <w:rPr>
      <w:rFonts w:cs="宋体"/>
      <w:kern w:val="0"/>
    </w:rPr>
  </w:style>
  <w:style w:type="paragraph" w:customStyle="1" w:styleId="881">
    <w:name w:val="纯文本2"/>
    <w:basedOn w:val="1"/>
    <w:qFormat/>
    <w:uiPriority w:val="0"/>
    <w:pPr>
      <w:autoSpaceDE w:val="0"/>
      <w:autoSpaceDN w:val="0"/>
      <w:adjustRightInd w:val="0"/>
      <w:textAlignment w:val="baseline"/>
    </w:pPr>
    <w:rPr>
      <w:rFonts w:ascii="宋体"/>
      <w:szCs w:val="20"/>
    </w:rPr>
  </w:style>
  <w:style w:type="paragraph" w:customStyle="1" w:styleId="882">
    <w:name w:val="样式 标题 1章标题 1H11.1标题 111标题 1 + 行距: 固定值 30 磅"/>
    <w:basedOn w:val="7"/>
    <w:qFormat/>
    <w:uiPriority w:val="0"/>
    <w:pPr>
      <w:keepNext w:val="0"/>
      <w:pageBreakBefore/>
      <w:tabs>
        <w:tab w:val="left" w:pos="390"/>
      </w:tabs>
      <w:overflowPunct/>
      <w:snapToGrid/>
      <w:spacing w:after="120" w:line="600" w:lineRule="exact"/>
      <w:ind w:left="390" w:firstLine="0"/>
      <w:jc w:val="center"/>
    </w:pPr>
    <w:rPr>
      <w:rFonts w:ascii="黑体" w:hAnsi="Calibri" w:cs="宋体"/>
      <w:color w:val="auto"/>
      <w:sz w:val="44"/>
      <w:szCs w:val="20"/>
    </w:rPr>
  </w:style>
  <w:style w:type="paragraph" w:customStyle="1" w:styleId="883">
    <w:name w:val="样式 样式 样式 标题 3东明_小节H3条标题1.1.1二级节名h33rd level3l3CTHeading 3 - ... ...1"/>
    <w:basedOn w:val="772"/>
    <w:qFormat/>
    <w:uiPriority w:val="0"/>
    <w:pPr>
      <w:spacing w:after="0"/>
    </w:pPr>
  </w:style>
  <w:style w:type="paragraph" w:customStyle="1" w:styleId="884">
    <w:name w:val="Char Char Char Char Char Char Char Char Char Char Char Char1 Char Char Char Char"/>
    <w:basedOn w:val="1"/>
    <w:next w:val="1"/>
    <w:semiHidden/>
    <w:qFormat/>
    <w:uiPriority w:val="0"/>
    <w:pPr>
      <w:spacing w:line="336" w:lineRule="auto"/>
      <w:ind w:firstLine="200" w:firstLineChars="200"/>
    </w:pPr>
    <w:rPr>
      <w:rFonts w:ascii="宋体" w:hAnsi="宋体" w:eastAsia="汉鼎简书宋" w:cs="宋体"/>
      <w:sz w:val="24"/>
    </w:rPr>
  </w:style>
  <w:style w:type="paragraph" w:customStyle="1" w:styleId="885">
    <w:name w:val="Char"/>
    <w:basedOn w:val="1"/>
    <w:qFormat/>
    <w:uiPriority w:val="0"/>
  </w:style>
  <w:style w:type="paragraph" w:customStyle="1" w:styleId="886">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7">
    <w:name w:val="5"/>
    <w:qFormat/>
    <w:uiPriority w:val="0"/>
    <w:rPr>
      <w:rFonts w:ascii="Calibri" w:hAnsi="Calibri" w:eastAsia="宋体" w:cs="Times New Roman"/>
      <w:kern w:val="2"/>
      <w:sz w:val="21"/>
      <w:szCs w:val="22"/>
      <w:lang w:val="en-US" w:eastAsia="zh-CN" w:bidi="ar-SA"/>
    </w:rPr>
  </w:style>
  <w:style w:type="paragraph" w:customStyle="1" w:styleId="888">
    <w:name w:val="字元 字元"/>
    <w:basedOn w:val="1"/>
    <w:qFormat/>
    <w:uiPriority w:val="0"/>
  </w:style>
  <w:style w:type="paragraph" w:customStyle="1" w:styleId="889">
    <w:name w:val="样式 样式 样式 标题 3 + 两端对齐 + 段后: 0.1 行 +"/>
    <w:basedOn w:val="1"/>
    <w:semiHidden/>
    <w:qFormat/>
    <w:uiPriority w:val="0"/>
    <w:pPr>
      <w:keepNext/>
      <w:keepLines/>
      <w:widowControl/>
      <w:tabs>
        <w:tab w:val="left" w:pos="0"/>
        <w:tab w:val="left" w:pos="2700"/>
      </w:tabs>
      <w:spacing w:line="320" w:lineRule="exact"/>
      <w:contextualSpacing/>
      <w:jc w:val="center"/>
    </w:pPr>
    <w:rPr>
      <w:rFonts w:cs="宋体"/>
      <w:bCs/>
      <w:kern w:val="0"/>
    </w:rPr>
  </w:style>
  <w:style w:type="paragraph" w:customStyle="1" w:styleId="890">
    <w:name w:val="xl126"/>
    <w:basedOn w:val="1"/>
    <w:qFormat/>
    <w:uiPriority w:val="0"/>
    <w:pPr>
      <w:widowControl/>
      <w:pBdr>
        <w:left w:val="single" w:color="auto" w:sz="4" w:space="0"/>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891">
    <w:name w:val="xl47"/>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892">
    <w:name w:val="法规"/>
    <w:basedOn w:val="1"/>
    <w:qFormat/>
    <w:uiPriority w:val="0"/>
    <w:pPr>
      <w:tabs>
        <w:tab w:val="left" w:pos="400"/>
      </w:tabs>
      <w:spacing w:line="440" w:lineRule="exact"/>
      <w:ind w:firstLine="400"/>
    </w:pPr>
    <w:rPr>
      <w:sz w:val="25"/>
      <w:szCs w:val="20"/>
    </w:rPr>
  </w:style>
  <w:style w:type="paragraph" w:customStyle="1" w:styleId="893">
    <w:name w:val="正文首行缩进1"/>
    <w:basedOn w:val="1"/>
    <w:next w:val="1"/>
    <w:qFormat/>
    <w:uiPriority w:val="0"/>
    <w:pPr>
      <w:tabs>
        <w:tab w:val="left" w:pos="540"/>
        <w:tab w:val="left" w:pos="1440"/>
        <w:tab w:val="left" w:pos="2448"/>
        <w:tab w:val="left" w:pos="3000"/>
        <w:tab w:val="left" w:pos="3888"/>
        <w:tab w:val="left" w:pos="4800"/>
        <w:tab w:val="left" w:pos="5040"/>
        <w:tab w:val="left" w:pos="5883"/>
        <w:tab w:val="left" w:pos="6300"/>
        <w:tab w:val="left" w:pos="7353"/>
        <w:tab w:val="left" w:pos="8613"/>
      </w:tabs>
      <w:autoSpaceDE w:val="0"/>
      <w:autoSpaceDN w:val="0"/>
      <w:adjustRightInd w:val="0"/>
      <w:snapToGrid w:val="0"/>
      <w:spacing w:line="300" w:lineRule="auto"/>
      <w:ind w:firstLine="561"/>
      <w:textAlignment w:val="baseline"/>
    </w:pPr>
    <w:rPr>
      <w:kern w:val="0"/>
      <w:sz w:val="28"/>
    </w:rPr>
  </w:style>
  <w:style w:type="paragraph" w:customStyle="1" w:styleId="894">
    <w:name w:val="样式 标题 2东明_节 + 行距: 1.5 倍行距"/>
    <w:basedOn w:val="8"/>
    <w:qFormat/>
    <w:uiPriority w:val="0"/>
    <w:pPr>
      <w:keepLines w:val="0"/>
      <w:widowControl/>
      <w:spacing w:before="240" w:after="60" w:line="360" w:lineRule="auto"/>
      <w:jc w:val="left"/>
    </w:pPr>
    <w:rPr>
      <w:rFonts w:ascii="Cambria" w:hAnsi="Cambria" w:eastAsia="宋体" w:cs="宋体"/>
      <w:kern w:val="0"/>
      <w:sz w:val="30"/>
      <w:szCs w:val="20"/>
      <w:lang w:eastAsia="en-US" w:bidi="en-US"/>
    </w:rPr>
  </w:style>
  <w:style w:type="paragraph" w:customStyle="1" w:styleId="895">
    <w:name w:val="xl30"/>
    <w:basedOn w:val="1"/>
    <w:qFormat/>
    <w:uiPriority w:val="0"/>
    <w:pPr>
      <w:widowControl/>
      <w:pBdr>
        <w:bottom w:val="single" w:color="auto" w:sz="4" w:space="0"/>
        <w:right w:val="single" w:color="auto" w:sz="4" w:space="0"/>
      </w:pBdr>
      <w:spacing w:before="100" w:beforeAutospacing="1" w:after="100" w:afterAutospacing="1"/>
    </w:pPr>
    <w:rPr>
      <w:rFonts w:hint="eastAsia" w:ascii="宋体" w:hAnsi="宋体"/>
      <w:kern w:val="0"/>
    </w:rPr>
  </w:style>
  <w:style w:type="paragraph" w:customStyle="1" w:styleId="896">
    <w:name w:val="样式38"/>
    <w:basedOn w:val="7"/>
    <w:qFormat/>
    <w:uiPriority w:val="0"/>
    <w:pPr>
      <w:tabs>
        <w:tab w:val="left" w:pos="720"/>
      </w:tabs>
      <w:overflowPunct/>
      <w:snapToGrid/>
      <w:spacing w:before="340" w:beforeLines="100" w:after="330" w:afterLines="100" w:line="360" w:lineRule="auto"/>
      <w:ind w:left="0" w:firstLine="0"/>
      <w:jc w:val="center"/>
    </w:pPr>
    <w:rPr>
      <w:rFonts w:ascii="黑体" w:hAnsi="Calibri"/>
      <w:b w:val="0"/>
      <w:bCs w:val="0"/>
      <w:color w:val="auto"/>
      <w:kern w:val="2"/>
      <w:sz w:val="32"/>
      <w:szCs w:val="32"/>
    </w:rPr>
  </w:style>
  <w:style w:type="paragraph" w:customStyle="1" w:styleId="897">
    <w:name w:val="样式 Char"/>
    <w:basedOn w:val="1"/>
    <w:next w:val="683"/>
    <w:qFormat/>
    <w:uiPriority w:val="0"/>
    <w:pPr>
      <w:numPr>
        <w:ilvl w:val="0"/>
        <w:numId w:val="9"/>
      </w:numPr>
      <w:adjustRightInd w:val="0"/>
      <w:snapToGrid w:val="0"/>
      <w:spacing w:before="240" w:after="240" w:line="480" w:lineRule="exact"/>
    </w:pPr>
    <w:rPr>
      <w:sz w:val="28"/>
    </w:rPr>
  </w:style>
  <w:style w:type="paragraph" w:customStyle="1" w:styleId="898">
    <w:name w:val="样式28"/>
    <w:basedOn w:val="899"/>
    <w:qFormat/>
    <w:uiPriority w:val="0"/>
    <w:pPr>
      <w:spacing w:beforeLines="50" w:afterLines="50"/>
      <w:ind w:firstLine="0" w:firstLineChars="0"/>
      <w:jc w:val="center"/>
    </w:pPr>
    <w:rPr>
      <w:rFonts w:ascii="宋体" w:eastAsia="宋体"/>
      <w:b/>
      <w:snapToGrid w:val="0"/>
      <w:color w:val="000000"/>
      <w:szCs w:val="28"/>
    </w:rPr>
  </w:style>
  <w:style w:type="paragraph" w:customStyle="1" w:styleId="899">
    <w:name w:val="样式17"/>
    <w:basedOn w:val="1"/>
    <w:qFormat/>
    <w:uiPriority w:val="0"/>
    <w:pPr>
      <w:ind w:firstLine="560" w:firstLineChars="200"/>
    </w:pPr>
    <w:rPr>
      <w:rFonts w:ascii="黑体" w:hAnsi="宋体" w:eastAsia="黑体"/>
      <w:sz w:val="28"/>
      <w:szCs w:val="20"/>
    </w:rPr>
  </w:style>
  <w:style w:type="paragraph" w:customStyle="1" w:styleId="900">
    <w:name w:val="font1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901">
    <w:name w:val="东明_表格"/>
    <w:basedOn w:val="902"/>
    <w:qFormat/>
    <w:uiPriority w:val="0"/>
    <w:pPr>
      <w:spacing w:before="100" w:beforeAutospacing="1" w:after="100" w:afterAutospacing="1" w:line="240" w:lineRule="auto"/>
    </w:pPr>
    <w:rPr>
      <w:rFonts w:ascii="黑体" w:hAnsi="黑体" w:eastAsia="黑体"/>
      <w:szCs w:val="24"/>
    </w:rPr>
  </w:style>
  <w:style w:type="paragraph" w:customStyle="1" w:styleId="902">
    <w:name w:val="表格正文"/>
    <w:basedOn w:val="1"/>
    <w:qFormat/>
    <w:uiPriority w:val="0"/>
    <w:pPr>
      <w:spacing w:line="360" w:lineRule="exact"/>
      <w:jc w:val="center"/>
    </w:pPr>
    <w:rPr>
      <w:szCs w:val="20"/>
    </w:rPr>
  </w:style>
  <w:style w:type="paragraph" w:customStyle="1" w:styleId="903">
    <w:name w:val="xl122"/>
    <w:basedOn w:val="1"/>
    <w:qFormat/>
    <w:uiPriority w:val="0"/>
    <w:pPr>
      <w:widowControl/>
      <w:pBdr>
        <w:lef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04">
    <w:name w:val="正文文字 3"/>
    <w:basedOn w:val="1"/>
    <w:qFormat/>
    <w:uiPriority w:val="0"/>
    <w:pPr>
      <w:spacing w:line="280" w:lineRule="exact"/>
      <w:jc w:val="center"/>
    </w:pPr>
    <w:rPr>
      <w:rFonts w:ascii="仿宋_GB2312" w:hAnsi="Arial Black" w:eastAsia="仿宋_GB2312" w:cs="仿宋_GB2312"/>
    </w:rPr>
  </w:style>
  <w:style w:type="paragraph" w:customStyle="1" w:styleId="905">
    <w:name w:val="文本居中"/>
    <w:basedOn w:val="1"/>
    <w:qFormat/>
    <w:uiPriority w:val="0"/>
    <w:pPr>
      <w:adjustRightInd w:val="0"/>
      <w:spacing w:line="360" w:lineRule="auto"/>
      <w:jc w:val="center"/>
    </w:pPr>
    <w:rPr>
      <w:sz w:val="28"/>
    </w:rPr>
  </w:style>
  <w:style w:type="paragraph" w:customStyle="1" w:styleId="906">
    <w:name w:val="xl112"/>
    <w:basedOn w:val="1"/>
    <w:qFormat/>
    <w:uiPriority w:val="0"/>
    <w:pPr>
      <w:widowControl/>
      <w:pBdr>
        <w:right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907">
    <w:name w:val="Char Char Char Char Char Char Char Char Char Char1 Char Char Char Char Char Char"/>
    <w:basedOn w:val="1"/>
    <w:qFormat/>
    <w:uiPriority w:val="0"/>
    <w:pPr>
      <w:widowControl/>
      <w:contextualSpacing/>
      <w:jc w:val="left"/>
    </w:pPr>
    <w:rPr>
      <w:rFonts w:cs="宋体"/>
      <w:kern w:val="0"/>
    </w:rPr>
  </w:style>
  <w:style w:type="paragraph" w:customStyle="1" w:styleId="908">
    <w:name w:val="xl103"/>
    <w:basedOn w:val="1"/>
    <w:qFormat/>
    <w:uiPriority w:val="0"/>
    <w:pPr>
      <w:widowControl/>
      <w:pBdr>
        <w:left w:val="single" w:color="auto" w:sz="4" w:space="0"/>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909">
    <w:name w:val="yz"/>
    <w:basedOn w:val="35"/>
    <w:qFormat/>
    <w:uiPriority w:val="0"/>
    <w:pPr>
      <w:widowControl w:val="0"/>
      <w:tabs>
        <w:tab w:val="left" w:pos="900"/>
      </w:tabs>
      <w:adjustRightInd w:val="0"/>
      <w:snapToGrid/>
      <w:spacing w:before="0" w:after="0" w:line="240" w:lineRule="auto"/>
      <w:ind w:right="0" w:firstLine="200" w:firstLineChars="200"/>
      <w:textAlignment w:val="baseline"/>
    </w:pPr>
    <w:rPr>
      <w:rFonts w:hint="eastAsia" w:ascii="宋体" w:hAnsi="宋体"/>
      <w:sz w:val="24"/>
      <w:szCs w:val="24"/>
    </w:rPr>
  </w:style>
  <w:style w:type="paragraph" w:customStyle="1" w:styleId="910">
    <w:name w:val="标准符号 行距1倍"/>
    <w:basedOn w:val="1"/>
    <w:qFormat/>
    <w:uiPriority w:val="0"/>
    <w:pPr>
      <w:adjustRightInd w:val="0"/>
      <w:snapToGrid w:val="0"/>
      <w:spacing w:beforeLines="50"/>
      <w:jc w:val="center"/>
      <w:textAlignment w:val="center"/>
    </w:pPr>
    <w:rPr>
      <w:rFonts w:ascii="黑体" w:eastAsia="黑体" w:cs="宋体"/>
      <w:color w:val="000000"/>
      <w:kern w:val="0"/>
      <w:sz w:val="24"/>
    </w:rPr>
  </w:style>
  <w:style w:type="paragraph" w:customStyle="1" w:styleId="911">
    <w:name w:val="2.2.1"/>
    <w:basedOn w:val="10"/>
    <w:qFormat/>
    <w:uiPriority w:val="0"/>
    <w:pPr>
      <w:tabs>
        <w:tab w:val="left" w:pos="864"/>
      </w:tabs>
      <w:spacing w:before="0" w:after="0" w:line="360" w:lineRule="auto"/>
      <w:ind w:left="864" w:hanging="864"/>
      <w:jc w:val="left"/>
    </w:pPr>
    <w:rPr>
      <w:rFonts w:ascii="宋体" w:hAnsi="Arial"/>
      <w:b w:val="0"/>
      <w:color w:val="000000"/>
      <w:sz w:val="24"/>
    </w:rPr>
  </w:style>
  <w:style w:type="paragraph" w:customStyle="1" w:styleId="912">
    <w:name w:val="Char1 Char Char Char"/>
    <w:basedOn w:val="1"/>
    <w:qFormat/>
    <w:uiPriority w:val="0"/>
    <w:pPr>
      <w:spacing w:line="360" w:lineRule="auto"/>
      <w:ind w:firstLine="200" w:firstLineChars="200"/>
    </w:pPr>
    <w:rPr>
      <w:rFonts w:ascii="宋体" w:hAnsi="宋体" w:cs="宋体"/>
      <w:sz w:val="24"/>
    </w:rPr>
  </w:style>
  <w:style w:type="paragraph" w:customStyle="1" w:styleId="913">
    <w:name w:val="TOC 标题1"/>
    <w:basedOn w:val="7"/>
    <w:next w:val="1"/>
    <w:qFormat/>
    <w:uiPriority w:val="39"/>
    <w:pPr>
      <w:keepLines/>
      <w:widowControl/>
      <w:tabs>
        <w:tab w:val="left" w:pos="390"/>
      </w:tabs>
      <w:overflowPunct/>
      <w:snapToGrid/>
      <w:spacing w:before="480" w:after="0" w:line="276" w:lineRule="auto"/>
      <w:ind w:left="390" w:firstLine="0"/>
      <w:jc w:val="left"/>
      <w:outlineLvl w:val="9"/>
    </w:pPr>
    <w:rPr>
      <w:rFonts w:ascii="Cambria" w:hAnsi="Cambria" w:eastAsia="宋体"/>
      <w:color w:val="365F91"/>
      <w:kern w:val="0"/>
      <w:sz w:val="28"/>
      <w:szCs w:val="28"/>
    </w:rPr>
  </w:style>
  <w:style w:type="paragraph" w:customStyle="1" w:styleId="914">
    <w:name w:val="小节标题"/>
    <w:basedOn w:val="1"/>
    <w:qFormat/>
    <w:uiPriority w:val="0"/>
    <w:pPr>
      <w:widowControl/>
      <w:spacing w:before="175" w:after="102" w:line="351" w:lineRule="atLeast"/>
      <w:contextualSpacing/>
      <w:textAlignment w:val="baseline"/>
    </w:pPr>
    <w:rPr>
      <w:rFonts w:eastAsia="黑体"/>
      <w:color w:val="000000"/>
      <w:kern w:val="0"/>
      <w:szCs w:val="20"/>
      <w:u w:color="000000"/>
    </w:rPr>
  </w:style>
  <w:style w:type="paragraph" w:customStyle="1" w:styleId="915">
    <w:name w:val="高表内"/>
    <w:basedOn w:val="46"/>
    <w:qFormat/>
    <w:uiPriority w:val="0"/>
    <w:pPr>
      <w:autoSpaceDE w:val="0"/>
      <w:adjustRightInd w:val="0"/>
      <w:snapToGrid w:val="0"/>
      <w:jc w:val="center"/>
      <w:textAlignment w:val="baseline"/>
    </w:pPr>
    <w:rPr>
      <w:rFonts w:ascii="Arial" w:hAnsi="Arial" w:eastAsia="楷体_GB2312" w:cs="Times New Roman"/>
      <w:kern w:val="0"/>
      <w:sz w:val="24"/>
      <w:szCs w:val="24"/>
    </w:rPr>
  </w:style>
  <w:style w:type="paragraph" w:customStyle="1" w:styleId="916">
    <w:name w:val="正文 + 宋体"/>
    <w:basedOn w:val="1"/>
    <w:qFormat/>
    <w:uiPriority w:val="0"/>
    <w:pPr>
      <w:tabs>
        <w:tab w:val="left" w:pos="6120"/>
      </w:tabs>
      <w:adjustRightInd w:val="0"/>
      <w:spacing w:line="500" w:lineRule="exact"/>
      <w:ind w:firstLine="420" w:firstLineChars="150"/>
      <w:jc w:val="left"/>
    </w:pPr>
    <w:rPr>
      <w:rFonts w:ascii="宋体" w:hAnsi="宋体"/>
      <w:sz w:val="28"/>
      <w:szCs w:val="28"/>
    </w:rPr>
  </w:style>
  <w:style w:type="paragraph" w:customStyle="1" w:styleId="917">
    <w:name w:val="xl165"/>
    <w:basedOn w:val="1"/>
    <w:qFormat/>
    <w:uiPriority w:val="0"/>
    <w:pPr>
      <w:widowControl/>
      <w:pBdr>
        <w:top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918">
    <w:name w:val="样式 标题 1 + (中文) 宋体 小三 行距: 多倍行距 1.35 字行"/>
    <w:basedOn w:val="7"/>
    <w:qFormat/>
    <w:uiPriority w:val="0"/>
    <w:pPr>
      <w:keepLines/>
      <w:tabs>
        <w:tab w:val="left" w:pos="390"/>
        <w:tab w:val="left" w:pos="432"/>
      </w:tabs>
      <w:overflowPunct/>
      <w:spacing w:before="0" w:after="0" w:line="360" w:lineRule="auto"/>
    </w:pPr>
    <w:rPr>
      <w:rFonts w:ascii="宋体" w:hAnsi="宋体" w:eastAsia="宋体"/>
      <w:color w:val="auto"/>
      <w:sz w:val="32"/>
      <w:szCs w:val="32"/>
    </w:rPr>
  </w:style>
  <w:style w:type="paragraph" w:customStyle="1" w:styleId="919">
    <w:name w:val="表字1"/>
    <w:basedOn w:val="1"/>
    <w:qFormat/>
    <w:uiPriority w:val="0"/>
    <w:pPr>
      <w:adjustRightInd w:val="0"/>
      <w:spacing w:line="360" w:lineRule="auto"/>
      <w:jc w:val="center"/>
      <w:textAlignment w:val="baseline"/>
    </w:pPr>
    <w:rPr>
      <w:rFonts w:ascii="宋体"/>
      <w:kern w:val="0"/>
      <w:szCs w:val="20"/>
    </w:rPr>
  </w:style>
  <w:style w:type="paragraph" w:customStyle="1" w:styleId="920">
    <w:name w:val="xl42"/>
    <w:basedOn w:val="1"/>
    <w:qFormat/>
    <w:uiPriority w:val="0"/>
    <w:pPr>
      <w:widowControl/>
      <w:pBdr>
        <w:bottom w:val="dotted" w:color="auto" w:sz="4" w:space="0"/>
        <w:right w:val="dotted" w:color="auto" w:sz="4" w:space="0"/>
      </w:pBdr>
      <w:spacing w:before="100" w:beforeAutospacing="1" w:after="100" w:afterAutospacing="1"/>
      <w:jc w:val="center"/>
    </w:pPr>
    <w:rPr>
      <w:kern w:val="0"/>
    </w:rPr>
  </w:style>
  <w:style w:type="paragraph" w:customStyle="1" w:styleId="921">
    <w:name w:val="Char Char Char Char Char Char Char Char Char Char Char Char1 Char Char Char Char1"/>
    <w:basedOn w:val="1"/>
    <w:qFormat/>
    <w:uiPriority w:val="0"/>
    <w:pPr>
      <w:widowControl/>
      <w:contextualSpacing/>
      <w:jc w:val="left"/>
    </w:pPr>
    <w:rPr>
      <w:rFonts w:cs="宋体"/>
      <w:kern w:val="0"/>
    </w:rPr>
  </w:style>
  <w:style w:type="paragraph" w:customStyle="1" w:styleId="922">
    <w:name w:val="1 Char Char Char Char Char Char Char"/>
    <w:basedOn w:val="1"/>
    <w:qFormat/>
    <w:uiPriority w:val="0"/>
    <w:pPr>
      <w:spacing w:line="360" w:lineRule="auto"/>
      <w:ind w:firstLine="200" w:firstLineChars="200"/>
    </w:pPr>
    <w:rPr>
      <w:rFonts w:ascii="宋体" w:hAnsi="宋体" w:cs="宋体"/>
      <w:sz w:val="24"/>
    </w:rPr>
  </w:style>
  <w:style w:type="paragraph" w:customStyle="1" w:styleId="923">
    <w:name w:val="样式 正文001 + 首行缩进:  2 字符1"/>
    <w:basedOn w:val="1"/>
    <w:qFormat/>
    <w:uiPriority w:val="0"/>
    <w:pPr>
      <w:spacing w:before="60" w:line="460" w:lineRule="exact"/>
      <w:ind w:firstLine="480" w:firstLineChars="200"/>
    </w:pPr>
    <w:rPr>
      <w:sz w:val="24"/>
      <w:szCs w:val="20"/>
    </w:rPr>
  </w:style>
  <w:style w:type="paragraph" w:customStyle="1" w:styleId="924">
    <w:name w:val="样式 标题 1章标题 11标题 1H1一、 + 行距: 1.5 倍行距"/>
    <w:basedOn w:val="7"/>
    <w:qFormat/>
    <w:uiPriority w:val="0"/>
    <w:pPr>
      <w:keepLines/>
      <w:overflowPunct/>
      <w:spacing w:before="340" w:after="330" w:line="360" w:lineRule="auto"/>
      <w:ind w:left="3845" w:hanging="3845"/>
      <w:jc w:val="center"/>
    </w:pPr>
    <w:rPr>
      <w:rFonts w:cs="宋体"/>
      <w:color w:val="auto"/>
      <w:sz w:val="44"/>
      <w:szCs w:val="20"/>
    </w:rPr>
  </w:style>
  <w:style w:type="paragraph" w:customStyle="1" w:styleId="925">
    <w:name w:val="1 Char"/>
    <w:basedOn w:val="1"/>
    <w:qFormat/>
    <w:uiPriority w:val="0"/>
    <w:pPr>
      <w:spacing w:line="360" w:lineRule="auto"/>
      <w:ind w:firstLine="200" w:firstLineChars="200"/>
    </w:pPr>
    <w:rPr>
      <w:rFonts w:ascii="宋体" w:hAnsi="宋体" w:cs="宋体"/>
      <w:sz w:val="24"/>
    </w:rPr>
  </w:style>
  <w:style w:type="paragraph" w:customStyle="1" w:styleId="926">
    <w:name w:val="工艺正文"/>
    <w:basedOn w:val="1"/>
    <w:qFormat/>
    <w:uiPriority w:val="0"/>
    <w:pPr>
      <w:adjustRightInd w:val="0"/>
      <w:snapToGrid w:val="0"/>
      <w:spacing w:line="360" w:lineRule="auto"/>
      <w:ind w:firstLine="580"/>
    </w:pPr>
    <w:rPr>
      <w:rFonts w:ascii="宋体"/>
      <w:sz w:val="28"/>
      <w:szCs w:val="20"/>
    </w:rPr>
  </w:style>
  <w:style w:type="paragraph" w:customStyle="1" w:styleId="927">
    <w:name w:val="正文 黑体"/>
    <w:basedOn w:val="1"/>
    <w:qFormat/>
    <w:uiPriority w:val="0"/>
    <w:pPr>
      <w:spacing w:before="240" w:after="240" w:line="480" w:lineRule="exact"/>
      <w:ind w:firstLine="560" w:firstLineChars="200"/>
    </w:pPr>
    <w:rPr>
      <w:rFonts w:eastAsia="黑体"/>
      <w:sz w:val="28"/>
      <w:szCs w:val="20"/>
    </w:rPr>
  </w:style>
  <w:style w:type="paragraph" w:customStyle="1" w:styleId="928">
    <w:name w:val="xl175"/>
    <w:basedOn w:val="1"/>
    <w:qFormat/>
    <w:uiPriority w:val="0"/>
    <w:pPr>
      <w:widowControl/>
      <w:pBdr>
        <w:left w:val="single" w:color="auto" w:sz="12" w:space="0"/>
        <w:right w:val="single" w:color="auto" w:sz="4" w:space="0"/>
      </w:pBdr>
      <w:spacing w:before="100" w:beforeAutospacing="1" w:after="100" w:afterAutospacing="1"/>
      <w:jc w:val="left"/>
    </w:pPr>
    <w:rPr>
      <w:rFonts w:ascii="Arial Unicode MS" w:hAnsi="Arial Unicode MS"/>
      <w:kern w:val="0"/>
    </w:rPr>
  </w:style>
  <w:style w:type="paragraph" w:customStyle="1" w:styleId="929">
    <w:name w:val="xl140"/>
    <w:basedOn w:val="1"/>
    <w:qFormat/>
    <w:uiPriority w:val="0"/>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930">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93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2">
    <w:name w:val="正文 黑体 Char"/>
    <w:basedOn w:val="683"/>
    <w:next w:val="683"/>
    <w:qFormat/>
    <w:uiPriority w:val="0"/>
    <w:rPr>
      <w:rFonts w:eastAsia="黑体"/>
    </w:rPr>
  </w:style>
  <w:style w:type="paragraph" w:customStyle="1" w:styleId="933">
    <w:name w:val="xl24"/>
    <w:basedOn w:val="1"/>
    <w:qFormat/>
    <w:uiPriority w:val="0"/>
    <w:pPr>
      <w:widowControl/>
      <w:spacing w:before="100" w:after="100"/>
      <w:jc w:val="center"/>
    </w:pPr>
    <w:rPr>
      <w:rFonts w:ascii="宋体" w:hAnsi="宋体"/>
      <w:kern w:val="0"/>
      <w:sz w:val="24"/>
      <w:szCs w:val="20"/>
    </w:rPr>
  </w:style>
  <w:style w:type="paragraph" w:customStyle="1" w:styleId="934">
    <w:name w:val="表中"/>
    <w:qFormat/>
    <w:uiPriority w:val="0"/>
    <w:pPr>
      <w:adjustRightInd w:val="0"/>
      <w:snapToGrid w:val="0"/>
      <w:jc w:val="right"/>
    </w:pPr>
    <w:rPr>
      <w:rFonts w:ascii="Times New Roman" w:hAnsi="Times New Roman" w:eastAsia="宋体" w:cs="Times New Roman"/>
      <w:kern w:val="44"/>
      <w:sz w:val="18"/>
      <w:lang w:val="en-US" w:eastAsia="zh-CN" w:bidi="ar-SA"/>
    </w:rPr>
  </w:style>
  <w:style w:type="paragraph" w:customStyle="1" w:styleId="935">
    <w:name w:val="编制说明"/>
    <w:basedOn w:val="1"/>
    <w:qFormat/>
    <w:uiPriority w:val="0"/>
    <w:pPr>
      <w:topLinePunct/>
      <w:adjustRightInd w:val="0"/>
      <w:snapToGrid w:val="0"/>
      <w:ind w:firstLine="420"/>
      <w:contextualSpacing/>
    </w:pPr>
    <w:rPr>
      <w:rFonts w:eastAsia="仿宋_GB2312"/>
      <w:szCs w:val="20"/>
    </w:rPr>
  </w:style>
  <w:style w:type="paragraph" w:customStyle="1" w:styleId="936">
    <w:name w:val="Char Char1"/>
    <w:basedOn w:val="1"/>
    <w:qFormat/>
    <w:uiPriority w:val="0"/>
    <w:pPr>
      <w:spacing w:line="360" w:lineRule="auto"/>
      <w:ind w:firstLine="200" w:firstLineChars="200"/>
      <w:jc w:val="left"/>
    </w:pPr>
    <w:rPr>
      <w:rFonts w:ascii="宋体" w:hAnsi="宋体" w:cs="宋体"/>
      <w:sz w:val="24"/>
    </w:rPr>
  </w:style>
  <w:style w:type="paragraph" w:customStyle="1" w:styleId="937">
    <w:name w:val="xl141"/>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938">
    <w:name w:val="xl79"/>
    <w:basedOn w:val="1"/>
    <w:qFormat/>
    <w:uiPriority w:val="0"/>
    <w:pPr>
      <w:widowControl/>
      <w:pBdr>
        <w:bottom w:val="single" w:color="auto" w:sz="12" w:space="0"/>
      </w:pBdr>
      <w:spacing w:before="100" w:beforeAutospacing="1" w:after="100" w:afterAutospacing="1"/>
      <w:jc w:val="left"/>
      <w:textAlignment w:val="center"/>
    </w:pPr>
    <w:rPr>
      <w:kern w:val="0"/>
      <w:sz w:val="12"/>
      <w:szCs w:val="12"/>
    </w:rPr>
  </w:style>
  <w:style w:type="paragraph" w:customStyle="1" w:styleId="939">
    <w:name w:val="xl153"/>
    <w:basedOn w:val="1"/>
    <w:qFormat/>
    <w:uiPriority w:val="0"/>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940">
    <w:name w:val="xl145"/>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941">
    <w:name w:val="xl163"/>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942">
    <w:name w:val="图号"/>
    <w:basedOn w:val="1"/>
    <w:qFormat/>
    <w:uiPriority w:val="0"/>
    <w:pPr>
      <w:tabs>
        <w:tab w:val="left" w:pos="8160"/>
      </w:tabs>
      <w:adjustRightInd w:val="0"/>
      <w:spacing w:before="120" w:after="120" w:line="320" w:lineRule="exact"/>
      <w:jc w:val="center"/>
      <w:textAlignment w:val="baseline"/>
    </w:pPr>
    <w:rPr>
      <w:rFonts w:ascii="黑体" w:hAnsi="宋体" w:eastAsia="黑体"/>
      <w:spacing w:val="6"/>
      <w:sz w:val="24"/>
    </w:rPr>
  </w:style>
  <w:style w:type="paragraph" w:customStyle="1" w:styleId="943">
    <w:name w:val="样式 标题 2节H2（一）Underrubrik1prop2Heading 2 HiddenHeading 2 C..."/>
    <w:basedOn w:val="8"/>
    <w:qFormat/>
    <w:uiPriority w:val="0"/>
    <w:pPr>
      <w:tabs>
        <w:tab w:val="left" w:pos="840"/>
      </w:tabs>
      <w:spacing w:before="240" w:after="240" w:line="480" w:lineRule="exact"/>
      <w:ind w:left="840"/>
    </w:pPr>
    <w:rPr>
      <w:rFonts w:cs="宋体"/>
      <w:b w:val="0"/>
      <w:kern w:val="0"/>
      <w:szCs w:val="20"/>
    </w:rPr>
  </w:style>
  <w:style w:type="paragraph" w:customStyle="1" w:styleId="944">
    <w:name w:val="unnamed11"/>
    <w:basedOn w:val="1"/>
    <w:qFormat/>
    <w:uiPriority w:val="0"/>
    <w:pPr>
      <w:widowControl/>
      <w:spacing w:before="100" w:beforeAutospacing="1" w:after="100" w:afterAutospacing="1"/>
      <w:jc w:val="left"/>
    </w:pPr>
    <w:rPr>
      <w:rFonts w:ascii="宋体" w:hAnsi="宋体"/>
      <w:kern w:val="0"/>
      <w:sz w:val="24"/>
    </w:rPr>
  </w:style>
  <w:style w:type="paragraph" w:customStyle="1" w:styleId="945">
    <w:name w:val="Char2 Char Char Char Char Char Char Char Char Char"/>
    <w:basedOn w:val="1"/>
    <w:qFormat/>
    <w:uiPriority w:val="0"/>
    <w:rPr>
      <w:sz w:val="24"/>
    </w:rPr>
  </w:style>
  <w:style w:type="paragraph" w:customStyle="1" w:styleId="946">
    <w:name w:val="工业统一题目"/>
    <w:basedOn w:val="1"/>
    <w:qFormat/>
    <w:uiPriority w:val="0"/>
    <w:pPr>
      <w:adjustRightInd w:val="0"/>
      <w:snapToGrid w:val="0"/>
      <w:spacing w:line="360" w:lineRule="auto"/>
      <w:jc w:val="left"/>
    </w:pPr>
    <w:rPr>
      <w:rFonts w:ascii="宋体"/>
      <w:b/>
      <w:sz w:val="28"/>
      <w:szCs w:val="20"/>
    </w:rPr>
  </w:style>
  <w:style w:type="paragraph" w:customStyle="1" w:styleId="947">
    <w:name w:val="Char Char Char Char Char Char Char Char Char Char Char Char Char Char Char Char Char Char Char"/>
    <w:basedOn w:val="1"/>
    <w:qFormat/>
    <w:uiPriority w:val="0"/>
  </w:style>
  <w:style w:type="paragraph" w:customStyle="1" w:styleId="948">
    <w:name w:val="Table Paragraph"/>
    <w:basedOn w:val="1"/>
    <w:unhideWhenUsed/>
    <w:qFormat/>
    <w:uiPriority w:val="1"/>
    <w:pPr>
      <w:widowControl/>
      <w:adjustRightInd w:val="0"/>
      <w:snapToGrid w:val="0"/>
      <w:spacing w:after="200"/>
      <w:jc w:val="left"/>
    </w:pPr>
    <w:rPr>
      <w:rFonts w:ascii="Tahoma" w:hAnsi="Tahoma" w:eastAsia="微软雅黑"/>
      <w:kern w:val="0"/>
      <w:sz w:val="22"/>
      <w:szCs w:val="22"/>
    </w:rPr>
  </w:style>
  <w:style w:type="paragraph" w:customStyle="1" w:styleId="949">
    <w:name w:val="款"/>
    <w:basedOn w:val="1"/>
    <w:qFormat/>
    <w:uiPriority w:val="0"/>
    <w:pPr>
      <w:spacing w:line="360" w:lineRule="auto"/>
    </w:pPr>
    <w:rPr>
      <w:szCs w:val="20"/>
    </w:rPr>
  </w:style>
  <w:style w:type="paragraph" w:customStyle="1" w:styleId="950">
    <w:name w:val="xl1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51">
    <w:name w:val="备注"/>
    <w:basedOn w:val="473"/>
    <w:qFormat/>
    <w:uiPriority w:val="0"/>
    <w:pPr>
      <w:spacing w:line="360" w:lineRule="exact"/>
    </w:pPr>
    <w:rPr>
      <w:sz w:val="21"/>
    </w:rPr>
  </w:style>
  <w:style w:type="paragraph" w:customStyle="1" w:styleId="95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53">
    <w:name w:val="+正文 Char Char"/>
    <w:basedOn w:val="1"/>
    <w:qFormat/>
    <w:uiPriority w:val="0"/>
    <w:pPr>
      <w:spacing w:line="360" w:lineRule="auto"/>
      <w:ind w:firstLine="200" w:firstLineChars="200"/>
    </w:pPr>
    <w:rPr>
      <w:sz w:val="24"/>
      <w:szCs w:val="28"/>
    </w:rPr>
  </w:style>
  <w:style w:type="paragraph" w:customStyle="1" w:styleId="954">
    <w:name w:val="font13"/>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955">
    <w:name w:val="xl190"/>
    <w:basedOn w:val="1"/>
    <w:qFormat/>
    <w:uiPriority w:val="0"/>
    <w:pPr>
      <w:widowControl/>
      <w:pBdr>
        <w:top w:val="single" w:color="auto" w:sz="12" w:space="0"/>
      </w:pBdr>
      <w:spacing w:before="100" w:beforeAutospacing="1" w:after="100" w:afterAutospacing="1"/>
      <w:jc w:val="left"/>
      <w:textAlignment w:val="center"/>
    </w:pPr>
    <w:rPr>
      <w:rFonts w:ascii="Arial Unicode MS" w:hAnsi="Arial Unicode MS"/>
      <w:kern w:val="0"/>
      <w:sz w:val="12"/>
      <w:szCs w:val="12"/>
    </w:rPr>
  </w:style>
  <w:style w:type="paragraph" w:customStyle="1" w:styleId="956">
    <w:name w:val="xl172"/>
    <w:basedOn w:val="1"/>
    <w:qFormat/>
    <w:uiPriority w:val="0"/>
    <w:pPr>
      <w:widowControl/>
      <w:pBdr>
        <w:top w:val="single" w:color="auto" w:sz="12" w:space="0"/>
        <w:left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957">
    <w:name w:val="B1"/>
    <w:basedOn w:val="1"/>
    <w:next w:val="1"/>
    <w:qFormat/>
    <w:uiPriority w:val="0"/>
    <w:pPr>
      <w:keepNext/>
      <w:tabs>
        <w:tab w:val="left" w:pos="624"/>
      </w:tabs>
      <w:adjustRightInd w:val="0"/>
      <w:spacing w:before="240" w:line="360" w:lineRule="auto"/>
      <w:ind w:left="624" w:hanging="624"/>
      <w:textAlignment w:val="baseline"/>
    </w:pPr>
    <w:rPr>
      <w:kern w:val="24"/>
      <w:sz w:val="28"/>
      <w:szCs w:val="20"/>
    </w:rPr>
  </w:style>
  <w:style w:type="paragraph" w:customStyle="1" w:styleId="958">
    <w:name w:val="表格0"/>
    <w:next w:val="1"/>
    <w:qFormat/>
    <w:uiPriority w:val="99"/>
    <w:pPr>
      <w:adjustRightInd w:val="0"/>
      <w:snapToGrid w:val="0"/>
      <w:jc w:val="center"/>
    </w:pPr>
    <w:rPr>
      <w:rFonts w:ascii="Times New Roman" w:hAnsi="Times New Roman" w:eastAsia="宋体" w:cs="Times New Roman"/>
      <w:sz w:val="21"/>
      <w:lang w:val="en-US" w:eastAsia="zh-CN" w:bidi="ar-SA"/>
    </w:rPr>
  </w:style>
  <w:style w:type="paragraph" w:customStyle="1" w:styleId="959">
    <w:name w:val="目录2"/>
    <w:basedOn w:val="73"/>
    <w:next w:val="45"/>
    <w:qFormat/>
    <w:uiPriority w:val="0"/>
    <w:pPr>
      <w:keepNext/>
      <w:widowControl/>
      <w:tabs>
        <w:tab w:val="right" w:leader="dot" w:pos="8160"/>
        <w:tab w:val="right" w:leader="dot" w:pos="8640"/>
        <w:tab w:val="right" w:leader="dot" w:pos="8820"/>
      </w:tabs>
      <w:spacing w:beforeLines="50" w:afterLines="50" w:line="480" w:lineRule="exact"/>
      <w:ind w:left="567"/>
      <w:jc w:val="both"/>
    </w:pPr>
    <w:rPr>
      <w:rFonts w:ascii="Calibri" w:hAnsi="Calibri"/>
      <w:kern w:val="0"/>
      <w:sz w:val="28"/>
      <w:szCs w:val="24"/>
      <w:lang w:bidi="en-US"/>
    </w:rPr>
  </w:style>
  <w:style w:type="paragraph" w:customStyle="1" w:styleId="960">
    <w:name w:val="xl51"/>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961">
    <w:name w:val="新正文样式"/>
    <w:basedOn w:val="1"/>
    <w:qFormat/>
    <w:uiPriority w:val="0"/>
    <w:pPr>
      <w:tabs>
        <w:tab w:val="left" w:pos="567"/>
      </w:tabs>
      <w:spacing w:line="360" w:lineRule="auto"/>
      <w:ind w:firstLine="567"/>
    </w:pPr>
    <w:rPr>
      <w:spacing w:val="20"/>
      <w:sz w:val="24"/>
      <w:szCs w:val="20"/>
    </w:rPr>
  </w:style>
  <w:style w:type="paragraph" w:customStyle="1" w:styleId="962">
    <w:name w:val="表格编号"/>
    <w:basedOn w:val="1"/>
    <w:qFormat/>
    <w:uiPriority w:val="0"/>
    <w:pPr>
      <w:snapToGrid w:val="0"/>
      <w:spacing w:before="300" w:after="200" w:line="500" w:lineRule="exact"/>
      <w:jc w:val="left"/>
    </w:pPr>
    <w:rPr>
      <w:sz w:val="24"/>
    </w:rPr>
  </w:style>
  <w:style w:type="paragraph" w:customStyle="1" w:styleId="963">
    <w:name w:val="Char Char Char Char Char Char Char Char Char Char1"/>
    <w:basedOn w:val="1"/>
    <w:qFormat/>
    <w:uiPriority w:val="0"/>
    <w:pPr>
      <w:widowControl/>
      <w:contextualSpacing/>
      <w:jc w:val="left"/>
    </w:pPr>
    <w:rPr>
      <w:rFonts w:cs="宋体"/>
      <w:kern w:val="0"/>
    </w:rPr>
  </w:style>
  <w:style w:type="paragraph" w:customStyle="1" w:styleId="964">
    <w:name w:val="正文001"/>
    <w:basedOn w:val="1"/>
    <w:qFormat/>
    <w:uiPriority w:val="0"/>
    <w:pPr>
      <w:spacing w:before="60" w:line="460" w:lineRule="exact"/>
      <w:ind w:firstLine="200" w:firstLineChars="200"/>
    </w:pPr>
    <w:rPr>
      <w:sz w:val="24"/>
      <w:szCs w:val="20"/>
    </w:rPr>
  </w:style>
  <w:style w:type="paragraph" w:customStyle="1" w:styleId="965">
    <w:name w:val="正文图标题"/>
    <w:next w:val="1"/>
    <w:qFormat/>
    <w:uiPriority w:val="0"/>
    <w:pPr>
      <w:numPr>
        <w:ilvl w:val="0"/>
        <w:numId w:val="10"/>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966">
    <w:name w:val="Char Char Char Char Char Char Char1"/>
    <w:basedOn w:val="1"/>
    <w:qFormat/>
    <w:uiPriority w:val="0"/>
    <w:pPr>
      <w:widowControl/>
      <w:contextualSpacing/>
      <w:jc w:val="left"/>
    </w:pPr>
    <w:rPr>
      <w:rFonts w:cs="宋体"/>
      <w:kern w:val="0"/>
    </w:rPr>
  </w:style>
  <w:style w:type="paragraph" w:customStyle="1" w:styleId="967">
    <w:name w:val="xl111"/>
    <w:basedOn w:val="1"/>
    <w:qFormat/>
    <w:uiPriority w:val="0"/>
    <w:pPr>
      <w:widowControl/>
      <w:pBdr>
        <w:top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68">
    <w:name w:val="xl35"/>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969">
    <w:name w:val="表内4号居中"/>
    <w:qFormat/>
    <w:uiPriority w:val="0"/>
    <w:pPr>
      <w:adjustRightInd w:val="0"/>
      <w:snapToGrid w:val="0"/>
      <w:spacing w:line="360" w:lineRule="auto"/>
      <w:jc w:val="center"/>
    </w:pPr>
    <w:rPr>
      <w:rFonts w:ascii="Arial" w:hAnsi="Arial" w:eastAsia="宋体" w:cs="Times New Roman"/>
      <w:spacing w:val="20"/>
      <w:sz w:val="21"/>
      <w:lang w:val="en-US" w:eastAsia="zh-CN" w:bidi="ar-SA"/>
    </w:rPr>
  </w:style>
  <w:style w:type="paragraph" w:customStyle="1" w:styleId="970">
    <w:name w:val="xl128"/>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971">
    <w:name w:val="样式 标题 3 + (西文) Times New Roman (中文) 宋体 小四 加粗"/>
    <w:basedOn w:val="9"/>
    <w:qFormat/>
    <w:uiPriority w:val="0"/>
    <w:pPr>
      <w:tabs>
        <w:tab w:val="left" w:pos="1021"/>
      </w:tabs>
      <w:spacing w:before="156" w:after="0" w:afterLines="50" w:line="360" w:lineRule="auto"/>
      <w:ind w:left="1021" w:hanging="1021"/>
    </w:pPr>
    <w:rPr>
      <w:rFonts w:ascii="宋体" w:hAnsi="宋体"/>
      <w:b w:val="0"/>
      <w:snapToGrid w:val="0"/>
      <w:sz w:val="28"/>
      <w:szCs w:val="28"/>
    </w:rPr>
  </w:style>
  <w:style w:type="paragraph" w:customStyle="1" w:styleId="972">
    <w:name w:val="默认段落字体 Para Char Char Char Char Char Char"/>
    <w:basedOn w:val="1"/>
    <w:qFormat/>
    <w:uiPriority w:val="0"/>
  </w:style>
  <w:style w:type="paragraph" w:customStyle="1" w:styleId="973">
    <w:name w:val="xl158"/>
    <w:basedOn w:val="1"/>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974">
    <w:name w:val="表样式2"/>
    <w:basedOn w:val="1"/>
    <w:qFormat/>
    <w:uiPriority w:val="0"/>
    <w:pPr>
      <w:jc w:val="center"/>
    </w:pPr>
    <w:rPr>
      <w:kern w:val="0"/>
    </w:rPr>
  </w:style>
  <w:style w:type="paragraph" w:customStyle="1" w:styleId="975">
    <w:name w:val="xl95"/>
    <w:basedOn w:val="1"/>
    <w:qFormat/>
    <w:uiPriority w:val="0"/>
    <w:pPr>
      <w:widowControl/>
      <w:spacing w:before="100" w:beforeAutospacing="1" w:after="100" w:afterAutospacing="1"/>
      <w:jc w:val="right"/>
    </w:pPr>
    <w:rPr>
      <w:rFonts w:ascii="Arial Unicode MS" w:hAnsi="Arial Unicode MS"/>
      <w:kern w:val="0"/>
      <w:sz w:val="12"/>
      <w:szCs w:val="12"/>
    </w:rPr>
  </w:style>
  <w:style w:type="paragraph" w:customStyle="1" w:styleId="976">
    <w:name w:val="xl100"/>
    <w:basedOn w:val="1"/>
    <w:qFormat/>
    <w:uiPriority w:val="0"/>
    <w:pPr>
      <w:widowControl/>
      <w:spacing w:before="100" w:beforeAutospacing="1" w:after="100" w:afterAutospacing="1"/>
      <w:jc w:val="left"/>
    </w:pPr>
    <w:rPr>
      <w:rFonts w:ascii="Arial Unicode MS" w:hAnsi="Arial Unicode MS"/>
      <w:kern w:val="0"/>
      <w:sz w:val="12"/>
      <w:szCs w:val="12"/>
    </w:rPr>
  </w:style>
  <w:style w:type="paragraph" w:customStyle="1" w:styleId="977">
    <w:name w:val="Char Char Char Char Char Char Char Char Char Char Char Char Char"/>
    <w:basedOn w:val="1"/>
    <w:qFormat/>
    <w:uiPriority w:val="0"/>
    <w:pPr>
      <w:widowControl/>
      <w:spacing w:after="160" w:line="240" w:lineRule="exact"/>
      <w:jc w:val="left"/>
    </w:pPr>
  </w:style>
  <w:style w:type="paragraph" w:customStyle="1" w:styleId="978">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79">
    <w:name w:val="CM88"/>
    <w:basedOn w:val="730"/>
    <w:next w:val="730"/>
    <w:qFormat/>
    <w:uiPriority w:val="0"/>
    <w:pPr>
      <w:spacing w:after="175"/>
    </w:pPr>
    <w:rPr>
      <w:rFonts w:ascii="黑体" w:eastAsia="黑体"/>
      <w:color w:val="auto"/>
    </w:rPr>
  </w:style>
  <w:style w:type="paragraph" w:customStyle="1" w:styleId="980">
    <w:name w:val="font14"/>
    <w:basedOn w:val="1"/>
    <w:qFormat/>
    <w:uiPriority w:val="0"/>
    <w:pPr>
      <w:widowControl/>
      <w:spacing w:before="100" w:beforeAutospacing="1" w:after="100" w:afterAutospacing="1"/>
      <w:jc w:val="left"/>
    </w:pPr>
    <w:rPr>
      <w:rFonts w:ascii="宋体" w:hAnsi="宋体"/>
      <w:b/>
      <w:bCs/>
      <w:i/>
      <w:iCs/>
      <w:kern w:val="0"/>
      <w:sz w:val="22"/>
      <w:szCs w:val="22"/>
    </w:rPr>
  </w:style>
  <w:style w:type="paragraph" w:customStyle="1" w:styleId="981">
    <w:name w:val="xl67"/>
    <w:basedOn w:val="1"/>
    <w:qFormat/>
    <w:uiPriority w:val="0"/>
    <w:pPr>
      <w:widowControl/>
      <w:spacing w:before="100" w:beforeAutospacing="1" w:after="100" w:afterAutospacing="1"/>
      <w:jc w:val="center"/>
    </w:pPr>
    <w:rPr>
      <w:rFonts w:ascii="宋体" w:hAnsi="宋体"/>
      <w:b/>
      <w:bCs/>
      <w:kern w:val="0"/>
      <w:sz w:val="22"/>
      <w:szCs w:val="22"/>
    </w:rPr>
  </w:style>
  <w:style w:type="paragraph" w:customStyle="1" w:styleId="982">
    <w:name w:val="xl89"/>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983">
    <w:name w:val="Char Char 字元 字元 字元 Char Char Char Char"/>
    <w:basedOn w:val="1"/>
    <w:qFormat/>
    <w:uiPriority w:val="0"/>
    <w:pPr>
      <w:adjustRightInd w:val="0"/>
      <w:spacing w:line="360" w:lineRule="auto"/>
    </w:pPr>
  </w:style>
  <w:style w:type="paragraph" w:customStyle="1" w:styleId="984">
    <w:name w:val="Char Char8 Char"/>
    <w:basedOn w:val="9"/>
    <w:semiHidden/>
    <w:qFormat/>
    <w:uiPriority w:val="0"/>
    <w:pPr>
      <w:tabs>
        <w:tab w:val="left" w:pos="360"/>
        <w:tab w:val="left" w:pos="900"/>
      </w:tabs>
      <w:spacing w:before="0" w:after="120" w:line="360" w:lineRule="auto"/>
      <w:ind w:left="542" w:leftChars="-12" w:firstLine="200" w:firstLineChars="200"/>
    </w:pPr>
    <w:rPr>
      <w:rFonts w:ascii="宋体" w:hAnsi="宋体" w:cs="宋体"/>
      <w:b w:val="0"/>
      <w:bCs w:val="0"/>
      <w:sz w:val="24"/>
      <w:szCs w:val="24"/>
    </w:rPr>
  </w:style>
  <w:style w:type="paragraph" w:customStyle="1" w:styleId="985">
    <w:name w:val="xl29"/>
    <w:basedOn w:val="1"/>
    <w:qFormat/>
    <w:uiPriority w:val="0"/>
    <w:pPr>
      <w:widowControl/>
      <w:spacing w:before="100" w:beforeAutospacing="1" w:after="100" w:afterAutospacing="1"/>
      <w:jc w:val="left"/>
      <w:textAlignment w:val="bottom"/>
    </w:pPr>
    <w:rPr>
      <w:rFonts w:ascii="Arial" w:hAnsi="Arial" w:cs="Arial"/>
      <w:b/>
      <w:bCs/>
      <w:kern w:val="0"/>
      <w:sz w:val="22"/>
      <w:szCs w:val="22"/>
    </w:rPr>
  </w:style>
  <w:style w:type="paragraph" w:customStyle="1" w:styleId="986">
    <w:name w:val="封面"/>
    <w:basedOn w:val="1"/>
    <w:qFormat/>
    <w:uiPriority w:val="0"/>
    <w:pPr>
      <w:adjustRightInd w:val="0"/>
      <w:spacing w:before="60" w:line="360" w:lineRule="auto"/>
      <w:ind w:firstLine="482"/>
      <w:jc w:val="center"/>
      <w:textAlignment w:val="baseline"/>
    </w:pPr>
    <w:rPr>
      <w:rFonts w:ascii="Arial" w:hAnsi="Arial" w:eastAsia="仿宋_GB2312"/>
      <w:b/>
      <w:kern w:val="0"/>
      <w:sz w:val="30"/>
      <w:szCs w:val="20"/>
    </w:rPr>
  </w:style>
  <w:style w:type="paragraph" w:customStyle="1" w:styleId="987">
    <w:name w:val="Char21"/>
    <w:basedOn w:val="1"/>
    <w:qFormat/>
    <w:uiPriority w:val="0"/>
    <w:pPr>
      <w:spacing w:line="360" w:lineRule="auto"/>
      <w:ind w:firstLine="200" w:firstLineChars="200"/>
    </w:pPr>
    <w:rPr>
      <w:rFonts w:ascii="宋体" w:hAnsi="宋体" w:cs="宋体"/>
      <w:sz w:val="24"/>
    </w:rPr>
  </w:style>
  <w:style w:type="paragraph" w:customStyle="1" w:styleId="988">
    <w:name w:val="简单回函地址"/>
    <w:basedOn w:val="1"/>
    <w:qFormat/>
    <w:uiPriority w:val="0"/>
  </w:style>
  <w:style w:type="paragraph" w:customStyle="1" w:styleId="989">
    <w:name w:val="页眉左"/>
    <w:basedOn w:val="56"/>
    <w:qFormat/>
    <w:uiPriority w:val="0"/>
    <w:pPr>
      <w:pBdr>
        <w:bottom w:val="none" w:color="auto" w:sz="0" w:space="0"/>
      </w:pBdr>
      <w:adjustRightInd w:val="0"/>
      <w:snapToGrid/>
      <w:spacing w:before="60" w:after="60" w:line="240" w:lineRule="atLeast"/>
      <w:jc w:val="left"/>
      <w:textAlignment w:val="baseline"/>
    </w:pPr>
    <w:rPr>
      <w:sz w:val="22"/>
      <w:lang w:val="en-GB"/>
    </w:rPr>
  </w:style>
  <w:style w:type="paragraph" w:customStyle="1" w:styleId="990">
    <w:name w:val="样式 四号"/>
    <w:basedOn w:val="1"/>
    <w:qFormat/>
    <w:uiPriority w:val="0"/>
    <w:pPr>
      <w:spacing w:line="360" w:lineRule="auto"/>
      <w:ind w:firstLine="480" w:firstLineChars="200"/>
    </w:pPr>
    <w:rPr>
      <w:rFonts w:ascii="宋体" w:hAnsi="宋体"/>
      <w:snapToGrid w:val="0"/>
      <w:kern w:val="0"/>
      <w:sz w:val="24"/>
    </w:rPr>
  </w:style>
  <w:style w:type="paragraph" w:customStyle="1" w:styleId="991">
    <w:name w:val="Char12"/>
    <w:basedOn w:val="1"/>
    <w:qFormat/>
    <w:uiPriority w:val="0"/>
  </w:style>
  <w:style w:type="paragraph" w:customStyle="1" w:styleId="992">
    <w:name w:val="样式 标题 3 + 段前: 0.5 行 段后: 0.2 行"/>
    <w:basedOn w:val="9"/>
    <w:qFormat/>
    <w:uiPriority w:val="0"/>
    <w:pPr>
      <w:spacing w:before="0" w:beforeLines="30" w:after="0" w:line="600" w:lineRule="exact"/>
      <w:ind w:firstLine="480" w:firstLineChars="200"/>
    </w:pPr>
    <w:rPr>
      <w:rFonts w:eastAsia="黑体" w:cs="宋体"/>
      <w:b w:val="0"/>
      <w:sz w:val="26"/>
      <w:szCs w:val="20"/>
    </w:rPr>
  </w:style>
  <w:style w:type="paragraph" w:customStyle="1" w:styleId="993">
    <w:name w:val="目录"/>
    <w:basedOn w:val="8"/>
    <w:next w:val="1"/>
    <w:qFormat/>
    <w:uiPriority w:val="0"/>
    <w:pPr>
      <w:keepLines w:val="0"/>
      <w:widowControl/>
      <w:tabs>
        <w:tab w:val="left" w:pos="0"/>
        <w:tab w:val="left" w:pos="8280"/>
      </w:tabs>
      <w:spacing w:before="480" w:after="60" w:line="480" w:lineRule="exact"/>
      <w:ind w:right="50" w:rightChars="50"/>
      <w:jc w:val="left"/>
    </w:pPr>
    <w:rPr>
      <w:b w:val="0"/>
      <w:iCs/>
      <w:kern w:val="44"/>
      <w:szCs w:val="28"/>
      <w:lang w:eastAsia="en-US" w:bidi="en-US"/>
    </w:rPr>
  </w:style>
  <w:style w:type="paragraph" w:customStyle="1" w:styleId="994">
    <w:name w:val="默认段落字体 Para Char Char Char Char Char Char Char"/>
    <w:basedOn w:val="1"/>
    <w:qFormat/>
    <w:uiPriority w:val="0"/>
    <w:pPr>
      <w:adjustRightInd w:val="0"/>
      <w:spacing w:line="360" w:lineRule="auto"/>
      <w:textAlignment w:val="baseline"/>
    </w:pPr>
    <w:rPr>
      <w:kern w:val="0"/>
      <w:sz w:val="24"/>
      <w:szCs w:val="20"/>
    </w:rPr>
  </w:style>
  <w:style w:type="paragraph" w:customStyle="1" w:styleId="995">
    <w:name w:val="封面 宋体"/>
    <w:basedOn w:val="996"/>
    <w:qFormat/>
    <w:uiPriority w:val="0"/>
    <w:rPr>
      <w:rFonts w:ascii="宋体-方正超大字符集" w:hAnsi="宋体-方正超大字符集" w:eastAsia="宋体-方正超大字符集"/>
      <w:b w:val="0"/>
      <w:bCs/>
      <w:sz w:val="32"/>
    </w:rPr>
  </w:style>
  <w:style w:type="paragraph" w:customStyle="1" w:styleId="996">
    <w:name w:val="封面 黑体"/>
    <w:basedOn w:val="1"/>
    <w:qFormat/>
    <w:uiPriority w:val="0"/>
    <w:pPr>
      <w:spacing w:before="240" w:after="240" w:line="480" w:lineRule="exact"/>
      <w:jc w:val="center"/>
    </w:pPr>
    <w:rPr>
      <w:b/>
      <w:sz w:val="30"/>
    </w:rPr>
  </w:style>
  <w:style w:type="paragraph" w:customStyle="1" w:styleId="997">
    <w:name w:val="表格段落1"/>
    <w:basedOn w:val="1"/>
    <w:qFormat/>
    <w:uiPriority w:val="0"/>
    <w:pPr>
      <w:adjustRightInd w:val="0"/>
      <w:snapToGrid w:val="0"/>
      <w:spacing w:line="320" w:lineRule="exact"/>
      <w:jc w:val="center"/>
    </w:pPr>
  </w:style>
  <w:style w:type="paragraph" w:customStyle="1" w:styleId="998">
    <w:name w:val="小五表文"/>
    <w:qFormat/>
    <w:uiPriority w:val="0"/>
    <w:pPr>
      <w:jc w:val="center"/>
    </w:pPr>
    <w:rPr>
      <w:rFonts w:ascii="Times New Roman" w:hAnsi="Times New Roman" w:eastAsia="仿宋_GB2312" w:cs="Times New Roman"/>
      <w:sz w:val="18"/>
      <w:lang w:val="en-US" w:eastAsia="zh-CN" w:bidi="ar-SA"/>
    </w:rPr>
  </w:style>
  <w:style w:type="paragraph" w:customStyle="1" w:styleId="999">
    <w:name w:val="xl83"/>
    <w:basedOn w:val="1"/>
    <w:qFormat/>
    <w:uiPriority w:val="0"/>
    <w:pPr>
      <w:widowControl/>
      <w:pBdr>
        <w:top w:val="single" w:color="auto" w:sz="12" w:space="0"/>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00">
    <w:name w:val="style23"/>
    <w:basedOn w:val="1"/>
    <w:qFormat/>
    <w:uiPriority w:val="0"/>
    <w:pPr>
      <w:widowControl/>
      <w:spacing w:before="100" w:beforeAutospacing="1" w:after="100" w:afterAutospacing="1"/>
      <w:jc w:val="left"/>
    </w:pPr>
    <w:rPr>
      <w:rFonts w:ascii="宋体" w:hAnsi="宋体"/>
      <w:b/>
      <w:bCs/>
      <w:color w:val="990000"/>
      <w:kern w:val="0"/>
    </w:rPr>
  </w:style>
  <w:style w:type="paragraph" w:customStyle="1" w:styleId="1001">
    <w:name w:val="说明书"/>
    <w:basedOn w:val="1"/>
    <w:qFormat/>
    <w:uiPriority w:val="0"/>
    <w:pPr>
      <w:widowControl/>
      <w:adjustRightInd w:val="0"/>
      <w:spacing w:line="500" w:lineRule="exact"/>
      <w:ind w:firstLine="624"/>
      <w:contextualSpacing/>
      <w:jc w:val="left"/>
      <w:textAlignment w:val="baseline"/>
    </w:pPr>
    <w:rPr>
      <w:rFonts w:ascii="Arial" w:hAnsi="Arial" w:cs="宋体"/>
      <w:kern w:val="0"/>
      <w:sz w:val="28"/>
      <w:szCs w:val="20"/>
    </w:rPr>
  </w:style>
  <w:style w:type="paragraph" w:customStyle="1" w:styleId="1002">
    <w:name w:val="xl194"/>
    <w:basedOn w:val="1"/>
    <w:qFormat/>
    <w:uiPriority w:val="0"/>
    <w:pPr>
      <w:widowControl/>
      <w:spacing w:before="100" w:beforeAutospacing="1" w:after="100" w:afterAutospacing="1"/>
      <w:jc w:val="center"/>
    </w:pPr>
    <w:rPr>
      <w:kern w:val="0"/>
      <w:sz w:val="16"/>
      <w:szCs w:val="16"/>
    </w:rPr>
  </w:style>
  <w:style w:type="paragraph" w:customStyle="1" w:styleId="1003">
    <w:name w:val="Char Char Char Char Char Char1 Char Char Char Char Char Char Char"/>
    <w:basedOn w:val="1"/>
    <w:qFormat/>
    <w:uiPriority w:val="0"/>
  </w:style>
  <w:style w:type="paragraph" w:customStyle="1" w:styleId="1004">
    <w:name w:val="样式111"/>
    <w:basedOn w:val="689"/>
    <w:qFormat/>
    <w:uiPriority w:val="0"/>
    <w:rPr>
      <w:sz w:val="21"/>
    </w:rPr>
  </w:style>
  <w:style w:type="paragraph" w:customStyle="1" w:styleId="1005">
    <w:name w:val="xl138"/>
    <w:basedOn w:val="1"/>
    <w:qFormat/>
    <w:uiPriority w:val="0"/>
    <w:pPr>
      <w:widowControl/>
      <w:pBdr>
        <w:left w:val="single" w:color="auto" w:sz="4" w:space="0"/>
        <w:bottom w:val="single" w:color="auto" w:sz="8" w:space="0"/>
      </w:pBdr>
      <w:spacing w:before="100" w:beforeAutospacing="1" w:after="100" w:afterAutospacing="1"/>
      <w:jc w:val="center"/>
      <w:textAlignment w:val="center"/>
    </w:pPr>
    <w:rPr>
      <w:kern w:val="0"/>
      <w:sz w:val="12"/>
      <w:szCs w:val="12"/>
    </w:rPr>
  </w:style>
  <w:style w:type="paragraph" w:customStyle="1" w:styleId="1006">
    <w:name w:val="样式11"/>
    <w:basedOn w:val="484"/>
    <w:qFormat/>
    <w:uiPriority w:val="0"/>
    <w:pPr>
      <w:adjustRightInd w:val="0"/>
      <w:spacing w:line="240" w:lineRule="auto"/>
      <w:textAlignment w:val="baseline"/>
    </w:pPr>
    <w:rPr>
      <w:rFonts w:ascii="仿宋_GB2312" w:eastAsia="仿宋_GB2312"/>
      <w:color w:val="000000"/>
      <w:sz w:val="24"/>
      <w:szCs w:val="24"/>
    </w:rPr>
  </w:style>
  <w:style w:type="paragraph" w:customStyle="1" w:styleId="1007">
    <w:name w:val="dash6b63-658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8">
    <w:name w:val="font9"/>
    <w:basedOn w:val="1"/>
    <w:qFormat/>
    <w:uiPriority w:val="0"/>
    <w:pPr>
      <w:widowControl/>
      <w:spacing w:before="100" w:beforeAutospacing="1" w:after="100" w:afterAutospacing="1"/>
      <w:jc w:val="left"/>
    </w:pPr>
    <w:rPr>
      <w:rFonts w:ascii="Arial" w:hAnsi="Arial" w:cs="Arial"/>
      <w:b/>
      <w:bCs/>
      <w:kern w:val="0"/>
      <w:sz w:val="28"/>
      <w:szCs w:val="28"/>
    </w:rPr>
  </w:style>
  <w:style w:type="paragraph" w:customStyle="1" w:styleId="1009">
    <w:name w:val="Char Char Char Char Char Char Char Char Char Char Char Char Char Char Char Char1"/>
    <w:basedOn w:val="1"/>
    <w:qFormat/>
    <w:uiPriority w:val="0"/>
  </w:style>
  <w:style w:type="paragraph" w:customStyle="1" w:styleId="1010">
    <w:name w:val="xl41"/>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011">
    <w:name w:val="xl137"/>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2"/>
      <w:szCs w:val="12"/>
    </w:rPr>
  </w:style>
  <w:style w:type="paragraph" w:customStyle="1" w:styleId="1012">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3">
    <w:name w:val="表中居中文字"/>
    <w:basedOn w:val="1"/>
    <w:qFormat/>
    <w:uiPriority w:val="0"/>
    <w:pPr>
      <w:numPr>
        <w:ilvl w:val="3"/>
        <w:numId w:val="11"/>
      </w:numPr>
      <w:tabs>
        <w:tab w:val="clear" w:pos="2249"/>
      </w:tabs>
      <w:ind w:left="0" w:firstLine="0"/>
    </w:pPr>
    <w:rPr>
      <w:rFonts w:ascii="宋体" w:hAnsi="宋体" w:cs="Arial"/>
      <w:bCs/>
      <w:color w:val="FF0000"/>
      <w:sz w:val="24"/>
      <w:szCs w:val="18"/>
    </w:rPr>
  </w:style>
  <w:style w:type="paragraph" w:customStyle="1" w:styleId="1014">
    <w:name w:val="高段文"/>
    <w:basedOn w:val="1"/>
    <w:qFormat/>
    <w:uiPriority w:val="0"/>
    <w:pPr>
      <w:spacing w:line="300" w:lineRule="auto"/>
      <w:ind w:firstLine="200" w:firstLineChars="200"/>
    </w:pPr>
    <w:rPr>
      <w:rFonts w:ascii="Arial" w:hAnsi="Arial" w:eastAsia="楷体_GB2312"/>
      <w:sz w:val="28"/>
      <w:szCs w:val="28"/>
    </w:rPr>
  </w:style>
  <w:style w:type="paragraph" w:customStyle="1" w:styleId="1015">
    <w:name w:val="6"/>
    <w:basedOn w:val="1"/>
    <w:next w:val="75"/>
    <w:qFormat/>
    <w:uiPriority w:val="0"/>
    <w:pPr>
      <w:spacing w:after="120" w:line="480" w:lineRule="auto"/>
    </w:pPr>
  </w:style>
  <w:style w:type="paragraph" w:customStyle="1" w:styleId="1016">
    <w:name w:val="封面 名称"/>
    <w:basedOn w:val="996"/>
    <w:next w:val="996"/>
    <w:qFormat/>
    <w:uiPriority w:val="0"/>
    <w:pPr>
      <w:spacing w:line="640" w:lineRule="exact"/>
    </w:pPr>
    <w:rPr>
      <w:rFonts w:eastAsia="宋体-方正超大字符集"/>
      <w:spacing w:val="40"/>
      <w:sz w:val="44"/>
      <w:szCs w:val="44"/>
    </w:rPr>
  </w:style>
  <w:style w:type="paragraph" w:customStyle="1" w:styleId="1017">
    <w:name w:val="EIA正文"/>
    <w:basedOn w:val="1"/>
    <w:qFormat/>
    <w:uiPriority w:val="0"/>
    <w:pPr>
      <w:ind w:firstLine="200" w:firstLineChars="200"/>
    </w:pPr>
    <w:rPr>
      <w:color w:val="000000"/>
      <w:sz w:val="24"/>
      <w:szCs w:val="20"/>
    </w:rPr>
  </w:style>
  <w:style w:type="paragraph" w:customStyle="1" w:styleId="1018">
    <w:name w:val="MTDisplayEquation"/>
    <w:basedOn w:val="1"/>
    <w:next w:val="1"/>
    <w:qFormat/>
    <w:uiPriority w:val="0"/>
    <w:pPr>
      <w:tabs>
        <w:tab w:val="center" w:pos="4540"/>
        <w:tab w:val="right" w:pos="9080"/>
      </w:tabs>
      <w:snapToGrid w:val="0"/>
      <w:spacing w:line="360" w:lineRule="auto"/>
    </w:pPr>
    <w:rPr>
      <w:i/>
    </w:rPr>
  </w:style>
  <w:style w:type="paragraph" w:customStyle="1" w:styleId="1019">
    <w:name w:val="Plain Text1"/>
    <w:basedOn w:val="1"/>
    <w:qFormat/>
    <w:uiPriority w:val="0"/>
    <w:pPr>
      <w:widowControl/>
      <w:autoSpaceDE w:val="0"/>
      <w:autoSpaceDN w:val="0"/>
      <w:adjustRightInd w:val="0"/>
      <w:contextualSpacing/>
      <w:jc w:val="left"/>
    </w:pPr>
    <w:rPr>
      <w:rFonts w:cs="宋体"/>
      <w:kern w:val="0"/>
      <w:szCs w:val="20"/>
    </w:rPr>
  </w:style>
  <w:style w:type="paragraph" w:customStyle="1" w:styleId="1020">
    <w:name w:val="样式3"/>
    <w:basedOn w:val="1"/>
    <w:qFormat/>
    <w:uiPriority w:val="0"/>
    <w:pPr>
      <w:widowControl/>
      <w:jc w:val="left"/>
    </w:pPr>
    <w:rPr>
      <w:spacing w:val="-4"/>
      <w:sz w:val="24"/>
    </w:rPr>
  </w:style>
  <w:style w:type="paragraph" w:customStyle="1" w:styleId="1021">
    <w:name w:val="xl188"/>
    <w:basedOn w:val="1"/>
    <w:qFormat/>
    <w:uiPriority w:val="0"/>
    <w:pPr>
      <w:widowControl/>
      <w:spacing w:before="100" w:beforeAutospacing="1" w:after="100" w:afterAutospacing="1"/>
      <w:jc w:val="left"/>
      <w:textAlignment w:val="center"/>
    </w:pPr>
    <w:rPr>
      <w:kern w:val="0"/>
      <w:sz w:val="12"/>
      <w:szCs w:val="12"/>
    </w:rPr>
  </w:style>
  <w:style w:type="paragraph" w:customStyle="1" w:styleId="1022">
    <w:name w:val="xl1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023">
    <w:name w:val="xl19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kern w:val="0"/>
    </w:rPr>
  </w:style>
  <w:style w:type="paragraph" w:customStyle="1" w:styleId="1024">
    <w:name w:val="样式 四号 首行缩进:  2 字符"/>
    <w:basedOn w:val="1"/>
    <w:qFormat/>
    <w:uiPriority w:val="0"/>
    <w:pPr>
      <w:spacing w:line="480" w:lineRule="atLeast"/>
      <w:ind w:firstLine="200" w:firstLineChars="200"/>
    </w:pPr>
    <w:rPr>
      <w:sz w:val="24"/>
    </w:rPr>
  </w:style>
  <w:style w:type="paragraph" w:customStyle="1" w:styleId="1025">
    <w:name w:val="Char3"/>
    <w:basedOn w:val="1"/>
    <w:qFormat/>
    <w:uiPriority w:val="0"/>
    <w:pPr>
      <w:spacing w:before="60" w:line="360" w:lineRule="auto"/>
      <w:ind w:firstLine="200" w:firstLineChars="200"/>
    </w:pPr>
    <w:rPr>
      <w:rFonts w:eastAsia="黑体"/>
      <w:sz w:val="30"/>
    </w:rPr>
  </w:style>
  <w:style w:type="paragraph" w:customStyle="1" w:styleId="1026">
    <w:name w:val="unnamed1"/>
    <w:basedOn w:val="1"/>
    <w:qFormat/>
    <w:uiPriority w:val="0"/>
    <w:pPr>
      <w:widowControl/>
      <w:spacing w:before="100" w:beforeAutospacing="1" w:after="100" w:afterAutospacing="1" w:line="345" w:lineRule="atLeast"/>
      <w:jc w:val="left"/>
    </w:pPr>
    <w:rPr>
      <w:rFonts w:ascii="ˎ̥" w:hAnsi="ˎ̥" w:cs="宋体"/>
      <w:color w:val="000000"/>
      <w:kern w:val="0"/>
      <w:sz w:val="18"/>
      <w:szCs w:val="18"/>
    </w:rPr>
  </w:style>
  <w:style w:type="paragraph" w:customStyle="1" w:styleId="1027">
    <w:name w:val="xl97"/>
    <w:basedOn w:val="1"/>
    <w:qFormat/>
    <w:uiPriority w:val="0"/>
    <w:pPr>
      <w:widowControl/>
      <w:pBdr>
        <w:top w:val="single" w:color="auto" w:sz="12" w:space="0"/>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28">
    <w:name w:val="00000000000000"/>
    <w:basedOn w:val="1"/>
    <w:qFormat/>
    <w:uiPriority w:val="0"/>
    <w:pPr>
      <w:adjustRightInd w:val="0"/>
      <w:snapToGrid w:val="0"/>
      <w:spacing w:line="360" w:lineRule="auto"/>
      <w:ind w:firstLine="480" w:firstLineChars="200"/>
    </w:pPr>
    <w:rPr>
      <w:rFonts w:ascii="宋体" w:hAnsi="宋体"/>
      <w:bCs/>
      <w:kern w:val="18"/>
      <w:sz w:val="24"/>
    </w:rPr>
  </w:style>
  <w:style w:type="paragraph" w:customStyle="1" w:styleId="1029">
    <w:name w:val="五号 居中"/>
    <w:basedOn w:val="1"/>
    <w:qFormat/>
    <w:uiPriority w:val="0"/>
    <w:pPr>
      <w:snapToGrid w:val="0"/>
      <w:spacing w:line="500" w:lineRule="exact"/>
      <w:jc w:val="center"/>
    </w:pPr>
    <w:rPr>
      <w:rFonts w:cs="宋体"/>
      <w:kern w:val="0"/>
      <w:szCs w:val="20"/>
    </w:rPr>
  </w:style>
  <w:style w:type="paragraph" w:customStyle="1" w:styleId="1030">
    <w:name w:val="xl114"/>
    <w:basedOn w:val="1"/>
    <w:qFormat/>
    <w:uiPriority w:val="0"/>
    <w:pPr>
      <w:widowControl/>
      <w:pBdr>
        <w:left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031">
    <w:name w:val="xl93"/>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1032">
    <w:name w:val="样式 标题 21.1标题 21.1标题2标题 2 Char1节_Heading 2标2 + 段前: 0.5 行..."/>
    <w:basedOn w:val="8"/>
    <w:qFormat/>
    <w:uiPriority w:val="0"/>
    <w:pPr>
      <w:keepNext w:val="0"/>
      <w:adjustRightInd w:val="0"/>
      <w:snapToGrid w:val="0"/>
      <w:spacing w:before="120" w:beforeLines="50" w:after="120" w:afterLines="50" w:line="240" w:lineRule="auto"/>
      <w:ind w:left="576" w:hanging="576"/>
      <w:contextualSpacing/>
      <w:jc w:val="left"/>
    </w:pPr>
    <w:rPr>
      <w:rFonts w:ascii="宋体" w:hAnsi="宋体" w:eastAsia="宋体" w:cs="宋体"/>
      <w:bCs w:val="0"/>
      <w:color w:val="000000"/>
      <w:sz w:val="24"/>
      <w:szCs w:val="20"/>
    </w:rPr>
  </w:style>
  <w:style w:type="paragraph" w:customStyle="1" w:styleId="1033">
    <w:name w:val="样式 样式 首行缩进:  2 字符1 + 首行缩进:  2 字符"/>
    <w:basedOn w:val="1"/>
    <w:qFormat/>
    <w:uiPriority w:val="0"/>
    <w:pPr>
      <w:adjustRightInd w:val="0"/>
      <w:spacing w:line="360" w:lineRule="auto"/>
      <w:ind w:firstLine="519" w:firstLineChars="200"/>
    </w:pPr>
    <w:rPr>
      <w:rFonts w:cs="宋体"/>
      <w:snapToGrid w:val="0"/>
      <w:kern w:val="0"/>
      <w:sz w:val="28"/>
      <w:szCs w:val="28"/>
    </w:rPr>
  </w:style>
  <w:style w:type="paragraph" w:customStyle="1" w:styleId="1034">
    <w:name w:val="Char Char1 Char"/>
    <w:basedOn w:val="1"/>
    <w:qFormat/>
    <w:uiPriority w:val="0"/>
    <w:pPr>
      <w:spacing w:line="360" w:lineRule="auto"/>
      <w:ind w:firstLine="200" w:firstLineChars="200"/>
    </w:pPr>
  </w:style>
  <w:style w:type="paragraph" w:customStyle="1" w:styleId="1035">
    <w:name w:val="xl65"/>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036">
    <w:name w:val="xl147"/>
    <w:basedOn w:val="1"/>
    <w:qFormat/>
    <w:uiPriority w:val="0"/>
    <w:pPr>
      <w:widowControl/>
      <w:spacing w:before="100" w:beforeAutospacing="1" w:after="100" w:afterAutospacing="1"/>
      <w:jc w:val="center"/>
    </w:pPr>
    <w:rPr>
      <w:rFonts w:ascii="Arial Unicode MS" w:hAnsi="Arial Unicode MS"/>
      <w:kern w:val="0"/>
    </w:rPr>
  </w:style>
  <w:style w:type="paragraph" w:customStyle="1" w:styleId="1037">
    <w:name w:val="图框"/>
    <w:basedOn w:val="1"/>
    <w:qFormat/>
    <w:uiPriority w:val="0"/>
    <w:pPr>
      <w:jc w:val="center"/>
    </w:pPr>
    <w:rPr>
      <w:szCs w:val="15"/>
    </w:rPr>
  </w:style>
  <w:style w:type="paragraph" w:customStyle="1" w:styleId="1038">
    <w:name w:val="xl63"/>
    <w:basedOn w:val="1"/>
    <w:qFormat/>
    <w:uiPriority w:val="0"/>
    <w:pPr>
      <w:widowControl/>
      <w:spacing w:before="100" w:after="100"/>
      <w:jc w:val="center"/>
      <w:textAlignment w:val="center"/>
    </w:pPr>
    <w:rPr>
      <w:rFonts w:hint="eastAsia" w:ascii="黑体" w:hAnsi="宋体" w:eastAsia="黑体"/>
      <w:kern w:val="0"/>
      <w:sz w:val="24"/>
      <w:szCs w:val="20"/>
    </w:rPr>
  </w:style>
  <w:style w:type="paragraph" w:customStyle="1" w:styleId="1039">
    <w:name w:val="样式1"/>
    <w:basedOn w:val="11"/>
    <w:qFormat/>
    <w:uiPriority w:val="0"/>
    <w:pPr>
      <w:keepNext w:val="0"/>
      <w:keepLines w:val="0"/>
      <w:tabs>
        <w:tab w:val="clear" w:pos="1008"/>
      </w:tabs>
      <w:spacing w:before="0" w:after="0" w:line="360" w:lineRule="exact"/>
      <w:ind w:left="0" w:firstLine="0"/>
      <w:jc w:val="center"/>
      <w:outlineLvl w:val="9"/>
    </w:pPr>
    <w:rPr>
      <w:rFonts w:ascii="宋体" w:hAnsi="宋体"/>
      <w:b w:val="0"/>
      <w:sz w:val="18"/>
      <w:szCs w:val="21"/>
    </w:rPr>
  </w:style>
  <w:style w:type="paragraph" w:styleId="1040">
    <w:name w:val="List Paragraph"/>
    <w:basedOn w:val="1"/>
    <w:qFormat/>
    <w:uiPriority w:val="34"/>
    <w:pPr>
      <w:ind w:firstLine="420" w:firstLineChars="200"/>
    </w:pPr>
    <w:rPr>
      <w:szCs w:val="20"/>
    </w:rPr>
  </w:style>
  <w:style w:type="paragraph" w:customStyle="1" w:styleId="1041">
    <w:name w:val="xl101"/>
    <w:basedOn w:val="1"/>
    <w:qFormat/>
    <w:uiPriority w:val="0"/>
    <w:pPr>
      <w:widowControl/>
      <w:pBdr>
        <w:left w:val="single" w:color="auto" w:sz="4" w:space="0"/>
        <w:righ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042">
    <w:name w:val="纯文本 + Times New Roman"/>
    <w:basedOn w:val="46"/>
    <w:qFormat/>
    <w:uiPriority w:val="0"/>
    <w:pPr>
      <w:pBdr>
        <w:bottom w:val="single" w:color="auto" w:sz="6" w:space="1"/>
      </w:pBdr>
      <w:jc w:val="center"/>
    </w:pPr>
    <w:rPr>
      <w:rFonts w:ascii="Times New Roman" w:hAnsi="Times New Roman" w:cs="Times New Roman"/>
    </w:rPr>
  </w:style>
  <w:style w:type="paragraph" w:customStyle="1" w:styleId="1043">
    <w:name w:val="font12"/>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1044">
    <w:name w:val="xl40"/>
    <w:basedOn w:val="1"/>
    <w:qFormat/>
    <w:uiPriority w:val="0"/>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1045">
    <w:name w:val="xl150"/>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046">
    <w:name w:val="main"/>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047">
    <w:name w:val="工艺1"/>
    <w:basedOn w:val="1"/>
    <w:qFormat/>
    <w:uiPriority w:val="0"/>
    <w:pPr>
      <w:adjustRightInd w:val="0"/>
      <w:snapToGrid w:val="0"/>
      <w:spacing w:line="360" w:lineRule="auto"/>
    </w:pPr>
    <w:rPr>
      <w:rFonts w:hint="eastAsia" w:ascii="宋体"/>
      <w:b/>
      <w:sz w:val="28"/>
      <w:szCs w:val="20"/>
    </w:rPr>
  </w:style>
  <w:style w:type="paragraph" w:customStyle="1" w:styleId="1048">
    <w:name w:val="默认段落字体 Para Char Char Char Char Char Char Char Char Char Char Char Char Char"/>
    <w:basedOn w:val="1"/>
    <w:qFormat/>
    <w:uiPriority w:val="0"/>
  </w:style>
  <w:style w:type="paragraph" w:customStyle="1" w:styleId="1049">
    <w:name w:val="图注"/>
    <w:basedOn w:val="1"/>
    <w:next w:val="1"/>
    <w:qFormat/>
    <w:uiPriority w:val="0"/>
    <w:pPr>
      <w:spacing w:before="120" w:line="320" w:lineRule="atLeast"/>
      <w:ind w:left="7" w:leftChars="-27" w:hanging="72" w:hangingChars="30"/>
      <w:jc w:val="center"/>
    </w:pPr>
    <w:rPr>
      <w:rFonts w:ascii="宋体" w:hAnsi="宋体"/>
      <w:bCs/>
      <w:color w:val="000000"/>
      <w:kern w:val="0"/>
      <w:sz w:val="24"/>
    </w:rPr>
  </w:style>
  <w:style w:type="paragraph" w:customStyle="1" w:styleId="1050">
    <w:name w:val="表格文字-居中"/>
    <w:basedOn w:val="1"/>
    <w:next w:val="1"/>
    <w:qFormat/>
    <w:uiPriority w:val="0"/>
    <w:pPr>
      <w:jc w:val="center"/>
    </w:pPr>
    <w:rPr>
      <w:rFonts w:ascii="宋体"/>
      <w:sz w:val="24"/>
    </w:rPr>
  </w:style>
  <w:style w:type="paragraph" w:customStyle="1" w:styleId="1051">
    <w:name w:val="报告标题2"/>
    <w:basedOn w:val="8"/>
    <w:qFormat/>
    <w:uiPriority w:val="0"/>
    <w:pPr>
      <w:tabs>
        <w:tab w:val="left" w:pos="840"/>
      </w:tabs>
      <w:spacing w:line="360" w:lineRule="auto"/>
      <w:ind w:left="840"/>
    </w:pPr>
    <w:rPr>
      <w:rFonts w:ascii="Times New Roman" w:hAnsi="Times New Roman" w:eastAsia="宋体"/>
      <w:kern w:val="0"/>
    </w:rPr>
  </w:style>
  <w:style w:type="paragraph" w:customStyle="1" w:styleId="1052">
    <w:name w:val="xl72"/>
    <w:basedOn w:val="1"/>
    <w:qFormat/>
    <w:uiPriority w:val="0"/>
    <w:pPr>
      <w:widowControl/>
      <w:spacing w:before="100" w:beforeAutospacing="1" w:after="100" w:afterAutospacing="1"/>
      <w:jc w:val="left"/>
    </w:pPr>
    <w:rPr>
      <w:rFonts w:ascii="宋体" w:hAnsi="宋体"/>
      <w:b/>
      <w:bCs/>
      <w:kern w:val="0"/>
      <w:sz w:val="24"/>
    </w:rPr>
  </w:style>
  <w:style w:type="paragraph" w:customStyle="1" w:styleId="1053">
    <w:name w:val="表格内容 + 左对齐"/>
    <w:basedOn w:val="322"/>
    <w:qFormat/>
    <w:uiPriority w:val="0"/>
    <w:rPr>
      <w:rFonts w:cs="宋体"/>
      <w:szCs w:val="20"/>
    </w:rPr>
  </w:style>
  <w:style w:type="paragraph" w:customStyle="1" w:styleId="1054">
    <w:name w:val="样式 四号 首行缩进:  2 字符 段前: 5 磅 段后: 5 磅 行距: 单倍行距"/>
    <w:basedOn w:val="1"/>
    <w:qFormat/>
    <w:uiPriority w:val="0"/>
    <w:pPr>
      <w:spacing w:before="100" w:beforeAutospacing="1" w:after="100" w:afterAutospacing="1"/>
      <w:ind w:firstLine="200" w:firstLineChars="200"/>
    </w:pPr>
    <w:rPr>
      <w:rFonts w:cs="宋体"/>
      <w:sz w:val="28"/>
      <w:szCs w:val="20"/>
    </w:rPr>
  </w:style>
  <w:style w:type="paragraph" w:customStyle="1" w:styleId="1055">
    <w:name w:val="xl37"/>
    <w:basedOn w:val="1"/>
    <w:qFormat/>
    <w:uiPriority w:val="0"/>
    <w:pPr>
      <w:widowControl/>
      <w:spacing w:before="100" w:beforeAutospacing="1" w:after="100" w:afterAutospacing="1"/>
      <w:jc w:val="left"/>
    </w:pPr>
    <w:rPr>
      <w:rFonts w:ascii="Arial" w:hAnsi="Arial" w:cs="Arial"/>
      <w:kern w:val="0"/>
      <w:sz w:val="24"/>
    </w:rPr>
  </w:style>
  <w:style w:type="paragraph" w:customStyle="1" w:styleId="1056">
    <w:name w:val="xl70"/>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1057">
    <w:name w:val="样式36"/>
    <w:basedOn w:val="1058"/>
    <w:qFormat/>
    <w:uiPriority w:val="0"/>
    <w:pPr>
      <w:tabs>
        <w:tab w:val="left" w:pos="540"/>
        <w:tab w:val="left" w:pos="5250"/>
      </w:tabs>
      <w:ind w:firstLine="554" w:firstLineChars="198"/>
    </w:pPr>
    <w:rPr>
      <w:bCs w:val="0"/>
      <w:szCs w:val="28"/>
    </w:rPr>
  </w:style>
  <w:style w:type="paragraph" w:customStyle="1" w:styleId="1058">
    <w:name w:val="样式29"/>
    <w:basedOn w:val="1"/>
    <w:qFormat/>
    <w:uiPriority w:val="0"/>
    <w:pPr>
      <w:tabs>
        <w:tab w:val="left" w:pos="540"/>
      </w:tabs>
      <w:ind w:firstLine="560" w:firstLineChars="200"/>
    </w:pPr>
    <w:rPr>
      <w:rFonts w:ascii="宋体" w:hAnsi="宋体"/>
      <w:bCs/>
      <w:color w:val="000000"/>
      <w:sz w:val="28"/>
    </w:rPr>
  </w:style>
  <w:style w:type="paragraph" w:customStyle="1" w:styleId="1059">
    <w:name w:val="宏福4"/>
    <w:basedOn w:val="1"/>
    <w:qFormat/>
    <w:uiPriority w:val="0"/>
    <w:pPr>
      <w:adjustRightInd w:val="0"/>
      <w:spacing w:line="400" w:lineRule="atLeast"/>
      <w:ind w:firstLine="567"/>
      <w:jc w:val="left"/>
      <w:textAlignment w:val="baseline"/>
    </w:pPr>
    <w:rPr>
      <w:sz w:val="28"/>
      <w:szCs w:val="28"/>
    </w:rPr>
  </w:style>
  <w:style w:type="paragraph" w:customStyle="1" w:styleId="1060">
    <w:name w:val="样式 调研标题2 + 非加粗"/>
    <w:basedOn w:val="1"/>
    <w:qFormat/>
    <w:uiPriority w:val="0"/>
    <w:pPr>
      <w:keepNext/>
      <w:keepLines/>
      <w:snapToGrid w:val="0"/>
      <w:spacing w:before="240" w:after="120" w:line="360" w:lineRule="exact"/>
      <w:outlineLvl w:val="1"/>
    </w:pPr>
    <w:rPr>
      <w:rFonts w:ascii="Arial" w:hAnsi="Arial" w:cs="宋体"/>
      <w:b/>
      <w:bCs/>
      <w:color w:val="000000"/>
      <w:sz w:val="28"/>
      <w:szCs w:val="32"/>
    </w:rPr>
  </w:style>
  <w:style w:type="paragraph" w:customStyle="1" w:styleId="1061">
    <w:name w:val="style2"/>
    <w:basedOn w:val="1"/>
    <w:qFormat/>
    <w:uiPriority w:val="0"/>
    <w:pPr>
      <w:widowControl/>
      <w:spacing w:before="100" w:beforeAutospacing="1" w:after="100" w:afterAutospacing="1"/>
      <w:jc w:val="left"/>
    </w:pPr>
    <w:rPr>
      <w:rFonts w:ascii="宋体" w:hAnsi="宋体"/>
      <w:kern w:val="0"/>
      <w:sz w:val="24"/>
    </w:rPr>
  </w:style>
  <w:style w:type="paragraph" w:customStyle="1" w:styleId="1062">
    <w:name w:val="1.1.1.1"/>
    <w:basedOn w:val="1"/>
    <w:qFormat/>
    <w:uiPriority w:val="0"/>
    <w:pPr>
      <w:spacing w:line="600" w:lineRule="exact"/>
      <w:outlineLvl w:val="0"/>
    </w:pPr>
    <w:rPr>
      <w:rFonts w:ascii="黑体" w:eastAsia="黑体"/>
      <w:sz w:val="24"/>
    </w:rPr>
  </w:style>
  <w:style w:type="paragraph" w:customStyle="1" w:styleId="1063">
    <w:name w:val="xl1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0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65">
    <w:name w:val="font15"/>
    <w:basedOn w:val="1"/>
    <w:qFormat/>
    <w:uiPriority w:val="0"/>
    <w:pPr>
      <w:widowControl/>
      <w:spacing w:before="100" w:beforeAutospacing="1" w:after="100" w:afterAutospacing="1"/>
      <w:jc w:val="left"/>
    </w:pPr>
    <w:rPr>
      <w:rFonts w:ascii="Tahoma" w:hAnsi="Tahoma" w:cs="Tahoma"/>
      <w:b/>
      <w:bCs/>
      <w:color w:val="000000"/>
      <w:kern w:val="0"/>
      <w:sz w:val="16"/>
      <w:szCs w:val="16"/>
    </w:rPr>
  </w:style>
  <w:style w:type="paragraph" w:customStyle="1" w:styleId="1066">
    <w:name w:val="Char6"/>
    <w:basedOn w:val="1"/>
    <w:qFormat/>
    <w:uiPriority w:val="0"/>
  </w:style>
  <w:style w:type="paragraph" w:customStyle="1" w:styleId="1067">
    <w:name w:val=".66l.66l"/>
    <w:basedOn w:val="1"/>
    <w:semiHidden/>
    <w:qFormat/>
    <w:uiPriority w:val="0"/>
    <w:pPr>
      <w:autoSpaceDE w:val="0"/>
      <w:autoSpaceDN w:val="0"/>
      <w:adjustRightInd w:val="0"/>
      <w:spacing w:line="312" w:lineRule="atLeast"/>
      <w:ind w:firstLine="570"/>
      <w:textAlignment w:val="baseline"/>
    </w:pPr>
    <w:rPr>
      <w:rFonts w:ascii="宋体"/>
      <w:kern w:val="0"/>
      <w:sz w:val="28"/>
      <w:szCs w:val="20"/>
    </w:rPr>
  </w:style>
  <w:style w:type="paragraph" w:customStyle="1" w:styleId="1068">
    <w:name w:val="环表头"/>
    <w:basedOn w:val="1"/>
    <w:qFormat/>
    <w:uiPriority w:val="0"/>
    <w:pPr>
      <w:widowControl/>
      <w:tabs>
        <w:tab w:val="left" w:pos="0"/>
      </w:tabs>
      <w:adjustRightInd w:val="0"/>
      <w:spacing w:beforeLines="50" w:afterLines="50" w:line="400" w:lineRule="exact"/>
      <w:ind w:right="-266"/>
      <w:jc w:val="center"/>
      <w:textAlignment w:val="baseline"/>
    </w:pPr>
    <w:rPr>
      <w:rFonts w:ascii="宋体" w:hAnsi="宋体"/>
      <w:b/>
      <w:kern w:val="0"/>
      <w:sz w:val="24"/>
    </w:rPr>
  </w:style>
  <w:style w:type="paragraph" w:customStyle="1" w:styleId="1069">
    <w:name w:val="Char Char Char Char Char Char Char Char Char Char Char Char Char2"/>
    <w:basedOn w:val="1"/>
    <w:qFormat/>
    <w:uiPriority w:val="0"/>
    <w:pPr>
      <w:spacing w:line="360" w:lineRule="auto"/>
      <w:ind w:firstLine="200" w:firstLineChars="200"/>
    </w:pPr>
    <w:rPr>
      <w:rFonts w:ascii="宋体" w:hAnsi="宋体" w:cs="宋体"/>
      <w:sz w:val="24"/>
    </w:rPr>
  </w:style>
  <w:style w:type="paragraph" w:customStyle="1" w:styleId="1070">
    <w:name w:val="xl84"/>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71">
    <w:name w:val="样式 标题 1 + 首行缩进:  2.5 字符"/>
    <w:basedOn w:val="7"/>
    <w:qFormat/>
    <w:uiPriority w:val="0"/>
    <w:pPr>
      <w:keepNext w:val="0"/>
      <w:tabs>
        <w:tab w:val="left" w:pos="390"/>
      </w:tabs>
      <w:overflowPunct/>
      <w:snapToGrid/>
      <w:spacing w:before="100" w:after="100" w:line="240" w:lineRule="auto"/>
      <w:ind w:left="390" w:hanging="390" w:firstLineChars="200"/>
    </w:pPr>
    <w:rPr>
      <w:rFonts w:ascii="Calibri" w:hAnsi="Calibri" w:eastAsia="楷体_GB2312"/>
      <w:color w:val="auto"/>
      <w:sz w:val="28"/>
      <w:szCs w:val="28"/>
    </w:rPr>
  </w:style>
  <w:style w:type="paragraph" w:customStyle="1" w:styleId="1072">
    <w:name w:val="xl64"/>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073">
    <w:name w:val="xl94"/>
    <w:basedOn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74">
    <w:name w:val="unnamed2"/>
    <w:basedOn w:val="1"/>
    <w:qFormat/>
    <w:uiPriority w:val="0"/>
    <w:pPr>
      <w:widowControl/>
      <w:spacing w:before="100" w:beforeAutospacing="1" w:after="100" w:afterAutospacing="1"/>
      <w:jc w:val="left"/>
    </w:pPr>
    <w:rPr>
      <w:rFonts w:ascii="宋体" w:hAnsi="宋体"/>
      <w:kern w:val="0"/>
      <w:sz w:val="24"/>
    </w:rPr>
  </w:style>
  <w:style w:type="paragraph" w:customStyle="1" w:styleId="1075">
    <w:name w:val="封面正文"/>
    <w:qFormat/>
    <w:uiPriority w:val="0"/>
    <w:pPr>
      <w:jc w:val="both"/>
    </w:pPr>
    <w:rPr>
      <w:rFonts w:ascii="Times New Roman" w:hAnsi="Times New Roman" w:eastAsia="宋体" w:cs="Times New Roman"/>
      <w:lang w:val="en-US" w:eastAsia="zh-CN" w:bidi="ar-SA"/>
    </w:rPr>
  </w:style>
  <w:style w:type="paragraph" w:customStyle="1" w:styleId="1076">
    <w:name w:val="样式 样式 样式 标题 3东明_小节H3条标题1.1.1二级节名h33rd level3l3CTHeading 3 - ... ..."/>
    <w:basedOn w:val="772"/>
    <w:qFormat/>
    <w:uiPriority w:val="0"/>
    <w:pPr>
      <w:spacing w:after="0"/>
    </w:pPr>
  </w:style>
  <w:style w:type="paragraph" w:customStyle="1" w:styleId="1077">
    <w:name w:val="样式 标题 4 + 黑色 左侧:  -0.01 厘米 首行缩进:  0.01 厘米"/>
    <w:basedOn w:val="10"/>
    <w:qFormat/>
    <w:uiPriority w:val="0"/>
    <w:pPr>
      <w:tabs>
        <w:tab w:val="left" w:pos="1080"/>
        <w:tab w:val="left" w:pos="1680"/>
      </w:tabs>
      <w:spacing w:before="0" w:beforeLines="50" w:after="0" w:line="312" w:lineRule="auto"/>
      <w:ind w:left="864" w:hanging="864" w:firstLineChars="250"/>
      <w:jc w:val="left"/>
    </w:pPr>
    <w:rPr>
      <w:rFonts w:ascii="仿宋_GB2312" w:hAnsi="Arial" w:eastAsia="仿宋_GB2312" w:cs="宋体"/>
      <w:b w:val="0"/>
      <w:bCs w:val="0"/>
      <w:color w:val="000000"/>
      <w:szCs w:val="20"/>
    </w:rPr>
  </w:style>
  <w:style w:type="paragraph" w:customStyle="1" w:styleId="1078">
    <w:name w:val="徐正文"/>
    <w:basedOn w:val="1"/>
    <w:qFormat/>
    <w:uiPriority w:val="0"/>
    <w:pPr>
      <w:adjustRightInd w:val="0"/>
      <w:snapToGrid w:val="0"/>
      <w:spacing w:line="500" w:lineRule="atLeast"/>
      <w:ind w:firstLine="200" w:firstLineChars="200"/>
    </w:pPr>
    <w:rPr>
      <w:rFonts w:ascii="宋体" w:hAnsi="宋体"/>
      <w:bCs/>
      <w:sz w:val="24"/>
    </w:rPr>
  </w:style>
  <w:style w:type="paragraph" w:customStyle="1" w:styleId="1079">
    <w:name w:val="样式110"/>
    <w:basedOn w:val="1080"/>
    <w:qFormat/>
    <w:uiPriority w:val="0"/>
    <w:pPr>
      <w:adjustRightInd w:val="0"/>
    </w:pPr>
  </w:style>
  <w:style w:type="paragraph" w:customStyle="1" w:styleId="1080">
    <w:name w:val="图框文字"/>
    <w:basedOn w:val="1"/>
    <w:qFormat/>
    <w:uiPriority w:val="0"/>
    <w:pPr>
      <w:jc w:val="center"/>
      <w:textAlignment w:val="center"/>
    </w:pPr>
  </w:style>
  <w:style w:type="paragraph" w:customStyle="1" w:styleId="1081">
    <w:name w:val="xl86"/>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1082">
    <w:name w:val="xl189"/>
    <w:basedOn w:val="1"/>
    <w:qFormat/>
    <w:uiPriority w:val="0"/>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1083">
    <w:name w:val="xl74"/>
    <w:basedOn w:val="1"/>
    <w:qFormat/>
    <w:uiPriority w:val="0"/>
    <w:pPr>
      <w:widowControl/>
      <w:spacing w:before="100" w:beforeAutospacing="1" w:after="100" w:afterAutospacing="1"/>
      <w:jc w:val="left"/>
    </w:pPr>
    <w:rPr>
      <w:rFonts w:ascii="宋体" w:hAnsi="宋体"/>
      <w:kern w:val="0"/>
      <w:sz w:val="24"/>
    </w:rPr>
  </w:style>
  <w:style w:type="paragraph" w:customStyle="1" w:styleId="1084">
    <w:name w:val="font8"/>
    <w:basedOn w:val="1"/>
    <w:qFormat/>
    <w:uiPriority w:val="0"/>
    <w:pPr>
      <w:widowControl/>
      <w:spacing w:before="100" w:beforeAutospacing="1" w:after="100" w:afterAutospacing="1"/>
      <w:jc w:val="left"/>
    </w:pPr>
    <w:rPr>
      <w:rFonts w:ascii="Arial" w:hAnsi="Arial" w:cs="Arial"/>
      <w:b/>
      <w:bCs/>
      <w:kern w:val="0"/>
      <w:sz w:val="24"/>
    </w:rPr>
  </w:style>
  <w:style w:type="paragraph" w:customStyle="1" w:styleId="1085">
    <w:name w:val="Char1 Char Char Char Char Char Char"/>
    <w:basedOn w:val="1"/>
    <w:qFormat/>
    <w:uiPriority w:val="0"/>
    <w:pPr>
      <w:widowControl/>
      <w:contextualSpacing/>
      <w:jc w:val="left"/>
    </w:pPr>
    <w:rPr>
      <w:rFonts w:cs="宋体"/>
      <w:kern w:val="0"/>
    </w:rPr>
  </w:style>
  <w:style w:type="paragraph" w:customStyle="1" w:styleId="1086">
    <w:name w:val="xl185"/>
    <w:basedOn w:val="1"/>
    <w:qFormat/>
    <w:uiPriority w:val="0"/>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87">
    <w:name w:val="表格文字-左对齐"/>
    <w:basedOn w:val="1"/>
    <w:next w:val="1"/>
    <w:qFormat/>
    <w:uiPriority w:val="0"/>
    <w:rPr>
      <w:rFonts w:ascii="宋体"/>
      <w:sz w:val="24"/>
    </w:rPr>
  </w:style>
  <w:style w:type="paragraph" w:customStyle="1" w:styleId="1088">
    <w:name w:val="目录1"/>
    <w:basedOn w:val="60"/>
    <w:qFormat/>
    <w:uiPriority w:val="0"/>
    <w:pPr>
      <w:keepNext/>
      <w:widowControl/>
      <w:tabs>
        <w:tab w:val="right" w:leader="dot" w:pos="8160"/>
        <w:tab w:val="right" w:leader="dot" w:pos="8280"/>
        <w:tab w:val="right" w:leader="dot" w:pos="8820"/>
      </w:tabs>
      <w:snapToGrid/>
      <w:spacing w:beforeLines="50" w:afterLines="50" w:line="480" w:lineRule="exact"/>
    </w:pPr>
    <w:rPr>
      <w:rFonts w:ascii="宋体" w:hAnsi="宋体"/>
      <w:b w:val="0"/>
      <w:bCs w:val="0"/>
      <w:kern w:val="0"/>
      <w:sz w:val="30"/>
      <w:szCs w:val="24"/>
      <w:lang w:val="zh-CN" w:bidi="en-US"/>
    </w:rPr>
  </w:style>
  <w:style w:type="paragraph" w:customStyle="1" w:styleId="1089">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1090">
    <w:name w:val="菏泽-标题 3"/>
    <w:basedOn w:val="1"/>
    <w:next w:val="1"/>
    <w:qFormat/>
    <w:uiPriority w:val="0"/>
    <w:pPr>
      <w:keepNext/>
      <w:keepLines/>
      <w:overflowPunct w:val="0"/>
      <w:snapToGrid w:val="0"/>
      <w:spacing w:line="440" w:lineRule="exact"/>
      <w:ind w:firstLine="359" w:firstLineChars="128"/>
      <w:outlineLvl w:val="2"/>
    </w:pPr>
    <w:rPr>
      <w:rFonts w:ascii="华文细黑" w:hAnsi="华文细黑" w:eastAsia="华文细黑"/>
      <w:b/>
      <w:sz w:val="28"/>
      <w:szCs w:val="28"/>
    </w:rPr>
  </w:style>
  <w:style w:type="paragraph" w:customStyle="1" w:styleId="1091">
    <w:name w:val="xl171"/>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1092">
    <w:name w:val="heading"/>
    <w:basedOn w:val="1"/>
    <w:next w:val="1"/>
    <w:qFormat/>
    <w:uiPriority w:val="0"/>
    <w:pPr>
      <w:keepNext/>
      <w:keepLines/>
      <w:tabs>
        <w:tab w:val="left" w:pos="576"/>
      </w:tabs>
      <w:spacing w:line="360" w:lineRule="auto"/>
      <w:ind w:left="576"/>
      <w:outlineLvl w:val="1"/>
    </w:pPr>
    <w:rPr>
      <w:rFonts w:ascii="宋体" w:hAnsi="Arial Black" w:cs="宋体"/>
      <w:sz w:val="24"/>
    </w:rPr>
  </w:style>
  <w:style w:type="paragraph" w:customStyle="1" w:styleId="1093">
    <w:name w:val="页脚2"/>
    <w:basedOn w:val="54"/>
    <w:qFormat/>
    <w:uiPriority w:val="0"/>
    <w:pPr>
      <w:pBdr>
        <w:top w:val="single" w:color="auto" w:sz="4" w:space="1"/>
      </w:pBdr>
      <w:wordWrap w:val="0"/>
      <w:snapToGrid/>
      <w:ind w:right="190"/>
      <w:jc w:val="right"/>
    </w:pPr>
    <w:rPr>
      <w:rFonts w:ascii="宋体" w:hAnsi="宋体"/>
      <w:kern w:val="2"/>
      <w:szCs w:val="18"/>
    </w:rPr>
  </w:style>
  <w:style w:type="paragraph" w:customStyle="1" w:styleId="1094">
    <w:name w:val="甲乙酮2"/>
    <w:basedOn w:val="391"/>
    <w:next w:val="1"/>
    <w:qFormat/>
    <w:uiPriority w:val="0"/>
  </w:style>
  <w:style w:type="paragraph" w:customStyle="1" w:styleId="1095">
    <w:name w:val="xl1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1096">
    <w:name w:val="表格式"/>
    <w:basedOn w:val="67"/>
    <w:qFormat/>
    <w:uiPriority w:val="0"/>
    <w:pPr>
      <w:snapToGrid/>
      <w:spacing w:line="340" w:lineRule="exact"/>
      <w:jc w:val="center"/>
    </w:pPr>
    <w:rPr>
      <w:rFonts w:ascii="Courier New" w:hAnsi="Courier New"/>
    </w:rPr>
  </w:style>
  <w:style w:type="paragraph" w:customStyle="1" w:styleId="1097">
    <w:name w:val="xl68"/>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1098">
    <w:name w:val="xl119"/>
    <w:basedOn w:val="1"/>
    <w:qFormat/>
    <w:uiPriority w:val="0"/>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1099">
    <w:name w:val="Char1 Char Char Char Char Char Char Char Char Char"/>
    <w:basedOn w:val="1"/>
    <w:qFormat/>
    <w:uiPriority w:val="0"/>
    <w:rPr>
      <w:sz w:val="24"/>
    </w:rPr>
  </w:style>
  <w:style w:type="paragraph" w:customStyle="1" w:styleId="1100">
    <w:name w:val="xl136"/>
    <w:basedOn w:val="1"/>
    <w:qFormat/>
    <w:uiPriority w:val="0"/>
    <w:pPr>
      <w:widowControl/>
      <w:spacing w:before="100" w:beforeAutospacing="1" w:after="100" w:afterAutospacing="1"/>
      <w:jc w:val="left"/>
    </w:pPr>
    <w:rPr>
      <w:rFonts w:ascii="Arial Unicode MS" w:hAnsi="Arial Unicode MS"/>
      <w:kern w:val="0"/>
      <w:sz w:val="12"/>
      <w:szCs w:val="12"/>
    </w:rPr>
  </w:style>
  <w:style w:type="paragraph" w:customStyle="1" w:styleId="1101">
    <w:name w:val="Char Char Char Char Char Char1 Char Char Char Char"/>
    <w:basedOn w:val="1"/>
    <w:qFormat/>
    <w:uiPriority w:val="0"/>
    <w:rPr>
      <w:sz w:val="24"/>
    </w:rPr>
  </w:style>
  <w:style w:type="paragraph" w:customStyle="1" w:styleId="1102">
    <w:name w:val="xl39"/>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103">
    <w:name w:val="节标题"/>
    <w:basedOn w:val="1"/>
    <w:next w:val="1"/>
    <w:qFormat/>
    <w:uiPriority w:val="0"/>
    <w:pPr>
      <w:widowControl/>
      <w:spacing w:line="578" w:lineRule="atLeast"/>
      <w:jc w:val="center"/>
      <w:textAlignment w:val="baseline"/>
    </w:pPr>
    <w:rPr>
      <w:color w:val="000000"/>
      <w:kern w:val="0"/>
      <w:sz w:val="28"/>
      <w:szCs w:val="20"/>
      <w:u w:color="000000"/>
    </w:rPr>
  </w:style>
  <w:style w:type="paragraph" w:customStyle="1" w:styleId="1104">
    <w:name w:val="表格内容2"/>
    <w:basedOn w:val="322"/>
    <w:qFormat/>
    <w:uiPriority w:val="0"/>
    <w:pPr>
      <w:overflowPunct w:val="0"/>
      <w:autoSpaceDE/>
      <w:autoSpaceDN/>
      <w:snapToGrid w:val="0"/>
      <w:textAlignment w:val="baseline"/>
    </w:pPr>
    <w:rPr>
      <w:rFonts w:cs="Arial"/>
      <w:color w:val="000000"/>
      <w:szCs w:val="24"/>
    </w:rPr>
  </w:style>
  <w:style w:type="paragraph" w:customStyle="1" w:styleId="1105">
    <w:name w:val="bh1"/>
    <w:basedOn w:val="1"/>
    <w:qFormat/>
    <w:uiPriority w:val="0"/>
    <w:pPr>
      <w:widowControl/>
      <w:jc w:val="left"/>
    </w:pPr>
    <w:rPr>
      <w:rFonts w:ascii="宋体" w:hAnsi="宋体" w:cs="宋体"/>
      <w:kern w:val="0"/>
      <w:sz w:val="24"/>
    </w:rPr>
  </w:style>
  <w:style w:type="paragraph" w:customStyle="1" w:styleId="1106">
    <w:name w:val="xl127"/>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07">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1108">
    <w:name w:val="xl121"/>
    <w:basedOn w:val="1"/>
    <w:qFormat/>
    <w:uiPriority w:val="0"/>
    <w:pPr>
      <w:widowControl/>
      <w:spacing w:before="100" w:beforeAutospacing="1" w:after="100" w:afterAutospacing="1"/>
      <w:jc w:val="left"/>
    </w:pPr>
    <w:rPr>
      <w:rFonts w:ascii="Arial Unicode MS" w:hAnsi="Arial Unicode MS"/>
      <w:kern w:val="0"/>
      <w:sz w:val="16"/>
      <w:szCs w:val="16"/>
    </w:rPr>
  </w:style>
  <w:style w:type="paragraph" w:customStyle="1" w:styleId="1109">
    <w:name w:val="样式 上标"/>
    <w:basedOn w:val="683"/>
    <w:next w:val="683"/>
    <w:qFormat/>
    <w:uiPriority w:val="0"/>
    <w:pPr>
      <w:spacing w:before="0" w:after="0" w:line="320" w:lineRule="exact"/>
      <w:ind w:firstLine="200"/>
    </w:pPr>
    <w:rPr>
      <w:caps/>
      <w:szCs w:val="36"/>
    </w:rPr>
  </w:style>
  <w:style w:type="paragraph" w:customStyle="1" w:styleId="1110">
    <w:name w:val="表内5S"/>
    <w:basedOn w:val="1"/>
    <w:qFormat/>
    <w:uiPriority w:val="0"/>
    <w:pPr>
      <w:spacing w:line="300" w:lineRule="atLeast"/>
      <w:jc w:val="center"/>
    </w:pPr>
    <w:rPr>
      <w:rFonts w:eastAsia="方正宋三简体"/>
      <w:szCs w:val="20"/>
    </w:rPr>
  </w:style>
  <w:style w:type="paragraph" w:customStyle="1" w:styleId="1111">
    <w:name w:val="xl178"/>
    <w:basedOn w:val="1"/>
    <w:qFormat/>
    <w:uiPriority w:val="0"/>
    <w:pPr>
      <w:widowControl/>
      <w:spacing w:before="100" w:beforeAutospacing="1" w:after="100" w:afterAutospacing="1"/>
      <w:jc w:val="center"/>
    </w:pPr>
    <w:rPr>
      <w:rFonts w:ascii="Arial Unicode MS" w:hAnsi="Arial Unicode MS"/>
      <w:kern w:val="0"/>
      <w:sz w:val="12"/>
      <w:szCs w:val="12"/>
    </w:rPr>
  </w:style>
  <w:style w:type="paragraph" w:customStyle="1" w:styleId="1112">
    <w:name w:val="表格内容格式"/>
    <w:basedOn w:val="1"/>
    <w:qFormat/>
    <w:uiPriority w:val="0"/>
    <w:pPr>
      <w:adjustRightInd w:val="0"/>
      <w:spacing w:line="240" w:lineRule="atLeast"/>
      <w:jc w:val="center"/>
      <w:textAlignment w:val="baseline"/>
    </w:pPr>
    <w:rPr>
      <w:snapToGrid w:val="0"/>
      <w:color w:val="000000"/>
      <w:kern w:val="0"/>
      <w:szCs w:val="20"/>
    </w:rPr>
  </w:style>
  <w:style w:type="paragraph" w:customStyle="1" w:styleId="1113">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1114">
    <w:name w:val="标题四"/>
    <w:basedOn w:val="9"/>
    <w:qFormat/>
    <w:uiPriority w:val="0"/>
    <w:pPr>
      <w:tabs>
        <w:tab w:val="left" w:pos="0"/>
        <w:tab w:val="left" w:pos="1260"/>
      </w:tabs>
      <w:spacing w:before="0" w:after="0" w:line="240" w:lineRule="auto"/>
      <w:ind w:left="1260" w:hanging="420"/>
      <w:contextualSpacing/>
    </w:pPr>
    <w:rPr>
      <w:rFonts w:ascii="黑体" w:eastAsia="黑体"/>
      <w:sz w:val="28"/>
      <w:szCs w:val="28"/>
    </w:rPr>
  </w:style>
  <w:style w:type="paragraph" w:customStyle="1" w:styleId="1115">
    <w:name w:val="正文居中"/>
    <w:basedOn w:val="60"/>
    <w:qFormat/>
    <w:uiPriority w:val="0"/>
    <w:pPr>
      <w:tabs>
        <w:tab w:val="left" w:pos="244"/>
        <w:tab w:val="left" w:pos="720"/>
      </w:tabs>
      <w:adjustRightInd w:val="0"/>
      <w:snapToGrid/>
      <w:jc w:val="center"/>
    </w:pPr>
    <w:rPr>
      <w:rFonts w:ascii="宋体" w:hAnsi="Arial"/>
      <w:b w:val="0"/>
      <w:bCs w:val="0"/>
      <w:caps w:val="0"/>
      <w:sz w:val="28"/>
      <w:szCs w:val="28"/>
    </w:rPr>
  </w:style>
  <w:style w:type="paragraph" w:customStyle="1" w:styleId="1116">
    <w:name w:val="正文文字"/>
    <w:basedOn w:val="3"/>
    <w:qFormat/>
    <w:uiPriority w:val="0"/>
    <w:pPr>
      <w:widowControl/>
      <w:spacing w:after="0" w:line="360" w:lineRule="auto"/>
      <w:ind w:left="0" w:leftChars="0" w:firstLine="200" w:firstLineChars="200"/>
      <w:jc w:val="left"/>
    </w:pPr>
    <w:rPr>
      <w:rFonts w:ascii="Calibri" w:hAnsi="Calibri" w:eastAsia="仿宋_GB2312"/>
      <w:color w:val="000000"/>
      <w:szCs w:val="24"/>
      <w:lang w:eastAsia="en-US" w:bidi="en-US"/>
    </w:rPr>
  </w:style>
  <w:style w:type="paragraph" w:customStyle="1" w:styleId="1117">
    <w:name w:val="Char1"/>
    <w:basedOn w:val="1"/>
    <w:qFormat/>
    <w:uiPriority w:val="0"/>
    <w:pPr>
      <w:spacing w:line="240" w:lineRule="exact"/>
      <w:ind w:firstLine="200" w:firstLineChars="200"/>
    </w:pPr>
    <w:rPr>
      <w:sz w:val="28"/>
      <w:szCs w:val="28"/>
    </w:rPr>
  </w:style>
  <w:style w:type="paragraph" w:customStyle="1" w:styleId="1118">
    <w:name w:val="正文 首行缩进:  2 字符 Char Char"/>
    <w:basedOn w:val="1"/>
    <w:qFormat/>
    <w:uiPriority w:val="0"/>
    <w:pPr>
      <w:spacing w:before="240" w:after="240" w:line="480" w:lineRule="exact"/>
      <w:ind w:firstLine="560" w:firstLineChars="200"/>
    </w:pPr>
    <w:rPr>
      <w:sz w:val="28"/>
      <w:szCs w:val="20"/>
    </w:rPr>
  </w:style>
  <w:style w:type="paragraph" w:customStyle="1" w:styleId="1119">
    <w:name w:val="Char Char Char Char Char Char Char Char Char Char Char Char Char1"/>
    <w:basedOn w:val="1"/>
    <w:qFormat/>
    <w:uiPriority w:val="0"/>
    <w:pPr>
      <w:jc w:val="center"/>
    </w:pPr>
    <w:rPr>
      <w:rFonts w:ascii="宋体"/>
    </w:rPr>
  </w:style>
  <w:style w:type="paragraph" w:customStyle="1" w:styleId="1120">
    <w:name w:val="样式27"/>
    <w:basedOn w:val="7"/>
    <w:qFormat/>
    <w:uiPriority w:val="0"/>
    <w:pPr>
      <w:keepNext w:val="0"/>
      <w:tabs>
        <w:tab w:val="left" w:pos="390"/>
      </w:tabs>
      <w:overflowPunct/>
      <w:snapToGrid/>
      <w:spacing w:before="340" w:beforeLines="100" w:after="330" w:afterLines="100" w:line="360" w:lineRule="auto"/>
      <w:ind w:left="390" w:firstLine="0"/>
      <w:jc w:val="center"/>
      <w:outlineLvl w:val="9"/>
    </w:pPr>
    <w:rPr>
      <w:rFonts w:ascii="黑体" w:hAnsi="Calibri" w:cs="Arial Unicode MS"/>
      <w:b w:val="0"/>
      <w:bCs w:val="0"/>
      <w:color w:val="auto"/>
      <w:kern w:val="2"/>
      <w:sz w:val="32"/>
      <w:szCs w:val="32"/>
    </w:rPr>
  </w:style>
  <w:style w:type="paragraph" w:customStyle="1" w:styleId="1121">
    <w:name w:val="ST20_32"/>
    <w:basedOn w:val="54"/>
    <w:qFormat/>
    <w:uiPriority w:val="0"/>
    <w:pPr>
      <w:contextualSpacing/>
    </w:pPr>
    <w:rPr>
      <w:kern w:val="2"/>
      <w:sz w:val="21"/>
      <w:szCs w:val="21"/>
    </w:rPr>
  </w:style>
  <w:style w:type="paragraph" w:customStyle="1" w:styleId="1122">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1123">
    <w:name w:val="Char Char3 Char Char"/>
    <w:basedOn w:val="1"/>
    <w:qFormat/>
    <w:uiPriority w:val="0"/>
    <w:pPr>
      <w:spacing w:line="360" w:lineRule="auto"/>
      <w:ind w:firstLine="200" w:firstLineChars="200"/>
    </w:pPr>
    <w:rPr>
      <w:rFonts w:ascii="宋体" w:hAnsi="宋体" w:cs="宋体"/>
      <w:sz w:val="24"/>
    </w:rPr>
  </w:style>
  <w:style w:type="paragraph" w:customStyle="1" w:styleId="1124">
    <w:name w:val="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5">
    <w:name w:val="列出段落11"/>
    <w:basedOn w:val="1"/>
    <w:qFormat/>
    <w:uiPriority w:val="0"/>
    <w:pPr>
      <w:spacing w:line="360" w:lineRule="auto"/>
      <w:ind w:firstLine="420" w:firstLineChars="200"/>
    </w:pPr>
    <w:rPr>
      <w:sz w:val="24"/>
    </w:rPr>
  </w:style>
  <w:style w:type="paragraph" w:customStyle="1" w:styleId="1126">
    <w:name w:val="样式44"/>
    <w:basedOn w:val="1"/>
    <w:qFormat/>
    <w:uiPriority w:val="0"/>
    <w:pPr>
      <w:spacing w:line="500" w:lineRule="exact"/>
      <w:ind w:firstLine="594" w:firstLineChars="212"/>
    </w:pPr>
    <w:rPr>
      <w:rFonts w:ascii="宋体" w:hAnsi="宋体"/>
      <w:sz w:val="28"/>
      <w:szCs w:val="20"/>
    </w:rPr>
  </w:style>
  <w:style w:type="paragraph" w:customStyle="1" w:styleId="1127">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1128">
    <w:name w:val="样式 列表 + 左侧:  0 厘米 悬挂缩进: 2 字符"/>
    <w:basedOn w:val="67"/>
    <w:qFormat/>
    <w:uiPriority w:val="0"/>
    <w:pPr>
      <w:tabs>
        <w:tab w:val="center" w:pos="4153"/>
        <w:tab w:val="right" w:pos="8306"/>
      </w:tabs>
      <w:spacing w:line="240" w:lineRule="auto"/>
      <w:jc w:val="center"/>
    </w:pPr>
    <w:rPr>
      <w:rFonts w:eastAsia="方正仿宋_GBK" w:cs="宋体"/>
      <w:szCs w:val="21"/>
    </w:rPr>
  </w:style>
  <w:style w:type="paragraph" w:customStyle="1" w:styleId="1129">
    <w:name w:val="Char Char Char Char Char Char1 Char Char Char Char Char Char Char1"/>
    <w:basedOn w:val="1"/>
    <w:qFormat/>
    <w:uiPriority w:val="0"/>
  </w:style>
  <w:style w:type="paragraph" w:customStyle="1" w:styleId="1130">
    <w:name w:val="文字"/>
    <w:basedOn w:val="1"/>
    <w:next w:val="1"/>
    <w:qFormat/>
    <w:uiPriority w:val="0"/>
    <w:pPr>
      <w:autoSpaceDE w:val="0"/>
      <w:autoSpaceDN w:val="0"/>
      <w:adjustRightInd w:val="0"/>
      <w:contextualSpacing/>
      <w:jc w:val="left"/>
    </w:pPr>
    <w:rPr>
      <w:rFonts w:ascii="Fang Song" w:eastAsia="Fang Song"/>
      <w:kern w:val="0"/>
    </w:rPr>
  </w:style>
  <w:style w:type="paragraph" w:customStyle="1" w:styleId="1131">
    <w:name w:val="正文无空格"/>
    <w:basedOn w:val="1"/>
    <w:qFormat/>
    <w:uiPriority w:val="0"/>
    <w:pPr>
      <w:spacing w:line="360" w:lineRule="auto"/>
      <w:jc w:val="left"/>
    </w:pPr>
    <w:rPr>
      <w:rFonts w:ascii="宋体" w:hAnsi="宋体"/>
      <w:sz w:val="28"/>
      <w:szCs w:val="28"/>
    </w:rPr>
  </w:style>
  <w:style w:type="paragraph" w:customStyle="1" w:styleId="1132">
    <w:name w:val="框图"/>
    <w:basedOn w:val="1"/>
    <w:qFormat/>
    <w:uiPriority w:val="0"/>
    <w:pPr>
      <w:adjustRightInd w:val="0"/>
      <w:snapToGrid w:val="0"/>
      <w:jc w:val="center"/>
    </w:pPr>
    <w:rPr>
      <w:rFonts w:hAnsi="宋体"/>
      <w:b/>
    </w:rPr>
  </w:style>
  <w:style w:type="paragraph" w:customStyle="1" w:styleId="1133">
    <w:name w:val="表格文字2"/>
    <w:basedOn w:val="1"/>
    <w:semiHidden/>
    <w:qFormat/>
    <w:uiPriority w:val="0"/>
    <w:pPr>
      <w:tabs>
        <w:tab w:val="left" w:pos="277"/>
        <w:tab w:val="left" w:pos="600"/>
        <w:tab w:val="left" w:pos="780"/>
        <w:tab w:val="left" w:pos="2517"/>
      </w:tabs>
      <w:adjustRightInd w:val="0"/>
      <w:spacing w:before="60"/>
      <w:jc w:val="center"/>
      <w:textAlignment w:val="baseline"/>
    </w:pPr>
    <w:rPr>
      <w:rFonts w:eastAsia="楷体_GB2312"/>
      <w:kern w:val="0"/>
      <w:sz w:val="24"/>
      <w:szCs w:val="20"/>
    </w:rPr>
  </w:style>
  <w:style w:type="paragraph" w:customStyle="1" w:styleId="1134">
    <w:name w:val="CM31"/>
    <w:basedOn w:val="1"/>
    <w:next w:val="1"/>
    <w:qFormat/>
    <w:uiPriority w:val="0"/>
    <w:pPr>
      <w:autoSpaceDE w:val="0"/>
      <w:autoSpaceDN w:val="0"/>
      <w:adjustRightInd w:val="0"/>
      <w:spacing w:line="468" w:lineRule="atLeast"/>
      <w:jc w:val="left"/>
    </w:pPr>
    <w:rPr>
      <w:rFonts w:ascii="黑体" w:eastAsia="黑体"/>
      <w:kern w:val="0"/>
      <w:sz w:val="24"/>
    </w:rPr>
  </w:style>
  <w:style w:type="paragraph" w:customStyle="1" w:styleId="1135">
    <w:name w:val="表样式1"/>
    <w:basedOn w:val="1"/>
    <w:qFormat/>
    <w:uiPriority w:val="0"/>
    <w:pPr>
      <w:spacing w:line="320" w:lineRule="exact"/>
      <w:ind w:firstLine="200" w:firstLineChars="200"/>
    </w:pPr>
    <w:rPr>
      <w:rFonts w:ascii="宋体" w:hAnsi="宋体"/>
      <w:color w:val="000000"/>
      <w:sz w:val="24"/>
      <w:szCs w:val="18"/>
    </w:rPr>
  </w:style>
  <w:style w:type="paragraph" w:customStyle="1" w:styleId="1136">
    <w:name w:val="表题"/>
    <w:basedOn w:val="12"/>
    <w:semiHidden/>
    <w:qFormat/>
    <w:uiPriority w:val="0"/>
    <w:pPr>
      <w:spacing w:line="100" w:lineRule="atLeast"/>
      <w:ind w:firstLine="0"/>
      <w:jc w:val="center"/>
    </w:pPr>
    <w:rPr>
      <w:sz w:val="24"/>
    </w:rPr>
  </w:style>
  <w:style w:type="paragraph" w:customStyle="1" w:styleId="1137">
    <w:name w:val="样式23"/>
    <w:basedOn w:val="1"/>
    <w:qFormat/>
    <w:uiPriority w:val="0"/>
    <w:pPr>
      <w:spacing w:beforeLines="50" w:afterLines="100"/>
      <w:ind w:right="141" w:rightChars="67" w:firstLine="480" w:firstLineChars="200"/>
    </w:pPr>
    <w:rPr>
      <w:rFonts w:ascii="黑体" w:eastAsia="黑体"/>
      <w:sz w:val="24"/>
      <w:szCs w:val="20"/>
    </w:rPr>
  </w:style>
  <w:style w:type="paragraph" w:customStyle="1" w:styleId="1138">
    <w:name w:val="tit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9">
    <w:name w:val="xl110"/>
    <w:basedOn w:val="1"/>
    <w:qFormat/>
    <w:uiPriority w:val="0"/>
    <w:pPr>
      <w:widowControl/>
      <w:pBdr>
        <w:top w:val="single" w:color="auto" w:sz="12" w:space="0"/>
        <w:bottom w:val="single" w:color="auto" w:sz="8" w:space="0"/>
      </w:pBdr>
      <w:spacing w:before="100" w:beforeAutospacing="1" w:after="100" w:afterAutospacing="1"/>
      <w:jc w:val="center"/>
      <w:textAlignment w:val="center"/>
    </w:pPr>
    <w:rPr>
      <w:rFonts w:ascii="Arial Unicode MS" w:hAnsi="Arial Unicode MS"/>
      <w:kern w:val="0"/>
    </w:rPr>
  </w:style>
  <w:style w:type="paragraph" w:customStyle="1" w:styleId="1140">
    <w:name w:val="xl1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rPr>
  </w:style>
  <w:style w:type="paragraph" w:customStyle="1" w:styleId="1141">
    <w:name w:val="表格文字中对齐"/>
    <w:basedOn w:val="1"/>
    <w:qFormat/>
    <w:uiPriority w:val="0"/>
    <w:pPr>
      <w:spacing w:line="320" w:lineRule="exact"/>
      <w:jc w:val="center"/>
    </w:pPr>
    <w:rPr>
      <w:rFonts w:ascii="宋体" w:hAnsi="宋体"/>
      <w:color w:val="000000"/>
      <w:kern w:val="0"/>
    </w:rPr>
  </w:style>
  <w:style w:type="paragraph" w:customStyle="1" w:styleId="1142">
    <w:name w:val="引用文章"/>
    <w:basedOn w:val="1"/>
    <w:qFormat/>
    <w:uiPriority w:val="0"/>
    <w:pPr>
      <w:spacing w:line="360" w:lineRule="auto"/>
      <w:ind w:firstLine="420" w:firstLineChars="200"/>
    </w:pPr>
    <w:rPr>
      <w:rFonts w:eastAsia="楷体_GB2312" w:cs="宋体"/>
      <w:sz w:val="24"/>
      <w:szCs w:val="20"/>
    </w:rPr>
  </w:style>
  <w:style w:type="paragraph" w:customStyle="1" w:styleId="1143">
    <w:name w:val="p17"/>
    <w:basedOn w:val="1"/>
    <w:qFormat/>
    <w:uiPriority w:val="0"/>
    <w:pPr>
      <w:widowControl/>
      <w:snapToGrid w:val="0"/>
      <w:spacing w:line="480" w:lineRule="atLeast"/>
      <w:ind w:firstLine="482"/>
    </w:pPr>
    <w:rPr>
      <w:kern w:val="0"/>
      <w:sz w:val="24"/>
    </w:rPr>
  </w:style>
  <w:style w:type="paragraph" w:customStyle="1" w:styleId="1144">
    <w:name w:val="Char2 Char Char Char1"/>
    <w:basedOn w:val="1"/>
    <w:qFormat/>
    <w:uiPriority w:val="0"/>
    <w:pPr>
      <w:spacing w:line="360" w:lineRule="auto"/>
      <w:ind w:firstLine="200" w:firstLineChars="200"/>
    </w:pPr>
    <w:rPr>
      <w:rFonts w:ascii="宋体" w:hAnsi="宋体" w:cs="宋体"/>
      <w:sz w:val="24"/>
    </w:rPr>
  </w:style>
  <w:style w:type="paragraph" w:customStyle="1" w:styleId="1145">
    <w:name w:val="报告标题1"/>
    <w:basedOn w:val="7"/>
    <w:qFormat/>
    <w:uiPriority w:val="0"/>
    <w:pPr>
      <w:keepLines/>
      <w:tabs>
        <w:tab w:val="left" w:pos="390"/>
      </w:tabs>
      <w:overflowPunct/>
      <w:snapToGrid/>
      <w:spacing w:before="200" w:after="200" w:line="360" w:lineRule="auto"/>
      <w:ind w:left="390" w:firstLine="0"/>
    </w:pPr>
    <w:rPr>
      <w:rFonts w:ascii="Calibri" w:hAnsi="Calibri" w:eastAsia="宋体"/>
      <w:color w:val="auto"/>
      <w:sz w:val="44"/>
      <w:szCs w:val="44"/>
    </w:rPr>
  </w:style>
  <w:style w:type="paragraph" w:customStyle="1" w:styleId="1146">
    <w:name w:val="表格项目"/>
    <w:basedOn w:val="902"/>
    <w:next w:val="902"/>
    <w:semiHidden/>
    <w:qFormat/>
    <w:uiPriority w:val="0"/>
    <w:pPr>
      <w:spacing w:before="100" w:beforeAutospacing="1" w:after="100" w:afterAutospacing="1" w:line="240" w:lineRule="auto"/>
    </w:pPr>
    <w:rPr>
      <w:b/>
      <w:bCs/>
      <w:caps/>
      <w:szCs w:val="21"/>
    </w:rPr>
  </w:style>
  <w:style w:type="paragraph" w:customStyle="1" w:styleId="1147">
    <w:name w:val="1.1"/>
    <w:basedOn w:val="1"/>
    <w:qFormat/>
    <w:uiPriority w:val="0"/>
    <w:pPr>
      <w:spacing w:line="600" w:lineRule="exact"/>
      <w:outlineLvl w:val="0"/>
    </w:pPr>
    <w:rPr>
      <w:rFonts w:eastAsia="黑体"/>
      <w:sz w:val="32"/>
    </w:rPr>
  </w:style>
  <w:style w:type="paragraph" w:customStyle="1" w:styleId="1148">
    <w:name w:val="表格标题栏文字"/>
    <w:basedOn w:val="1"/>
    <w:next w:val="1"/>
    <w:qFormat/>
    <w:uiPriority w:val="0"/>
    <w:pPr>
      <w:jc w:val="center"/>
    </w:pPr>
    <w:rPr>
      <w:rFonts w:ascii="黑体" w:eastAsia="黑体"/>
      <w:caps/>
      <w:sz w:val="24"/>
    </w:rPr>
  </w:style>
  <w:style w:type="paragraph" w:customStyle="1" w:styleId="1149">
    <w:name w:val="Char1 Char Char Char1"/>
    <w:basedOn w:val="1"/>
    <w:qFormat/>
    <w:uiPriority w:val="0"/>
    <w:pPr>
      <w:spacing w:line="360" w:lineRule="auto"/>
      <w:ind w:firstLine="200" w:firstLineChars="200"/>
    </w:pPr>
    <w:rPr>
      <w:rFonts w:ascii="宋体" w:hAnsi="宋体" w:cs="宋体"/>
      <w:sz w:val="24"/>
    </w:rPr>
  </w:style>
  <w:style w:type="paragraph" w:customStyle="1" w:styleId="1150">
    <w:name w:val="正文-1"/>
    <w:basedOn w:val="1"/>
    <w:qFormat/>
    <w:uiPriority w:val="0"/>
    <w:pPr>
      <w:adjustRightInd w:val="0"/>
      <w:spacing w:line="440" w:lineRule="exact"/>
      <w:ind w:firstLine="200" w:firstLineChars="200"/>
    </w:pPr>
    <w:rPr>
      <w:sz w:val="24"/>
      <w:szCs w:val="20"/>
    </w:rPr>
  </w:style>
  <w:style w:type="paragraph" w:customStyle="1" w:styleId="1151">
    <w:name w:val="Char Char Char Char Char Char Char Char Char Char Char Char Char Char Char Char Char Char Char Char Char Char Char Char"/>
    <w:basedOn w:val="1"/>
    <w:qFormat/>
    <w:uiPriority w:val="0"/>
    <w:pPr>
      <w:widowControl/>
      <w:contextualSpacing/>
      <w:jc w:val="left"/>
    </w:pPr>
    <w:rPr>
      <w:rFonts w:cs="宋体"/>
      <w:kern w:val="0"/>
    </w:rPr>
  </w:style>
  <w:style w:type="paragraph" w:customStyle="1" w:styleId="1152">
    <w:name w:val="xl177"/>
    <w:basedOn w:val="1"/>
    <w:qFormat/>
    <w:uiPriority w:val="0"/>
    <w:pPr>
      <w:widowControl/>
      <w:pBdr>
        <w:lef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1153">
    <w:name w:val="k4"/>
    <w:basedOn w:val="35"/>
    <w:qFormat/>
    <w:uiPriority w:val="0"/>
    <w:pPr>
      <w:widowControl w:val="0"/>
      <w:numPr>
        <w:ilvl w:val="0"/>
        <w:numId w:val="12"/>
      </w:numPr>
      <w:tabs>
        <w:tab w:val="left" w:pos="360"/>
        <w:tab w:val="clear" w:pos="504"/>
      </w:tabs>
      <w:snapToGrid/>
      <w:spacing w:before="0" w:after="0" w:line="360" w:lineRule="auto"/>
      <w:ind w:left="0" w:right="0" w:firstLine="480"/>
    </w:pPr>
    <w:rPr>
      <w:rFonts w:ascii="宋体" w:hAnsi="Courier New"/>
      <w:b/>
      <w:kern w:val="2"/>
      <w:sz w:val="28"/>
    </w:rPr>
  </w:style>
  <w:style w:type="paragraph" w:customStyle="1" w:styleId="1154">
    <w:name w:val="cdb"/>
    <w:basedOn w:val="1"/>
    <w:qFormat/>
    <w:uiPriority w:val="0"/>
    <w:pPr>
      <w:spacing w:before="120"/>
      <w:ind w:left="851" w:firstLine="482"/>
    </w:pPr>
    <w:rPr>
      <w:szCs w:val="20"/>
    </w:rPr>
  </w:style>
  <w:style w:type="paragraph" w:customStyle="1" w:styleId="1155">
    <w:name w:val="东明_a"/>
    <w:basedOn w:val="1"/>
    <w:qFormat/>
    <w:uiPriority w:val="0"/>
    <w:pPr>
      <w:spacing w:before="240" w:after="240" w:line="480" w:lineRule="exact"/>
      <w:ind w:left="560"/>
    </w:pPr>
    <w:rPr>
      <w:b/>
      <w:bCs/>
      <w:sz w:val="28"/>
      <w:szCs w:val="20"/>
    </w:rPr>
  </w:style>
  <w:style w:type="paragraph" w:customStyle="1" w:styleId="1156">
    <w:name w:val="样式 标题 1章标题 11标题 1H1一、 + 行距: 1.5 倍行距5"/>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1157">
    <w:name w:val="图 标题"/>
    <w:basedOn w:val="284"/>
    <w:qFormat/>
    <w:uiPriority w:val="0"/>
    <w:pPr>
      <w:spacing w:line="240" w:lineRule="auto"/>
      <w:ind w:firstLine="0" w:firstLineChars="0"/>
      <w:jc w:val="center"/>
    </w:pPr>
    <w:rPr>
      <w:b/>
      <w:color w:val="FF0000"/>
    </w:rPr>
  </w:style>
  <w:style w:type="paragraph" w:customStyle="1" w:styleId="1158">
    <w:name w:val="表中文字1"/>
    <w:qFormat/>
    <w:uiPriority w:val="0"/>
    <w:pPr>
      <w:widowControl w:val="0"/>
      <w:adjustRightInd w:val="0"/>
      <w:snapToGrid w:val="0"/>
      <w:spacing w:line="280" w:lineRule="exact"/>
      <w:jc w:val="center"/>
    </w:pPr>
    <w:rPr>
      <w:rFonts w:ascii="仿宋_GB2312" w:hAnsi="Times New Roman" w:eastAsia="仿宋_GB2312" w:cs="Times New Roman"/>
      <w:kern w:val="2"/>
      <w:sz w:val="24"/>
      <w:szCs w:val="24"/>
      <w:lang w:val="en-US" w:eastAsia="zh-CN" w:bidi="ar-SA"/>
    </w:rPr>
  </w:style>
  <w:style w:type="paragraph" w:customStyle="1" w:styleId="1159">
    <w:name w:val="流程"/>
    <w:basedOn w:val="1"/>
    <w:qFormat/>
    <w:uiPriority w:val="0"/>
    <w:pPr>
      <w:topLinePunct/>
      <w:adjustRightInd w:val="0"/>
      <w:snapToGrid w:val="0"/>
      <w:jc w:val="center"/>
    </w:pPr>
    <w:rPr>
      <w:rFonts w:cs="宋体"/>
      <w:bCs/>
      <w:color w:val="000000"/>
      <w:szCs w:val="20"/>
    </w:rPr>
  </w:style>
  <w:style w:type="paragraph" w:customStyle="1" w:styleId="1160">
    <w:name w:val="样式12"/>
    <w:basedOn w:val="1080"/>
    <w:qFormat/>
    <w:uiPriority w:val="0"/>
    <w:pPr>
      <w:adjustRightInd w:val="0"/>
    </w:pPr>
    <w:rPr>
      <w:rFonts w:ascii="仿宋_GB2312" w:hAnsi="宋体" w:eastAsia="仿宋_GB2312"/>
      <w:b/>
      <w:color w:val="FF0000"/>
      <w:szCs w:val="30"/>
    </w:rPr>
  </w:style>
  <w:style w:type="paragraph" w:customStyle="1" w:styleId="1161">
    <w:name w:val="样式32"/>
    <w:basedOn w:val="1"/>
    <w:qFormat/>
    <w:uiPriority w:val="0"/>
    <w:pPr>
      <w:spacing w:line="360" w:lineRule="auto"/>
      <w:ind w:firstLine="480" w:firstLineChars="200"/>
    </w:pPr>
    <w:rPr>
      <w:rFonts w:ascii="宋体" w:hAnsi="宋体"/>
      <w:spacing w:val="-20"/>
      <w:sz w:val="28"/>
      <w:szCs w:val="28"/>
    </w:rPr>
  </w:style>
  <w:style w:type="paragraph" w:customStyle="1" w:styleId="1162">
    <w:name w:val="样式 正文（首行缩进两字） + 宋体 小四 加粗 行距: 固定值 24 磅"/>
    <w:basedOn w:val="12"/>
    <w:qFormat/>
    <w:uiPriority w:val="0"/>
    <w:pPr>
      <w:tabs>
        <w:tab w:val="left" w:pos="5940"/>
      </w:tabs>
      <w:adjustRightInd w:val="0"/>
      <w:spacing w:line="480" w:lineRule="exact"/>
      <w:ind w:firstLine="0" w:firstLineChars="0"/>
      <w:jc w:val="center"/>
      <w:textAlignment w:val="baseline"/>
    </w:pPr>
    <w:rPr>
      <w:sz w:val="24"/>
    </w:rPr>
  </w:style>
  <w:style w:type="paragraph" w:customStyle="1" w:styleId="1163">
    <w:name w:val="碳酸钙标题3"/>
    <w:basedOn w:val="9"/>
    <w:qFormat/>
    <w:uiPriority w:val="0"/>
    <w:pPr>
      <w:tabs>
        <w:tab w:val="left" w:pos="1260"/>
        <w:tab w:val="left" w:pos="2126"/>
      </w:tabs>
      <w:spacing w:line="360" w:lineRule="auto"/>
      <w:ind w:left="1701" w:firstLine="435"/>
    </w:pPr>
    <w:rPr>
      <w:color w:val="000000"/>
      <w:kern w:val="0"/>
      <w:sz w:val="24"/>
    </w:rPr>
  </w:style>
  <w:style w:type="paragraph" w:customStyle="1" w:styleId="1164">
    <w:name w:val="样式 标题 2节 + 段前: 1 行 段后: 0.5 行1"/>
    <w:basedOn w:val="1"/>
    <w:qFormat/>
    <w:uiPriority w:val="0"/>
    <w:pPr>
      <w:numPr>
        <w:ilvl w:val="1"/>
        <w:numId w:val="13"/>
      </w:numPr>
    </w:pPr>
  </w:style>
  <w:style w:type="paragraph" w:customStyle="1" w:styleId="1165">
    <w:name w:val="Char Char1 Char Char Char Char Char Char Char Char Char Char Char Char Char Char Char Char Char Char Char Char1 Char1"/>
    <w:basedOn w:val="1"/>
    <w:qFormat/>
    <w:uiPriority w:val="0"/>
    <w:pPr>
      <w:spacing w:line="360" w:lineRule="auto"/>
      <w:ind w:firstLine="200" w:firstLineChars="200"/>
    </w:pPr>
    <w:rPr>
      <w:szCs w:val="20"/>
    </w:rPr>
  </w:style>
  <w:style w:type="paragraph" w:customStyle="1" w:styleId="1166">
    <w:name w:val="xl55"/>
    <w:basedOn w:val="1"/>
    <w:qFormat/>
    <w:uiPriority w:val="0"/>
    <w:pPr>
      <w:widowControl/>
      <w:spacing w:before="100" w:beforeAutospacing="1" w:after="100" w:afterAutospacing="1"/>
      <w:jc w:val="left"/>
    </w:pPr>
    <w:rPr>
      <w:rFonts w:ascii="Arial" w:hAnsi="Arial" w:cs="Arial"/>
      <w:b/>
      <w:bCs/>
      <w:i/>
      <w:iCs/>
      <w:kern w:val="0"/>
      <w:sz w:val="22"/>
      <w:szCs w:val="22"/>
    </w:rPr>
  </w:style>
  <w:style w:type="paragraph" w:customStyle="1" w:styleId="1167">
    <w:name w:val="一级标题 大王 20100426"/>
    <w:basedOn w:val="1"/>
    <w:qFormat/>
    <w:uiPriority w:val="0"/>
    <w:pPr>
      <w:numPr>
        <w:ilvl w:val="1"/>
        <w:numId w:val="4"/>
      </w:numPr>
      <w:tabs>
        <w:tab w:val="left" w:pos="284"/>
      </w:tabs>
      <w:spacing w:beforeLines="20" w:afterLines="50"/>
      <w:ind w:left="425" w:hanging="425"/>
      <w:outlineLvl w:val="0"/>
    </w:pPr>
    <w:rPr>
      <w:rFonts w:eastAsia="黑体"/>
      <w:b/>
      <w:sz w:val="30"/>
      <w:szCs w:val="30"/>
    </w:rPr>
  </w:style>
  <w:style w:type="paragraph" w:customStyle="1" w:styleId="1168">
    <w:name w:val="xl1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69">
    <w:name w:val="表内正文"/>
    <w:basedOn w:val="1"/>
    <w:qFormat/>
    <w:uiPriority w:val="0"/>
    <w:rPr>
      <w:sz w:val="24"/>
    </w:rPr>
  </w:style>
  <w:style w:type="paragraph" w:customStyle="1" w:styleId="1170">
    <w:name w:val="图名文字"/>
    <w:qFormat/>
    <w:uiPriority w:val="0"/>
    <w:pPr>
      <w:adjustRightInd w:val="0"/>
      <w:spacing w:after="60"/>
      <w:jc w:val="center"/>
    </w:pPr>
    <w:rPr>
      <w:rFonts w:ascii="Times New Roman" w:hAnsi="Times New Roman" w:eastAsia="黑体" w:cs="Times New Roman"/>
      <w:sz w:val="21"/>
      <w:lang w:val="en-US" w:eastAsia="zh-CN" w:bidi="ar-SA"/>
    </w:rPr>
  </w:style>
  <w:style w:type="paragraph" w:customStyle="1" w:styleId="1171">
    <w:name w:val="标准正文"/>
    <w:basedOn w:val="1"/>
    <w:qFormat/>
    <w:uiPriority w:val="0"/>
    <w:pPr>
      <w:spacing w:line="500" w:lineRule="exact"/>
      <w:ind w:firstLine="200" w:firstLineChars="200"/>
      <w:jc w:val="left"/>
    </w:pPr>
    <w:rPr>
      <w:rFonts w:ascii="Calibri" w:hAnsi="Calibri"/>
      <w:kern w:val="0"/>
      <w:sz w:val="24"/>
      <w:szCs w:val="20"/>
    </w:rPr>
  </w:style>
  <w:style w:type="paragraph" w:customStyle="1" w:styleId="1172">
    <w:name w:val="样式 样式 首行缩进:  0.77 厘米 行距: 固定值 20 磅 + 居中 首行缩进:  0 厘米 行距: 单倍行距"/>
    <w:basedOn w:val="1"/>
    <w:qFormat/>
    <w:uiPriority w:val="0"/>
    <w:pPr>
      <w:spacing w:line="240" w:lineRule="atLeast"/>
      <w:jc w:val="center"/>
    </w:pPr>
    <w:rPr>
      <w:color w:val="000000"/>
    </w:rPr>
  </w:style>
  <w:style w:type="paragraph" w:customStyle="1" w:styleId="1173">
    <w:name w:val="font7"/>
    <w:basedOn w:val="1"/>
    <w:qFormat/>
    <w:uiPriority w:val="0"/>
    <w:pPr>
      <w:widowControl/>
      <w:spacing w:before="100" w:beforeAutospacing="1" w:after="100" w:afterAutospacing="1"/>
      <w:jc w:val="left"/>
    </w:pPr>
    <w:rPr>
      <w:rFonts w:ascii="宋体" w:hAnsi="宋体"/>
      <w:b/>
      <w:bCs/>
      <w:kern w:val="0"/>
      <w:sz w:val="22"/>
      <w:szCs w:val="22"/>
    </w:rPr>
  </w:style>
  <w:style w:type="paragraph" w:customStyle="1" w:styleId="1174">
    <w:name w:val="xl61"/>
    <w:basedOn w:val="1"/>
    <w:qFormat/>
    <w:uiPriority w:val="0"/>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1175">
    <w:name w:val="表内5号居中"/>
    <w:qFormat/>
    <w:uiPriority w:val="0"/>
    <w:pPr>
      <w:widowControl w:val="0"/>
      <w:adjustRightInd w:val="0"/>
      <w:snapToGrid w:val="0"/>
      <w:jc w:val="center"/>
      <w:textAlignment w:val="baseline"/>
    </w:pPr>
    <w:rPr>
      <w:rFonts w:ascii="Times New Roman" w:hAnsi="Times New Roman" w:eastAsia="宋体" w:cs="Times New Roman"/>
      <w:b/>
      <w:bCs/>
      <w:sz w:val="24"/>
      <w:lang w:val="en-US" w:eastAsia="zh-CN" w:bidi="ar-SA"/>
    </w:rPr>
  </w:style>
  <w:style w:type="paragraph" w:customStyle="1" w:styleId="1176">
    <w:name w:val="工业统一表格文字"/>
    <w:basedOn w:val="1"/>
    <w:qFormat/>
    <w:uiPriority w:val="0"/>
    <w:pPr>
      <w:adjustRightInd w:val="0"/>
      <w:snapToGrid w:val="0"/>
      <w:spacing w:beforeLines="20" w:afterLines="20"/>
      <w:ind w:left="-20" w:leftChars="-20" w:right="-20" w:rightChars="-20"/>
      <w:jc w:val="center"/>
    </w:pPr>
    <w:rPr>
      <w:rFonts w:ascii="宋体"/>
      <w:szCs w:val="20"/>
    </w:rPr>
  </w:style>
  <w:style w:type="paragraph" w:customStyle="1" w:styleId="1177">
    <w:name w:val="注解"/>
    <w:qFormat/>
    <w:uiPriority w:val="0"/>
    <w:pPr>
      <w:widowControl w:val="0"/>
      <w:jc w:val="center"/>
    </w:pPr>
    <w:rPr>
      <w:rFonts w:ascii="宋体" w:hAnsi="Arial Black" w:eastAsia="宋体" w:cs="Times New Roman"/>
      <w:kern w:val="2"/>
      <w:sz w:val="18"/>
      <w:lang w:val="en-US" w:eastAsia="zh-CN" w:bidi="ar-SA"/>
    </w:rPr>
  </w:style>
  <w:style w:type="paragraph" w:customStyle="1" w:styleId="1178">
    <w:name w:val="表格内容1"/>
    <w:basedOn w:val="322"/>
    <w:qFormat/>
    <w:uiPriority w:val="0"/>
    <w:pPr>
      <w:autoSpaceDE/>
      <w:autoSpaceDN/>
      <w:adjustRightInd/>
    </w:pPr>
    <w:rPr>
      <w:rFonts w:cs="宋体"/>
      <w:kern w:val="2"/>
      <w:szCs w:val="20"/>
    </w:rPr>
  </w:style>
  <w:style w:type="paragraph" w:customStyle="1" w:styleId="1179">
    <w:name w:val="表1"/>
    <w:basedOn w:val="1"/>
    <w:qFormat/>
    <w:uiPriority w:val="0"/>
    <w:pPr>
      <w:jc w:val="center"/>
    </w:pPr>
    <w:rPr>
      <w:rFonts w:ascii="宋体" w:hAnsi="宋体"/>
      <w:color w:val="000000"/>
    </w:rPr>
  </w:style>
  <w:style w:type="paragraph" w:customStyle="1" w:styleId="1180">
    <w:name w:val="Char Char1 Char Char Char Char Char Char Char Char Char Char Char Char Char Char Char Char Char Char Char Char1 Char"/>
    <w:basedOn w:val="1"/>
    <w:qFormat/>
    <w:uiPriority w:val="0"/>
    <w:pPr>
      <w:adjustRightInd w:val="0"/>
      <w:snapToGrid w:val="0"/>
      <w:spacing w:line="360" w:lineRule="auto"/>
      <w:ind w:firstLine="200" w:firstLineChars="200"/>
    </w:pPr>
    <w:rPr>
      <w:rFonts w:ascii="仿宋_GB2312" w:eastAsia="仿宋_GB2312"/>
      <w:sz w:val="28"/>
    </w:rPr>
  </w:style>
  <w:style w:type="paragraph" w:customStyle="1" w:styleId="1181">
    <w:name w:val="默认段落字体 Para Char Char Char Char Char Char Char Char Char1 Char Char Char Char Char Char Char Char Char Char"/>
    <w:basedOn w:val="1"/>
    <w:qFormat/>
    <w:uiPriority w:val="0"/>
    <w:pPr>
      <w:shd w:val="clear" w:color="auto" w:fill="000080"/>
    </w:pPr>
    <w:rPr>
      <w:rFonts w:ascii="Tahoma" w:hAnsi="Tahoma"/>
      <w:kern w:val="0"/>
      <w:sz w:val="20"/>
    </w:rPr>
  </w:style>
  <w:style w:type="paragraph" w:customStyle="1" w:styleId="1182">
    <w:name w:val="样式 行距: 1.5 倍行距 首行缩进:  2.25 字符"/>
    <w:basedOn w:val="1"/>
    <w:qFormat/>
    <w:uiPriority w:val="0"/>
    <w:pPr>
      <w:spacing w:afterLines="100" w:line="360" w:lineRule="auto"/>
    </w:pPr>
    <w:rPr>
      <w:rFonts w:ascii="宋体" w:hAnsi="宋体" w:cs="宋体"/>
      <w:sz w:val="24"/>
      <w:szCs w:val="20"/>
    </w:rPr>
  </w:style>
  <w:style w:type="paragraph" w:customStyle="1" w:styleId="1183">
    <w:name w:val="Char Char Char Char Char Char Char Char Char1"/>
    <w:basedOn w:val="1"/>
    <w:qFormat/>
    <w:uiPriority w:val="0"/>
    <w:pPr>
      <w:widowControl/>
      <w:spacing w:after="160" w:line="240" w:lineRule="exact"/>
      <w:jc w:val="left"/>
    </w:pPr>
    <w:rPr>
      <w:rFonts w:ascii="Calibri" w:hAnsi="Calibri"/>
      <w:szCs w:val="22"/>
    </w:rPr>
  </w:style>
  <w:style w:type="paragraph" w:customStyle="1" w:styleId="1184">
    <w:name w:val="xl125"/>
    <w:basedOn w:val="1"/>
    <w:qFormat/>
    <w:uiPriority w:val="0"/>
    <w:pPr>
      <w:widowControl/>
      <w:spacing w:before="100" w:beforeAutospacing="1" w:after="100" w:afterAutospacing="1"/>
      <w:jc w:val="left"/>
      <w:textAlignment w:val="center"/>
    </w:pPr>
    <w:rPr>
      <w:rFonts w:ascii="Arial Unicode MS" w:hAnsi="Arial Unicode MS"/>
      <w:kern w:val="0"/>
      <w:sz w:val="16"/>
      <w:szCs w:val="16"/>
    </w:rPr>
  </w:style>
  <w:style w:type="paragraph" w:customStyle="1" w:styleId="1185">
    <w:name w:val="正文表格5号"/>
    <w:basedOn w:val="1"/>
    <w:qFormat/>
    <w:uiPriority w:val="0"/>
    <w:pPr>
      <w:adjustRightInd w:val="0"/>
      <w:spacing w:line="460" w:lineRule="exact"/>
      <w:textAlignment w:val="baseline"/>
    </w:pPr>
    <w:rPr>
      <w:rFonts w:ascii="宋体"/>
      <w:kern w:val="0"/>
      <w:szCs w:val="20"/>
    </w:rPr>
  </w:style>
  <w:style w:type="paragraph" w:customStyle="1" w:styleId="1186">
    <w:name w:val="Char Char Char Char Char Char Char Char Char Char3"/>
    <w:basedOn w:val="1"/>
    <w:qFormat/>
    <w:uiPriority w:val="0"/>
  </w:style>
  <w:style w:type="paragraph" w:customStyle="1" w:styleId="1187">
    <w:name w:val="Char2 Char Char Char"/>
    <w:basedOn w:val="1"/>
    <w:semiHidden/>
    <w:qFormat/>
    <w:uiPriority w:val="0"/>
    <w:pPr>
      <w:spacing w:line="360" w:lineRule="auto"/>
      <w:ind w:firstLine="200" w:firstLineChars="200"/>
    </w:pPr>
    <w:rPr>
      <w:rFonts w:ascii="宋体" w:hAnsi="宋体" w:cs="宋体"/>
      <w:sz w:val="24"/>
    </w:rPr>
  </w:style>
  <w:style w:type="paragraph" w:customStyle="1" w:styleId="1188">
    <w:name w:val="字元"/>
    <w:basedOn w:val="1"/>
    <w:qFormat/>
    <w:uiPriority w:val="0"/>
    <w:pPr>
      <w:widowControl/>
      <w:jc w:val="left"/>
    </w:pPr>
    <w:rPr>
      <w:rFonts w:eastAsia="仿宋_GB2312"/>
      <w:kern w:val="0"/>
      <w:sz w:val="24"/>
      <w:szCs w:val="20"/>
    </w:rPr>
  </w:style>
  <w:style w:type="paragraph" w:customStyle="1" w:styleId="1189">
    <w:name w:val="默认段落字体 Para Char Char Char1 Char Char Char Char Char Char Char Char Char Char"/>
    <w:basedOn w:val="1"/>
    <w:qFormat/>
    <w:uiPriority w:val="0"/>
    <w:rPr>
      <w:sz w:val="24"/>
    </w:rPr>
  </w:style>
  <w:style w:type="paragraph" w:customStyle="1" w:styleId="1190">
    <w:name w:val="样式 样式 题注 + (西文) 宋体 + 段后: 1 行"/>
    <w:basedOn w:val="1"/>
    <w:qFormat/>
    <w:uiPriority w:val="0"/>
    <w:pPr>
      <w:keepNext/>
      <w:spacing w:line="360" w:lineRule="auto"/>
      <w:ind w:firstLine="200" w:firstLineChars="200"/>
      <w:jc w:val="left"/>
    </w:pPr>
    <w:rPr>
      <w:rFonts w:ascii="宋体" w:hAnsi="宋体" w:cs="宋体"/>
      <w:color w:val="000000"/>
      <w:sz w:val="28"/>
      <w:szCs w:val="20"/>
    </w:rPr>
  </w:style>
  <w:style w:type="paragraph" w:customStyle="1" w:styleId="1191">
    <w:name w:val="表头0"/>
    <w:qFormat/>
    <w:uiPriority w:val="0"/>
    <w:pPr>
      <w:adjustRightInd w:val="0"/>
      <w:snapToGrid w:val="0"/>
      <w:spacing w:beforeLines="10" w:line="360" w:lineRule="auto"/>
      <w:jc w:val="center"/>
    </w:pPr>
    <w:rPr>
      <w:rFonts w:ascii="Times New Roman" w:hAnsi="Times New Roman" w:eastAsia="宋体" w:cs="Times New Roman"/>
      <w:b/>
      <w:sz w:val="21"/>
      <w:lang w:val="en-US" w:eastAsia="zh-CN" w:bidi="ar-SA"/>
    </w:rPr>
  </w:style>
  <w:style w:type="paragraph" w:customStyle="1" w:styleId="1192">
    <w:name w:val="表字"/>
    <w:basedOn w:val="1"/>
    <w:qFormat/>
    <w:uiPriority w:val="0"/>
    <w:pPr>
      <w:jc w:val="center"/>
    </w:pPr>
    <w:rPr>
      <w:rFonts w:ascii="宋体"/>
      <w:szCs w:val="20"/>
    </w:rPr>
  </w:style>
  <w:style w:type="paragraph" w:customStyle="1" w:styleId="1193">
    <w:name w:val="xl135"/>
    <w:basedOn w:val="1"/>
    <w:qFormat/>
    <w:uiPriority w:val="0"/>
    <w:pPr>
      <w:widowControl/>
      <w:spacing w:before="100" w:beforeAutospacing="1" w:after="100" w:afterAutospacing="1"/>
      <w:jc w:val="center"/>
    </w:pPr>
    <w:rPr>
      <w:rFonts w:ascii="Arial Unicode MS" w:hAnsi="Arial Unicode MS"/>
      <w:kern w:val="0"/>
      <w:sz w:val="16"/>
      <w:szCs w:val="16"/>
    </w:rPr>
  </w:style>
  <w:style w:type="paragraph" w:customStyle="1" w:styleId="1194">
    <w:name w:val="xl60"/>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195">
    <w:name w:val="样式 样式 样式 默认段落字体 Para Char Char Char Char + 字距调整二号 + +"/>
    <w:basedOn w:val="1"/>
    <w:qFormat/>
    <w:uiPriority w:val="0"/>
    <w:pPr>
      <w:spacing w:beforeLines="50" w:afterLines="50" w:line="360" w:lineRule="auto"/>
      <w:jc w:val="center"/>
    </w:pPr>
    <w:rPr>
      <w:rFonts w:eastAsia="黑体"/>
      <w:kern w:val="44"/>
      <w:sz w:val="32"/>
    </w:rPr>
  </w:style>
  <w:style w:type="paragraph" w:customStyle="1" w:styleId="1196">
    <w:name w:val="Char Char Char2 Char"/>
    <w:basedOn w:val="1"/>
    <w:qFormat/>
    <w:uiPriority w:val="0"/>
    <w:pPr>
      <w:spacing w:line="360" w:lineRule="auto"/>
      <w:ind w:firstLine="200" w:firstLineChars="200"/>
    </w:pPr>
    <w:rPr>
      <w:rFonts w:ascii="宋体" w:hAnsi="宋体" w:cs="宋体"/>
      <w:sz w:val="24"/>
    </w:rPr>
  </w:style>
  <w:style w:type="paragraph" w:customStyle="1" w:styleId="1197">
    <w:name w:val="Char Char2 Char Char"/>
    <w:basedOn w:val="1"/>
    <w:qFormat/>
    <w:uiPriority w:val="0"/>
  </w:style>
  <w:style w:type="paragraph" w:customStyle="1" w:styleId="1198">
    <w:name w:val="默认段落字体 Para Char Char Char1 Char Char Char Char"/>
    <w:basedOn w:val="1"/>
    <w:qFormat/>
    <w:uiPriority w:val="0"/>
    <w:pPr>
      <w:tabs>
        <w:tab w:val="left" w:pos="360"/>
      </w:tabs>
    </w:pPr>
    <w:rPr>
      <w:szCs w:val="20"/>
    </w:rPr>
  </w:style>
  <w:style w:type="paragraph" w:customStyle="1" w:styleId="1199">
    <w:name w:val="Char Char3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00">
    <w:name w:val="- 页码 -"/>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01">
    <w:name w:val="xl87"/>
    <w:basedOn w:val="1"/>
    <w:qFormat/>
    <w:uiPriority w:val="0"/>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1202">
    <w:name w:val="样式 标题 2 + 行距: 1.5 倍行距2"/>
    <w:basedOn w:val="8"/>
    <w:semiHidden/>
    <w:qFormat/>
    <w:uiPriority w:val="0"/>
    <w:pPr>
      <w:snapToGrid w:val="0"/>
      <w:spacing w:before="120" w:beforeLines="100" w:after="120" w:afterLines="100" w:line="240" w:lineRule="auto"/>
      <w:ind w:left="1134" w:hanging="992"/>
      <w:jc w:val="left"/>
    </w:pPr>
    <w:rPr>
      <w:rFonts w:ascii="Times New Roman" w:hAnsi="Times New Roman" w:cs="宋体"/>
      <w:sz w:val="28"/>
      <w:szCs w:val="28"/>
    </w:rPr>
  </w:style>
  <w:style w:type="paragraph" w:customStyle="1" w:styleId="1203">
    <w:name w:val="xl1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04">
    <w:name w:val="东明_正文 Char"/>
    <w:basedOn w:val="1"/>
    <w:qFormat/>
    <w:uiPriority w:val="0"/>
    <w:pPr>
      <w:spacing w:before="240" w:after="240" w:line="480" w:lineRule="exact"/>
      <w:ind w:firstLine="560" w:firstLineChars="200"/>
    </w:pPr>
    <w:rPr>
      <w:sz w:val="28"/>
      <w:szCs w:val="20"/>
    </w:rPr>
  </w:style>
  <w:style w:type="paragraph" w:customStyle="1" w:styleId="1205">
    <w:name w:val="样式15"/>
    <w:basedOn w:val="1"/>
    <w:qFormat/>
    <w:uiPriority w:val="0"/>
    <w:pPr>
      <w:numPr>
        <w:ilvl w:val="0"/>
        <w:numId w:val="14"/>
      </w:numPr>
      <w:tabs>
        <w:tab w:val="left" w:pos="432"/>
      </w:tabs>
    </w:pPr>
    <w:rPr>
      <w:sz w:val="24"/>
    </w:rPr>
  </w:style>
  <w:style w:type="paragraph" w:customStyle="1" w:styleId="1206">
    <w:name w:val="样式 标题 1章标题 11标题 1H1一、 + 行距: 单倍行距"/>
    <w:basedOn w:val="7"/>
    <w:semiHidden/>
    <w:qFormat/>
    <w:uiPriority w:val="0"/>
    <w:pPr>
      <w:keepLines/>
      <w:overflowPunct/>
      <w:spacing w:before="340" w:after="330" w:line="240" w:lineRule="auto"/>
      <w:ind w:left="3845" w:hanging="3845"/>
      <w:jc w:val="center"/>
    </w:pPr>
    <w:rPr>
      <w:rFonts w:cs="宋体"/>
      <w:color w:val="auto"/>
      <w:sz w:val="44"/>
      <w:szCs w:val="20"/>
    </w:rPr>
  </w:style>
  <w:style w:type="paragraph" w:customStyle="1" w:styleId="1207">
    <w:name w:val="xl113"/>
    <w:basedOn w:val="1"/>
    <w:qFormat/>
    <w:uiPriority w:val="0"/>
    <w:pPr>
      <w:widowControl/>
      <w:pBdr>
        <w:top w:val="single" w:color="auto" w:sz="8" w:space="0"/>
        <w:bottom w:val="single" w:color="auto" w:sz="12" w:space="0"/>
      </w:pBdr>
      <w:spacing w:before="100" w:beforeAutospacing="1" w:after="100" w:afterAutospacing="1"/>
      <w:jc w:val="left"/>
    </w:pPr>
    <w:rPr>
      <w:rFonts w:ascii="Arial Unicode MS" w:hAnsi="Arial Unicode MS"/>
      <w:kern w:val="0"/>
      <w:sz w:val="16"/>
      <w:szCs w:val="16"/>
    </w:rPr>
  </w:style>
  <w:style w:type="paragraph" w:customStyle="1" w:styleId="120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09">
    <w:name w:val="xl152"/>
    <w:basedOn w:val="1"/>
    <w:qFormat/>
    <w:uiPriority w:val="0"/>
    <w:pPr>
      <w:widowControl/>
      <w:spacing w:before="100" w:beforeAutospacing="1" w:after="100" w:afterAutospacing="1"/>
      <w:jc w:val="left"/>
      <w:textAlignment w:val="center"/>
    </w:pPr>
    <w:rPr>
      <w:rFonts w:ascii="Arial Unicode MS" w:hAnsi="Arial Unicode MS"/>
      <w:kern w:val="0"/>
      <w:sz w:val="16"/>
      <w:szCs w:val="16"/>
    </w:rPr>
  </w:style>
  <w:style w:type="paragraph" w:customStyle="1" w:styleId="1210">
    <w:name w:val="Char Char Char Char Char Char Char Char Char Char1 Char Char Char"/>
    <w:basedOn w:val="1"/>
    <w:qFormat/>
    <w:uiPriority w:val="0"/>
    <w:pPr>
      <w:widowControl/>
      <w:contextualSpacing/>
      <w:jc w:val="left"/>
    </w:pPr>
    <w:rPr>
      <w:rFonts w:cs="宋体"/>
      <w:kern w:val="0"/>
    </w:rPr>
  </w:style>
  <w:style w:type="paragraph" w:customStyle="1" w:styleId="1211">
    <w:name w:val="表头样式1"/>
    <w:basedOn w:val="1"/>
    <w:qFormat/>
    <w:uiPriority w:val="0"/>
    <w:pPr>
      <w:widowControl/>
      <w:tabs>
        <w:tab w:val="left" w:pos="2310"/>
      </w:tabs>
      <w:autoSpaceDE w:val="0"/>
      <w:autoSpaceDN w:val="0"/>
      <w:adjustRightInd w:val="0"/>
      <w:spacing w:line="480" w:lineRule="exact"/>
      <w:contextualSpacing/>
      <w:jc w:val="center"/>
    </w:pPr>
    <w:rPr>
      <w:rFonts w:cs="宋体"/>
      <w:b/>
      <w:bCs/>
      <w:kern w:val="0"/>
    </w:rPr>
  </w:style>
  <w:style w:type="paragraph" w:customStyle="1" w:styleId="1212">
    <w:name w:val="xl75"/>
    <w:basedOn w:val="1"/>
    <w:qFormat/>
    <w:uiPriority w:val="0"/>
    <w:pPr>
      <w:widowControl/>
      <w:spacing w:before="100" w:beforeAutospacing="1" w:after="100" w:afterAutospacing="1"/>
      <w:jc w:val="left"/>
    </w:pPr>
    <w:rPr>
      <w:kern w:val="0"/>
      <w:sz w:val="12"/>
      <w:szCs w:val="12"/>
    </w:rPr>
  </w:style>
  <w:style w:type="paragraph" w:customStyle="1" w:styleId="1213">
    <w:name w:val="CM18"/>
    <w:basedOn w:val="1"/>
    <w:next w:val="1"/>
    <w:qFormat/>
    <w:uiPriority w:val="0"/>
    <w:pPr>
      <w:autoSpaceDE w:val="0"/>
      <w:autoSpaceDN w:val="0"/>
      <w:adjustRightInd w:val="0"/>
      <w:spacing w:line="468" w:lineRule="atLeast"/>
      <w:contextualSpacing/>
      <w:jc w:val="left"/>
    </w:pPr>
    <w:rPr>
      <w:rFonts w:ascii="黑体" w:eastAsia="黑体"/>
      <w:kern w:val="0"/>
    </w:rPr>
  </w:style>
  <w:style w:type="paragraph" w:customStyle="1" w:styleId="1214">
    <w:name w:val="xl109"/>
    <w:basedOn w:val="1"/>
    <w:qFormat/>
    <w:uiPriority w:val="0"/>
    <w:pPr>
      <w:widowControl/>
      <w:pBdr>
        <w:top w:val="single" w:color="auto" w:sz="12"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15">
    <w:name w:val="菏泽-标题4"/>
    <w:basedOn w:val="1"/>
    <w:qFormat/>
    <w:uiPriority w:val="0"/>
    <w:pPr>
      <w:spacing w:line="440" w:lineRule="exact"/>
      <w:ind w:firstLine="420" w:firstLineChars="200"/>
    </w:pPr>
    <w:rPr>
      <w:rFonts w:ascii="华文细黑" w:hAnsi="华文细黑" w:eastAsia="华文细黑"/>
      <w:b/>
      <w:szCs w:val="20"/>
    </w:rPr>
  </w:style>
  <w:style w:type="paragraph" w:customStyle="1" w:styleId="1216">
    <w:name w:val="xl99"/>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17">
    <w:name w:val="IDC A-Head (2nd Line)"/>
    <w:basedOn w:val="1"/>
    <w:next w:val="1"/>
    <w:qFormat/>
    <w:uiPriority w:val="0"/>
    <w:pPr>
      <w:widowControl/>
      <w:jc w:val="center"/>
    </w:pPr>
    <w:rPr>
      <w:caps/>
      <w:kern w:val="0"/>
      <w:sz w:val="24"/>
      <w:szCs w:val="20"/>
    </w:rPr>
  </w:style>
  <w:style w:type="paragraph" w:customStyle="1" w:styleId="1218">
    <w:name w:val="样式 正文文本 + 首行缩进:  2 字符 段前: 0.5 行"/>
    <w:basedOn w:val="1"/>
    <w:qFormat/>
    <w:uiPriority w:val="0"/>
    <w:pPr>
      <w:widowControl/>
      <w:spacing w:line="360" w:lineRule="auto"/>
      <w:ind w:firstLine="480" w:firstLineChars="200"/>
    </w:pPr>
    <w:rPr>
      <w:rFonts w:ascii="宋体" w:hAnsi="宋体" w:cs="宋体"/>
      <w:color w:val="000000"/>
      <w:sz w:val="24"/>
    </w:rPr>
  </w:style>
  <w:style w:type="paragraph" w:customStyle="1" w:styleId="1219">
    <w:name w:val="CM22"/>
    <w:basedOn w:val="730"/>
    <w:next w:val="730"/>
    <w:qFormat/>
    <w:uiPriority w:val="0"/>
    <w:pPr>
      <w:spacing w:after="145"/>
    </w:pPr>
    <w:rPr>
      <w:color w:val="auto"/>
    </w:rPr>
  </w:style>
  <w:style w:type="paragraph" w:customStyle="1" w:styleId="1220">
    <w:name w:val="xl148"/>
    <w:basedOn w:val="1"/>
    <w:qFormat/>
    <w:uiPriority w:val="0"/>
    <w:pPr>
      <w:widowControl/>
      <w:pBdr>
        <w:bottom w:val="single" w:color="auto" w:sz="8" w:space="0"/>
      </w:pBdr>
      <w:spacing w:before="100" w:beforeAutospacing="1" w:after="100" w:afterAutospacing="1"/>
      <w:jc w:val="left"/>
    </w:pPr>
    <w:rPr>
      <w:rFonts w:ascii="Arial Unicode MS" w:hAnsi="Arial Unicode MS"/>
      <w:kern w:val="0"/>
    </w:rPr>
  </w:style>
  <w:style w:type="paragraph" w:customStyle="1" w:styleId="1221">
    <w:name w:val="正文表"/>
    <w:basedOn w:val="1"/>
    <w:qFormat/>
    <w:uiPriority w:val="0"/>
    <w:pPr>
      <w:tabs>
        <w:tab w:val="left" w:pos="2451"/>
        <w:tab w:val="left" w:pos="4614"/>
        <w:tab w:val="left" w:pos="6777"/>
        <w:tab w:val="left" w:pos="8940"/>
      </w:tabs>
      <w:autoSpaceDE w:val="0"/>
      <w:autoSpaceDN w:val="0"/>
      <w:adjustRightInd w:val="0"/>
      <w:contextualSpacing/>
      <w:jc w:val="center"/>
      <w:textAlignment w:val="bottom"/>
    </w:pPr>
    <w:rPr>
      <w:color w:val="000000"/>
      <w:kern w:val="0"/>
      <w:sz w:val="28"/>
      <w:szCs w:val="20"/>
    </w:rPr>
  </w:style>
  <w:style w:type="paragraph" w:customStyle="1" w:styleId="1222">
    <w:name w:val="p15"/>
    <w:basedOn w:val="1"/>
    <w:qFormat/>
    <w:uiPriority w:val="0"/>
    <w:pPr>
      <w:widowControl/>
      <w:jc w:val="left"/>
    </w:pPr>
    <w:rPr>
      <w:rFonts w:ascii="宋体" w:hAnsi="宋体" w:cs="宋体"/>
      <w:kern w:val="0"/>
      <w:sz w:val="24"/>
    </w:rPr>
  </w:style>
  <w:style w:type="paragraph" w:customStyle="1" w:styleId="1223">
    <w:name w:val="样式9"/>
    <w:basedOn w:val="7"/>
    <w:qFormat/>
    <w:uiPriority w:val="0"/>
    <w:pPr>
      <w:keepLines/>
      <w:tabs>
        <w:tab w:val="left" w:pos="390"/>
      </w:tabs>
      <w:overflowPunct/>
      <w:snapToGrid/>
      <w:spacing w:before="340" w:beforeLines="200" w:after="330" w:afterLines="200" w:line="520" w:lineRule="exact"/>
      <w:ind w:left="390" w:firstLine="0"/>
    </w:pPr>
    <w:rPr>
      <w:rFonts w:ascii="Calibri" w:hAnsi="Calibri" w:eastAsia="宋体"/>
      <w:color w:val="auto"/>
      <w:sz w:val="44"/>
      <w:szCs w:val="44"/>
    </w:rPr>
  </w:style>
  <w:style w:type="paragraph" w:customStyle="1" w:styleId="1224">
    <w:name w:val="环评正文"/>
    <w:basedOn w:val="7"/>
    <w:qFormat/>
    <w:uiPriority w:val="0"/>
    <w:pPr>
      <w:keepNext w:val="0"/>
      <w:overflowPunct/>
      <w:snapToGrid/>
      <w:spacing w:before="60" w:after="60" w:line="400" w:lineRule="exact"/>
      <w:ind w:left="0" w:firstLine="480" w:firstLineChars="200"/>
      <w:outlineLvl w:val="9"/>
    </w:pPr>
    <w:rPr>
      <w:rFonts w:eastAsia="仿宋_GB2312"/>
      <w:b w:val="0"/>
      <w:color w:val="auto"/>
      <w:sz w:val="24"/>
      <w:szCs w:val="28"/>
    </w:rPr>
  </w:style>
  <w:style w:type="paragraph" w:customStyle="1" w:styleId="1225">
    <w:name w:val="xl129"/>
    <w:basedOn w:val="1"/>
    <w:qFormat/>
    <w:uiPriority w:val="0"/>
    <w:pPr>
      <w:widowControl/>
      <w:pBdr>
        <w:righ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26">
    <w:name w:val="text4"/>
    <w:basedOn w:val="1"/>
    <w:qFormat/>
    <w:uiPriority w:val="0"/>
    <w:pPr>
      <w:widowControl/>
      <w:spacing w:after="150" w:line="336" w:lineRule="auto"/>
      <w:ind w:firstLine="400"/>
      <w:jc w:val="left"/>
    </w:pPr>
    <w:rPr>
      <w:rFonts w:ascii="Arial Unicode MS" w:hAnsi="Arial Unicode MS"/>
      <w:color w:val="333300"/>
      <w:kern w:val="0"/>
      <w:sz w:val="20"/>
      <w:szCs w:val="20"/>
    </w:rPr>
  </w:style>
  <w:style w:type="paragraph" w:customStyle="1" w:styleId="1227">
    <w:name w:val="xl164"/>
    <w:basedOn w:val="1"/>
    <w:qFormat/>
    <w:uiPriority w:val="0"/>
    <w:pPr>
      <w:widowControl/>
      <w:pBdr>
        <w:left w:val="single" w:color="auto" w:sz="12" w:space="0"/>
        <w:bottom w:val="single" w:color="auto" w:sz="12" w:space="0"/>
      </w:pBdr>
      <w:spacing w:before="100" w:beforeAutospacing="1" w:after="100" w:afterAutospacing="1"/>
      <w:jc w:val="center"/>
    </w:pPr>
    <w:rPr>
      <w:rFonts w:ascii="Arial Unicode MS" w:hAnsi="Arial Unicode MS"/>
      <w:kern w:val="0"/>
    </w:rPr>
  </w:style>
  <w:style w:type="paragraph" w:customStyle="1" w:styleId="1228">
    <w:name w:val="Char Char Char Char Char Char Char Char Char Char2"/>
    <w:basedOn w:val="1"/>
    <w:qFormat/>
    <w:uiPriority w:val="0"/>
    <w:pPr>
      <w:widowControl/>
      <w:contextualSpacing/>
      <w:jc w:val="left"/>
    </w:pPr>
    <w:rPr>
      <w:rFonts w:cs="宋体"/>
      <w:kern w:val="0"/>
    </w:rPr>
  </w:style>
  <w:style w:type="paragraph" w:customStyle="1" w:styleId="1229">
    <w:name w:val="样式 标题 4东明_小节2Char Char Char Char Char Char Char Char Char Char..."/>
    <w:basedOn w:val="10"/>
    <w:semiHidden/>
    <w:qFormat/>
    <w:uiPriority w:val="0"/>
    <w:pPr>
      <w:snapToGrid w:val="0"/>
      <w:spacing w:before="0" w:after="0" w:line="600" w:lineRule="exact"/>
      <w:ind w:left="2884" w:hanging="1984"/>
    </w:pPr>
    <w:rPr>
      <w:rFonts w:ascii="Times New Roman" w:hAnsi="Times New Roman" w:eastAsia="黑体" w:cs="宋体"/>
      <w:b w:val="0"/>
      <w:sz w:val="24"/>
      <w:szCs w:val="20"/>
    </w:rPr>
  </w:style>
  <w:style w:type="paragraph" w:customStyle="1" w:styleId="1230">
    <w:name w:val="表标题7.2"/>
    <w:basedOn w:val="1"/>
    <w:qFormat/>
    <w:uiPriority w:val="0"/>
    <w:pPr>
      <w:numPr>
        <w:ilvl w:val="0"/>
        <w:numId w:val="15"/>
      </w:numPr>
      <w:tabs>
        <w:tab w:val="left" w:pos="3765"/>
        <w:tab w:val="center" w:pos="4060"/>
        <w:tab w:val="right" w:pos="8261"/>
        <w:tab w:val="clear" w:pos="726"/>
      </w:tabs>
      <w:suppressAutoHyphens/>
      <w:adjustRightInd w:val="0"/>
      <w:spacing w:beforeLines="100" w:line="0" w:lineRule="atLeast"/>
      <w:ind w:left="3041"/>
      <w:jc w:val="center"/>
    </w:pPr>
    <w:rPr>
      <w:rFonts w:ascii="黑体" w:eastAsia="黑体" w:cs="宋体"/>
      <w:b/>
      <w:bCs/>
      <w:spacing w:val="6"/>
      <w:kern w:val="0"/>
      <w:sz w:val="24"/>
    </w:rPr>
  </w:style>
  <w:style w:type="paragraph" w:customStyle="1" w:styleId="1231">
    <w:name w:val="xl107"/>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32">
    <w:name w:val="样式 标题 4 + (符号) 宋体 段前: 6 磅"/>
    <w:basedOn w:val="10"/>
    <w:qFormat/>
    <w:uiPriority w:val="0"/>
    <w:pPr>
      <w:snapToGrid w:val="0"/>
      <w:spacing w:before="0" w:after="0" w:line="540" w:lineRule="exact"/>
      <w:ind w:left="2884" w:hanging="1984"/>
      <w:jc w:val="left"/>
    </w:pPr>
    <w:rPr>
      <w:rFonts w:ascii="Times New Roman" w:hAnsi="宋体" w:cs="宋体"/>
      <w:sz w:val="24"/>
      <w:szCs w:val="20"/>
    </w:rPr>
  </w:style>
  <w:style w:type="paragraph" w:customStyle="1" w:styleId="1233">
    <w:name w:val="Char11"/>
    <w:basedOn w:val="1"/>
    <w:qFormat/>
    <w:uiPriority w:val="0"/>
    <w:pPr>
      <w:snapToGrid w:val="0"/>
      <w:spacing w:line="500" w:lineRule="exact"/>
      <w:contextualSpacing/>
    </w:pPr>
    <w:rPr>
      <w:rFonts w:eastAsia="仿宋_GB2312"/>
    </w:rPr>
  </w:style>
  <w:style w:type="paragraph" w:customStyle="1" w:styleId="1234">
    <w:name w:val="表体"/>
    <w:basedOn w:val="158"/>
    <w:semiHidden/>
    <w:qFormat/>
    <w:uiPriority w:val="0"/>
    <w:pPr>
      <w:overflowPunct w:val="0"/>
      <w:autoSpaceDE w:val="0"/>
      <w:autoSpaceDN w:val="0"/>
      <w:snapToGrid/>
      <w:spacing w:line="300" w:lineRule="atLeast"/>
      <w:jc w:val="left"/>
    </w:pPr>
    <w:rPr>
      <w:rFonts w:eastAsia="宋体"/>
      <w:color w:val="000000"/>
      <w:spacing w:val="0"/>
      <w:kern w:val="24"/>
      <w:sz w:val="18"/>
    </w:rPr>
  </w:style>
  <w:style w:type="paragraph" w:customStyle="1" w:styleId="1235">
    <w:name w:val="wj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6">
    <w:name w:val="xl156"/>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237">
    <w:name w:val="样式 标题 51)项标5 +"/>
    <w:basedOn w:val="11"/>
    <w:qFormat/>
    <w:uiPriority w:val="0"/>
    <w:pPr>
      <w:keepNext w:val="0"/>
      <w:keepLines w:val="0"/>
      <w:tabs>
        <w:tab w:val="left" w:pos="987"/>
        <w:tab w:val="clear" w:pos="1008"/>
      </w:tabs>
      <w:spacing w:before="0" w:after="0" w:line="360" w:lineRule="auto"/>
      <w:ind w:left="987" w:hanging="420"/>
      <w:contextualSpacing/>
    </w:pPr>
    <w:rPr>
      <w:rFonts w:hAnsi="Arial"/>
      <w:b w:val="0"/>
      <w:bCs/>
      <w:color w:val="000000"/>
      <w:spacing w:val="3"/>
      <w:szCs w:val="28"/>
    </w:rPr>
  </w:style>
  <w:style w:type="paragraph" w:customStyle="1" w:styleId="1238">
    <w:name w:val="xl81"/>
    <w:basedOn w:val="1"/>
    <w:qFormat/>
    <w:uiPriority w:val="0"/>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1239">
    <w:name w:val="菏泽-正文 Char"/>
    <w:basedOn w:val="1"/>
    <w:qFormat/>
    <w:uiPriority w:val="0"/>
    <w:pPr>
      <w:spacing w:line="440" w:lineRule="exact"/>
      <w:ind w:firstLine="420" w:firstLineChars="200"/>
    </w:pPr>
    <w:rPr>
      <w:rFonts w:ascii="Arial" w:hAnsi="Arial" w:eastAsia="华文细黑"/>
    </w:rPr>
  </w:style>
  <w:style w:type="paragraph" w:customStyle="1" w:styleId="1240">
    <w:name w:val="小Ꮄ"/>
    <w:basedOn w:val="1"/>
    <w:qFormat/>
    <w:uiPriority w:val="0"/>
    <w:pPr>
      <w:spacing w:before="60" w:after="60" w:line="360" w:lineRule="auto"/>
    </w:pPr>
  </w:style>
  <w:style w:type="paragraph" w:customStyle="1" w:styleId="1241">
    <w:name w:val="xl130"/>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42">
    <w:name w:val="样式 样式 样式 标题 4 + 宋体 行距: 1.5 倍行距 + 段前: 0.5 行 + Times New Roman"/>
    <w:basedOn w:val="851"/>
    <w:qFormat/>
    <w:uiPriority w:val="0"/>
    <w:pPr>
      <w:snapToGrid w:val="0"/>
      <w:spacing w:beforeLines="50" w:after="120"/>
      <w:ind w:left="2884" w:hanging="2884"/>
      <w:jc w:val="left"/>
    </w:pPr>
    <w:rPr>
      <w:rFonts w:hAnsi="Times New Roman"/>
      <w:b w:val="0"/>
    </w:rPr>
  </w:style>
  <w:style w:type="paragraph" w:customStyle="1" w:styleId="1243">
    <w:name w:val="xl174"/>
    <w:basedOn w:val="1"/>
    <w:qFormat/>
    <w:uiPriority w:val="0"/>
    <w:pPr>
      <w:widowControl/>
      <w:spacing w:before="100" w:beforeAutospacing="1" w:after="100" w:afterAutospacing="1"/>
      <w:jc w:val="center"/>
    </w:pPr>
    <w:rPr>
      <w:rFonts w:ascii="Arial Unicode MS" w:hAnsi="Arial Unicode MS"/>
      <w:kern w:val="0"/>
      <w:sz w:val="16"/>
      <w:szCs w:val="16"/>
    </w:rPr>
  </w:style>
  <w:style w:type="paragraph" w:customStyle="1" w:styleId="1244">
    <w:name w:val="样式 样式 样式 首行缩进:  2 字符 + 首行缩进:  2 字符 + 居中 行距: 单倍行距"/>
    <w:basedOn w:val="1"/>
    <w:qFormat/>
    <w:uiPriority w:val="0"/>
    <w:pPr>
      <w:jc w:val="center"/>
    </w:pPr>
    <w:rPr>
      <w:rFonts w:eastAsia="仿宋_GB2312"/>
      <w:sz w:val="24"/>
      <w:szCs w:val="20"/>
    </w:rPr>
  </w:style>
  <w:style w:type="paragraph" w:customStyle="1" w:styleId="1245">
    <w:name w:val="xl45"/>
    <w:basedOn w:val="1"/>
    <w:qFormat/>
    <w:uiPriority w:val="0"/>
    <w:pPr>
      <w:widowControl/>
      <w:spacing w:before="100" w:beforeAutospacing="1" w:after="100" w:afterAutospacing="1"/>
      <w:jc w:val="center"/>
    </w:pPr>
    <w:rPr>
      <w:rFonts w:ascii="Arial" w:hAnsi="Arial" w:cs="Arial"/>
      <w:b/>
      <w:bCs/>
      <w:kern w:val="0"/>
      <w:sz w:val="22"/>
      <w:szCs w:val="22"/>
    </w:rPr>
  </w:style>
  <w:style w:type="paragraph" w:customStyle="1" w:styleId="1246">
    <w:name w:val="表格 左侧"/>
    <w:basedOn w:val="198"/>
    <w:qFormat/>
    <w:uiPriority w:val="0"/>
    <w:pPr>
      <w:widowControl/>
      <w:adjustRightInd/>
      <w:snapToGrid/>
      <w:spacing w:beforeLines="0" w:afterLines="0" w:line="240" w:lineRule="auto"/>
      <w:jc w:val="left"/>
    </w:pPr>
    <w:rPr>
      <w:rFonts w:ascii="Times New Roman"/>
      <w:b/>
      <w:bCs/>
      <w:snapToGrid w:val="0"/>
      <w:kern w:val="18"/>
      <w:szCs w:val="21"/>
    </w:rPr>
  </w:style>
  <w:style w:type="paragraph" w:customStyle="1" w:styleId="1247">
    <w:name w:val="xl91"/>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48">
    <w:name w:val="xl139"/>
    <w:basedOn w:val="1"/>
    <w:qFormat/>
    <w:uiPriority w:val="0"/>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1249">
    <w:name w:val="font_mid"/>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250">
    <w:name w:val="表格的文字"/>
    <w:basedOn w:val="1"/>
    <w:qFormat/>
    <w:uiPriority w:val="0"/>
    <w:pPr>
      <w:spacing w:line="300" w:lineRule="exact"/>
      <w:jc w:val="center"/>
    </w:pPr>
    <w:rPr>
      <w:rFonts w:ascii="仿宋_GB2312" w:eastAsia="仿宋_GB2312"/>
      <w:bCs/>
      <w:szCs w:val="20"/>
    </w:rPr>
  </w:style>
  <w:style w:type="paragraph" w:customStyle="1" w:styleId="1251">
    <w:name w:val="新正文"/>
    <w:basedOn w:val="1"/>
    <w:qFormat/>
    <w:uiPriority w:val="0"/>
    <w:pPr>
      <w:spacing w:line="480" w:lineRule="exact"/>
      <w:ind w:firstLine="567"/>
    </w:pPr>
    <w:rPr>
      <w:rFonts w:ascii="仿宋_GB2312" w:eastAsia="仿宋_GB2312"/>
      <w:bCs/>
      <w:kern w:val="0"/>
      <w:sz w:val="28"/>
      <w:szCs w:val="20"/>
    </w:rPr>
  </w:style>
  <w:style w:type="paragraph" w:customStyle="1" w:styleId="1252">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1253">
    <w:name w:val="xl196"/>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kern w:val="0"/>
    </w:rPr>
  </w:style>
  <w:style w:type="paragraph" w:customStyle="1" w:styleId="1254">
    <w:name w:val="zw"/>
    <w:basedOn w:val="1"/>
    <w:qFormat/>
    <w:uiPriority w:val="0"/>
    <w:pPr>
      <w:widowControl/>
      <w:spacing w:before="100" w:beforeAutospacing="1" w:after="100" w:afterAutospacing="1" w:line="400" w:lineRule="atLeast"/>
      <w:jc w:val="left"/>
    </w:pPr>
    <w:rPr>
      <w:rFonts w:hint="eastAsia" w:ascii="宋体" w:hAnsi="宋体"/>
      <w:kern w:val="0"/>
      <w:sz w:val="22"/>
      <w:szCs w:val="22"/>
    </w:rPr>
  </w:style>
  <w:style w:type="paragraph" w:customStyle="1" w:styleId="1255">
    <w:name w:val="3级标题"/>
    <w:basedOn w:val="1"/>
    <w:qFormat/>
    <w:uiPriority w:val="0"/>
    <w:pPr>
      <w:spacing w:before="300" w:line="460" w:lineRule="exact"/>
      <w:outlineLvl w:val="2"/>
    </w:pPr>
    <w:rPr>
      <w:b/>
      <w:sz w:val="24"/>
      <w:szCs w:val="20"/>
    </w:rPr>
  </w:style>
  <w:style w:type="paragraph" w:customStyle="1" w:styleId="1256">
    <w:name w:val="Char51"/>
    <w:basedOn w:val="1"/>
    <w:qFormat/>
    <w:uiPriority w:val="0"/>
  </w:style>
  <w:style w:type="paragraph" w:customStyle="1" w:styleId="1257">
    <w:name w:val="xl18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58">
    <w:name w:val="样式 标题 2 + 段前: 0.1 行 段后: 0.1 行"/>
    <w:basedOn w:val="8"/>
    <w:qFormat/>
    <w:uiPriority w:val="0"/>
    <w:pPr>
      <w:spacing w:before="120" w:beforeLines="100" w:after="120" w:afterLines="100" w:line="240" w:lineRule="auto"/>
      <w:ind w:left="1134" w:hanging="992"/>
    </w:pPr>
    <w:rPr>
      <w:rFonts w:ascii="Times New Roman" w:hAnsi="Times New Roman" w:cs="宋体"/>
      <w:sz w:val="30"/>
      <w:szCs w:val="20"/>
    </w:rPr>
  </w:style>
  <w:style w:type="paragraph" w:customStyle="1" w:styleId="1259">
    <w:name w:val="copyright"/>
    <w:basedOn w:val="1"/>
    <w:qFormat/>
    <w:uiPriority w:val="0"/>
    <w:pPr>
      <w:widowControl/>
      <w:spacing w:before="100" w:beforeAutospacing="1" w:after="100" w:afterAutospacing="1"/>
      <w:ind w:firstLine="401"/>
      <w:jc w:val="left"/>
    </w:pPr>
    <w:rPr>
      <w:rFonts w:ascii="宋体" w:hAnsi="宋体" w:cs="宋体"/>
      <w:color w:val="000000"/>
      <w:kern w:val="0"/>
      <w:sz w:val="20"/>
      <w:szCs w:val="20"/>
    </w:rPr>
  </w:style>
  <w:style w:type="paragraph" w:customStyle="1" w:styleId="1260">
    <w:name w:val="样式 标题 4 + (西文) Times New Roman (中文) 宋体 小四"/>
    <w:basedOn w:val="10"/>
    <w:qFormat/>
    <w:uiPriority w:val="0"/>
    <w:pPr>
      <w:tabs>
        <w:tab w:val="left" w:pos="1247"/>
      </w:tabs>
      <w:spacing w:before="0" w:beforeLines="25" w:after="0" w:afterLines="25" w:line="360" w:lineRule="auto"/>
      <w:ind w:left="964" w:hanging="964"/>
    </w:pPr>
    <w:rPr>
      <w:rFonts w:ascii="宋体" w:hAnsi="宋体"/>
      <w:b w:val="0"/>
      <w:bCs w:val="0"/>
      <w:sz w:val="24"/>
      <w:szCs w:val="24"/>
    </w:rPr>
  </w:style>
  <w:style w:type="paragraph" w:customStyle="1" w:styleId="1261">
    <w:name w:val="Char Char Char"/>
    <w:basedOn w:val="1"/>
    <w:qFormat/>
    <w:uiPriority w:val="0"/>
    <w:rPr>
      <w:sz w:val="24"/>
    </w:rPr>
  </w:style>
  <w:style w:type="paragraph" w:customStyle="1" w:styleId="1262">
    <w:name w:val="东明_正文"/>
    <w:basedOn w:val="1"/>
    <w:qFormat/>
    <w:uiPriority w:val="0"/>
    <w:pPr>
      <w:spacing w:before="240" w:after="240" w:line="480" w:lineRule="exact"/>
      <w:ind w:firstLine="560" w:firstLineChars="200"/>
    </w:pPr>
    <w:rPr>
      <w:sz w:val="28"/>
      <w:szCs w:val="20"/>
    </w:rPr>
  </w:style>
  <w:style w:type="paragraph" w:customStyle="1" w:styleId="1263">
    <w:name w:val="表格文本 小五 居中"/>
    <w:basedOn w:val="1"/>
    <w:qFormat/>
    <w:uiPriority w:val="0"/>
    <w:pPr>
      <w:adjustRightInd w:val="0"/>
      <w:snapToGrid w:val="0"/>
      <w:jc w:val="center"/>
    </w:pPr>
    <w:rPr>
      <w:rFonts w:cs="宋体"/>
    </w:rPr>
  </w:style>
  <w:style w:type="paragraph" w:customStyle="1" w:styleId="1264">
    <w:name w:val="xl116"/>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265">
    <w:name w:val="表格样式"/>
    <w:basedOn w:val="1"/>
    <w:qFormat/>
    <w:uiPriority w:val="0"/>
    <w:pPr>
      <w:widowControl/>
    </w:pPr>
    <w:rPr>
      <w:sz w:val="24"/>
    </w:rPr>
  </w:style>
  <w:style w:type="paragraph" w:customStyle="1" w:styleId="1266">
    <w:name w:val="表格文字中 Char Char"/>
    <w:basedOn w:val="1"/>
    <w:qFormat/>
    <w:uiPriority w:val="0"/>
    <w:pPr>
      <w:keepNext/>
      <w:widowControl/>
      <w:spacing w:line="160" w:lineRule="atLeast"/>
      <w:contextualSpacing/>
      <w:jc w:val="center"/>
    </w:pPr>
    <w:rPr>
      <w:rFonts w:cs="宋体"/>
      <w:color w:val="000000"/>
      <w:kern w:val="0"/>
      <w:szCs w:val="20"/>
    </w:rPr>
  </w:style>
  <w:style w:type="paragraph" w:customStyle="1" w:styleId="1267">
    <w:name w:val="表文"/>
    <w:basedOn w:val="1"/>
    <w:qFormat/>
    <w:uiPriority w:val="0"/>
    <w:pPr>
      <w:keepNext/>
      <w:adjustRightInd w:val="0"/>
      <w:spacing w:before="40" w:line="288" w:lineRule="auto"/>
      <w:jc w:val="center"/>
      <w:textAlignment w:val="baseline"/>
    </w:pPr>
    <w:rPr>
      <w:kern w:val="0"/>
      <w:sz w:val="24"/>
      <w:szCs w:val="20"/>
    </w:rPr>
  </w:style>
  <w:style w:type="paragraph" w:customStyle="1" w:styleId="1268">
    <w:name w:val="菏泽-标题 3 Char Char Char"/>
    <w:basedOn w:val="1"/>
    <w:next w:val="1"/>
    <w:qFormat/>
    <w:uiPriority w:val="0"/>
    <w:pPr>
      <w:keepNext/>
      <w:keepLines/>
      <w:overflowPunct w:val="0"/>
      <w:snapToGrid w:val="0"/>
      <w:spacing w:line="440" w:lineRule="exact"/>
      <w:ind w:firstLine="359" w:firstLineChars="128"/>
      <w:outlineLvl w:val="2"/>
    </w:pPr>
    <w:rPr>
      <w:rFonts w:ascii="华文细黑" w:hAnsi="华文细黑" w:eastAsia="华文细黑"/>
      <w:b/>
      <w:sz w:val="28"/>
      <w:szCs w:val="28"/>
    </w:rPr>
  </w:style>
  <w:style w:type="paragraph" w:customStyle="1" w:styleId="1269">
    <w:name w:val="样式 标题 1章标题 11标题 1H1一、 + 行距: 1.5 倍行距3"/>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1270">
    <w:name w:val="5 Char"/>
    <w:basedOn w:val="1"/>
    <w:qFormat/>
    <w:uiPriority w:val="0"/>
    <w:rPr>
      <w:sz w:val="24"/>
    </w:rPr>
  </w:style>
  <w:style w:type="paragraph" w:customStyle="1" w:styleId="1271">
    <w:name w:val="正文内容"/>
    <w:basedOn w:val="1"/>
    <w:qFormat/>
    <w:uiPriority w:val="0"/>
    <w:pPr>
      <w:adjustRightInd w:val="0"/>
      <w:snapToGrid w:val="0"/>
      <w:spacing w:line="360" w:lineRule="auto"/>
      <w:ind w:firstLine="510"/>
    </w:pPr>
    <w:rPr>
      <w:rFonts w:ascii="宋体" w:hAnsi="宋体"/>
      <w:snapToGrid w:val="0"/>
      <w:spacing w:val="4"/>
      <w:kern w:val="0"/>
      <w:sz w:val="24"/>
      <w:szCs w:val="20"/>
    </w:rPr>
  </w:style>
  <w:style w:type="paragraph" w:customStyle="1" w:styleId="1272">
    <w:name w:val="xl26"/>
    <w:basedOn w:val="1"/>
    <w:qFormat/>
    <w:uiPriority w:val="0"/>
    <w:pPr>
      <w:widowControl/>
      <w:pBdr>
        <w:bottom w:val="single" w:color="auto" w:sz="4" w:space="0"/>
        <w:right w:val="single" w:color="auto" w:sz="4" w:space="0"/>
      </w:pBdr>
      <w:spacing w:before="100" w:after="100"/>
      <w:jc w:val="center"/>
      <w:textAlignment w:val="top"/>
    </w:pPr>
    <w:rPr>
      <w:kern w:val="0"/>
      <w:szCs w:val="20"/>
    </w:rPr>
  </w:style>
  <w:style w:type="paragraph" w:customStyle="1" w:styleId="1273">
    <w:name w:val="样式 标题 2 + 行距: 1.5 倍行距1"/>
    <w:basedOn w:val="8"/>
    <w:qFormat/>
    <w:uiPriority w:val="0"/>
    <w:pPr>
      <w:snapToGrid w:val="0"/>
      <w:spacing w:before="240" w:after="240" w:line="240" w:lineRule="auto"/>
      <w:ind w:left="1134" w:hanging="992"/>
      <w:jc w:val="left"/>
    </w:pPr>
    <w:rPr>
      <w:rFonts w:ascii="Times New Roman" w:hAnsi="Times New Roman" w:cs="宋体"/>
      <w:sz w:val="28"/>
      <w:szCs w:val="20"/>
    </w:rPr>
  </w:style>
  <w:style w:type="paragraph" w:customStyle="1" w:styleId="1274">
    <w:name w:val="标题21"/>
    <w:basedOn w:val="1"/>
    <w:qFormat/>
    <w:uiPriority w:val="0"/>
    <w:pPr>
      <w:suppressLineNumbers/>
      <w:spacing w:line="360" w:lineRule="auto"/>
      <w:outlineLvl w:val="1"/>
    </w:pPr>
    <w:rPr>
      <w:rFonts w:eastAsia="黑体"/>
      <w:sz w:val="36"/>
      <w:szCs w:val="36"/>
    </w:rPr>
  </w:style>
  <w:style w:type="paragraph" w:customStyle="1" w:styleId="127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276">
    <w:name w:val="样式 样式 样式 正文 首行缩进:  2 字符 SL CON + 首行缩进:  2 字符 + (符号) 宋体 + 字距调整小四"/>
    <w:basedOn w:val="1"/>
    <w:qFormat/>
    <w:uiPriority w:val="0"/>
    <w:pPr>
      <w:widowControl/>
      <w:numPr>
        <w:ilvl w:val="0"/>
        <w:numId w:val="4"/>
      </w:numPr>
      <w:tabs>
        <w:tab w:val="left" w:pos="377"/>
      </w:tabs>
      <w:spacing w:line="360" w:lineRule="auto"/>
      <w:ind w:left="0" w:firstLine="480" w:firstLineChars="200"/>
    </w:pPr>
    <w:rPr>
      <w:rFonts w:ascii="宋体" w:hAnsi="宋体" w:cs="宋体"/>
      <w:kern w:val="24"/>
      <w:sz w:val="24"/>
    </w:rPr>
  </w:style>
  <w:style w:type="paragraph" w:customStyle="1" w:styleId="1277">
    <w:name w:val="样式 题注 + (西文) Arial (中文) 黑体 小四 Char Char"/>
    <w:basedOn w:val="25"/>
    <w:qFormat/>
    <w:uiPriority w:val="0"/>
    <w:pPr>
      <w:keepNext/>
      <w:numPr>
        <w:ilvl w:val="0"/>
        <w:numId w:val="16"/>
      </w:numPr>
      <w:tabs>
        <w:tab w:val="left" w:pos="1620"/>
      </w:tabs>
      <w:adjustRightInd w:val="0"/>
      <w:spacing w:line="240" w:lineRule="auto"/>
      <w:ind w:left="1620" w:leftChars="600" w:hanging="360" w:hangingChars="200"/>
      <w:jc w:val="center"/>
    </w:pPr>
    <w:rPr>
      <w:sz w:val="24"/>
      <w:szCs w:val="28"/>
    </w:rPr>
  </w:style>
  <w:style w:type="paragraph" w:customStyle="1" w:styleId="1278">
    <w:name w:val="标题正4"/>
    <w:basedOn w:val="1"/>
    <w:qFormat/>
    <w:uiPriority w:val="0"/>
    <w:pPr>
      <w:jc w:val="center"/>
    </w:pPr>
    <w:rPr>
      <w:rFonts w:ascii="仿宋_GB2312" w:eastAsia="仿宋_GB2312"/>
      <w:color w:val="000000"/>
    </w:rPr>
  </w:style>
  <w:style w:type="paragraph" w:customStyle="1" w:styleId="1279">
    <w:name w:val="xl1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1280">
    <w:name w:val="表序号"/>
    <w:basedOn w:val="11"/>
    <w:qFormat/>
    <w:uiPriority w:val="0"/>
    <w:pPr>
      <w:tabs>
        <w:tab w:val="left" w:pos="3093"/>
        <w:tab w:val="clear" w:pos="1008"/>
      </w:tabs>
      <w:spacing w:before="0" w:after="0" w:line="360" w:lineRule="auto"/>
      <w:ind w:left="3093" w:hanging="420"/>
      <w:jc w:val="center"/>
    </w:pPr>
    <w:rPr>
      <w:rFonts w:ascii="宋体" w:hAnsi="Arial"/>
      <w:kern w:val="0"/>
      <w:sz w:val="24"/>
    </w:rPr>
  </w:style>
  <w:style w:type="paragraph" w:customStyle="1" w:styleId="1281">
    <w:name w:val="ST20_1"/>
    <w:basedOn w:val="1"/>
    <w:qFormat/>
    <w:uiPriority w:val="0"/>
    <w:pPr>
      <w:autoSpaceDE w:val="0"/>
      <w:autoSpaceDN w:val="0"/>
      <w:adjustRightInd w:val="0"/>
      <w:spacing w:line="312" w:lineRule="atLeast"/>
      <w:jc w:val="center"/>
      <w:textAlignment w:val="baseline"/>
    </w:pPr>
    <w:rPr>
      <w:rFonts w:ascii="宋体" w:hAnsi="Tms Rmn"/>
      <w:kern w:val="0"/>
      <w:sz w:val="24"/>
      <w:szCs w:val="20"/>
    </w:rPr>
  </w:style>
  <w:style w:type="paragraph" w:customStyle="1" w:styleId="1282">
    <w:name w:val="xl32"/>
    <w:basedOn w:val="1"/>
    <w:qFormat/>
    <w:uiPriority w:val="0"/>
    <w:pPr>
      <w:widowControl/>
      <w:pBdr>
        <w:right w:val="single" w:color="auto" w:sz="4" w:space="0"/>
      </w:pBdr>
      <w:spacing w:before="100" w:beforeAutospacing="1" w:after="100" w:afterAutospacing="1"/>
      <w:jc w:val="center"/>
      <w:textAlignment w:val="bottom"/>
    </w:pPr>
    <w:rPr>
      <w:rFonts w:ascii="Arial" w:hAnsi="Arial" w:cs="Arial"/>
      <w:kern w:val="0"/>
      <w:sz w:val="28"/>
      <w:szCs w:val="28"/>
    </w:rPr>
  </w:style>
  <w:style w:type="paragraph" w:customStyle="1" w:styleId="1283">
    <w:name w:val="样式 小四 首行缩进:  1.01 厘米 行距: 1.5 倍行距"/>
    <w:basedOn w:val="1"/>
    <w:qFormat/>
    <w:uiPriority w:val="0"/>
    <w:pPr>
      <w:spacing w:line="360" w:lineRule="auto"/>
    </w:pPr>
    <w:rPr>
      <w:rFonts w:ascii="宋体" w:hAnsi="宋体" w:cs="宋体"/>
      <w:sz w:val="24"/>
    </w:rPr>
  </w:style>
  <w:style w:type="paragraph" w:customStyle="1" w:styleId="1284">
    <w:name w:val="表头及图标"/>
    <w:basedOn w:val="409"/>
    <w:qFormat/>
    <w:uiPriority w:val="0"/>
    <w:pPr>
      <w:ind w:firstLine="0" w:firstLineChars="0"/>
      <w:jc w:val="center"/>
    </w:pPr>
    <w:rPr>
      <w:b/>
      <w:bCs/>
      <w:sz w:val="21"/>
      <w:szCs w:val="20"/>
    </w:rPr>
  </w:style>
  <w:style w:type="paragraph" w:customStyle="1" w:styleId="1285">
    <w:name w:val="公式样式1"/>
    <w:basedOn w:val="1"/>
    <w:qFormat/>
    <w:uiPriority w:val="0"/>
    <w:pPr>
      <w:spacing w:line="360" w:lineRule="auto"/>
      <w:ind w:firstLine="235" w:firstLineChars="100"/>
    </w:pPr>
    <w:rPr>
      <w:rFonts w:ascii="宋体" w:hAnsi="Arial Black"/>
      <w:szCs w:val="20"/>
    </w:rPr>
  </w:style>
  <w:style w:type="paragraph" w:customStyle="1" w:styleId="1286">
    <w:name w:val="样式 正文文本 + 宋体 行距: 1.5 倍行距"/>
    <w:basedOn w:val="35"/>
    <w:qFormat/>
    <w:uiPriority w:val="0"/>
    <w:pPr>
      <w:widowControl w:val="0"/>
      <w:snapToGrid/>
      <w:spacing w:before="0" w:after="120" w:line="360" w:lineRule="auto"/>
      <w:ind w:right="0" w:firstLine="480" w:firstLineChars="200"/>
    </w:pPr>
    <w:rPr>
      <w:rFonts w:cs="宋体"/>
      <w:sz w:val="24"/>
    </w:rPr>
  </w:style>
  <w:style w:type="paragraph" w:customStyle="1" w:styleId="1287">
    <w:name w:val="样式 正文缩进正文（首行缩进两字）正文（首行缩进两字） Char Char Char Char Char Char Char..."/>
    <w:basedOn w:val="12"/>
    <w:qFormat/>
    <w:uiPriority w:val="0"/>
    <w:pPr>
      <w:spacing w:line="312" w:lineRule="auto"/>
      <w:ind w:firstLine="539" w:firstLineChars="0"/>
    </w:pPr>
    <w:rPr>
      <w:kern w:val="0"/>
      <w:sz w:val="28"/>
      <w:szCs w:val="20"/>
    </w:rPr>
  </w:style>
  <w:style w:type="paragraph" w:customStyle="1" w:styleId="1288">
    <w:name w:val="论文正文"/>
    <w:basedOn w:val="12"/>
    <w:qFormat/>
    <w:uiPriority w:val="0"/>
    <w:pPr>
      <w:ind w:firstLine="480"/>
    </w:pPr>
    <w:rPr>
      <w:rFonts w:ascii="宋体" w:hAnsi="宋体"/>
      <w:kern w:val="0"/>
      <w:sz w:val="28"/>
    </w:rPr>
  </w:style>
  <w:style w:type="paragraph" w:customStyle="1" w:styleId="1289">
    <w:name w:val="样式 样式 标题 2节 + (西文) Times New Roman (中文) 宋体 四号 段前: 0.5 行 段后: 0......"/>
    <w:basedOn w:val="1"/>
    <w:qFormat/>
    <w:uiPriority w:val="0"/>
    <w:pPr>
      <w:keepNext/>
      <w:keepLines/>
      <w:adjustRightInd w:val="0"/>
      <w:snapToGrid w:val="0"/>
      <w:spacing w:beforeLines="90" w:afterLines="90" w:line="300" w:lineRule="auto"/>
      <w:ind w:left="992" w:hanging="992"/>
      <w:outlineLvl w:val="1"/>
    </w:pPr>
    <w:rPr>
      <w:rFonts w:ascii="宋体" w:hAnsi="宋体"/>
      <w:bCs/>
      <w:sz w:val="30"/>
      <w:szCs w:val="30"/>
    </w:rPr>
  </w:style>
  <w:style w:type="paragraph" w:customStyle="1" w:styleId="1290">
    <w:name w:val="CM28"/>
    <w:basedOn w:val="1"/>
    <w:next w:val="1"/>
    <w:qFormat/>
    <w:uiPriority w:val="0"/>
    <w:pPr>
      <w:autoSpaceDE w:val="0"/>
      <w:autoSpaceDN w:val="0"/>
      <w:adjustRightInd w:val="0"/>
      <w:spacing w:line="468" w:lineRule="atLeast"/>
      <w:jc w:val="left"/>
    </w:pPr>
    <w:rPr>
      <w:rFonts w:ascii="宋体" w:cs="宋体"/>
      <w:kern w:val="0"/>
      <w:sz w:val="24"/>
    </w:rPr>
  </w:style>
  <w:style w:type="paragraph" w:customStyle="1" w:styleId="1291">
    <w:name w:val="样式 标题 1章标题 11标题 1H1一、 + 行距: 1.5 倍行距2"/>
    <w:basedOn w:val="7"/>
    <w:semiHidden/>
    <w:qFormat/>
    <w:uiPriority w:val="0"/>
    <w:pPr>
      <w:keepLines/>
      <w:overflowPunct/>
      <w:spacing w:before="340" w:after="330" w:line="360" w:lineRule="auto"/>
      <w:ind w:left="3845" w:hanging="3845"/>
      <w:jc w:val="center"/>
    </w:pPr>
    <w:rPr>
      <w:rFonts w:cs="宋体"/>
      <w:color w:val="auto"/>
      <w:sz w:val="44"/>
      <w:szCs w:val="20"/>
    </w:rPr>
  </w:style>
  <w:style w:type="paragraph" w:customStyle="1" w:styleId="1292">
    <w:name w:val="xl154"/>
    <w:basedOn w:val="1"/>
    <w:qFormat/>
    <w:uiPriority w:val="0"/>
    <w:pPr>
      <w:widowControl/>
      <w:pBdr>
        <w:left w:val="single" w:color="auto" w:sz="12" w:space="0"/>
        <w:bottom w:val="single" w:color="auto" w:sz="8" w:space="0"/>
      </w:pBdr>
      <w:spacing w:before="100" w:beforeAutospacing="1" w:after="100" w:afterAutospacing="1"/>
      <w:jc w:val="center"/>
    </w:pPr>
    <w:rPr>
      <w:rFonts w:ascii="Arial Unicode MS" w:hAnsi="Arial Unicode MS"/>
      <w:kern w:val="0"/>
      <w:sz w:val="12"/>
      <w:szCs w:val="12"/>
    </w:rPr>
  </w:style>
  <w:style w:type="paragraph" w:customStyle="1" w:styleId="1293">
    <w:name w:val="我的正文"/>
    <w:basedOn w:val="1"/>
    <w:qFormat/>
    <w:uiPriority w:val="0"/>
    <w:pPr>
      <w:spacing w:line="360" w:lineRule="auto"/>
      <w:ind w:firstLine="480" w:firstLineChars="200"/>
    </w:pPr>
    <w:rPr>
      <w:rFonts w:cs="宋体"/>
      <w:sz w:val="24"/>
    </w:rPr>
  </w:style>
  <w:style w:type="paragraph" w:customStyle="1" w:styleId="1294">
    <w:name w:val="xl90"/>
    <w:basedOn w:val="1"/>
    <w:qFormat/>
    <w:uiPriority w:val="0"/>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95">
    <w:name w:val="正文1.1"/>
    <w:basedOn w:val="1"/>
    <w:qFormat/>
    <w:uiPriority w:val="0"/>
    <w:pPr>
      <w:tabs>
        <w:tab w:val="left" w:pos="495"/>
      </w:tabs>
      <w:snapToGrid w:val="0"/>
      <w:spacing w:beforeLines="50" w:afterLines="50" w:line="360" w:lineRule="auto"/>
      <w:ind w:left="495" w:hanging="495"/>
      <w:outlineLvl w:val="2"/>
    </w:pPr>
    <w:rPr>
      <w:rFonts w:hAnsi="宋体"/>
      <w:b/>
      <w:sz w:val="30"/>
      <w:szCs w:val="30"/>
    </w:rPr>
  </w:style>
  <w:style w:type="paragraph" w:customStyle="1" w:styleId="1296">
    <w:name w:val="xl102"/>
    <w:basedOn w:val="1"/>
    <w:qFormat/>
    <w:uiPriority w:val="0"/>
    <w:pPr>
      <w:widowControl/>
      <w:pBdr>
        <w:left w:val="single" w:color="auto" w:sz="4" w:space="0"/>
        <w:bottom w:val="single" w:color="auto" w:sz="12" w:space="0"/>
        <w:right w:val="single" w:color="auto" w:sz="12" w:space="0"/>
      </w:pBdr>
      <w:spacing w:before="100" w:beforeAutospacing="1" w:after="100" w:afterAutospacing="1"/>
      <w:jc w:val="center"/>
      <w:textAlignment w:val="center"/>
    </w:pPr>
    <w:rPr>
      <w:kern w:val="0"/>
      <w:sz w:val="12"/>
      <w:szCs w:val="12"/>
    </w:rPr>
  </w:style>
  <w:style w:type="paragraph" w:customStyle="1" w:styleId="1297">
    <w:name w:val="xl23"/>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1298">
    <w:name w:val="font16"/>
    <w:basedOn w:val="1"/>
    <w:qFormat/>
    <w:uiPriority w:val="0"/>
    <w:pPr>
      <w:widowControl/>
      <w:spacing w:before="100" w:beforeAutospacing="1" w:after="100" w:afterAutospacing="1"/>
      <w:jc w:val="left"/>
    </w:pPr>
    <w:rPr>
      <w:rFonts w:ascii="Tahoma" w:hAnsi="Tahoma" w:cs="Tahoma"/>
      <w:color w:val="000000"/>
      <w:kern w:val="0"/>
      <w:sz w:val="16"/>
      <w:szCs w:val="16"/>
    </w:rPr>
  </w:style>
  <w:style w:type="paragraph" w:customStyle="1" w:styleId="1299">
    <w:name w:val="xl198"/>
    <w:basedOn w:val="1"/>
    <w:qFormat/>
    <w:uiPriority w:val="0"/>
    <w:pPr>
      <w:widowControl/>
      <w:pBdr>
        <w:bottom w:val="single" w:color="auto" w:sz="8" w:space="0"/>
      </w:pBdr>
      <w:spacing w:before="100" w:beforeAutospacing="1" w:after="100" w:afterAutospacing="1"/>
      <w:jc w:val="center"/>
    </w:pPr>
    <w:rPr>
      <w:rFonts w:ascii="Arial Unicode MS" w:hAnsi="Arial Unicode MS"/>
      <w:kern w:val="0"/>
      <w:sz w:val="16"/>
      <w:szCs w:val="16"/>
    </w:rPr>
  </w:style>
  <w:style w:type="paragraph" w:customStyle="1" w:styleId="1300">
    <w:name w:val="xl124"/>
    <w:basedOn w:val="1"/>
    <w:qFormat/>
    <w:uiPriority w:val="0"/>
    <w:pPr>
      <w:widowControl/>
      <w:pBdr>
        <w:left w:val="single" w:color="auto" w:sz="4" w:space="0"/>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301">
    <w:name w:val="标准公文"/>
    <w:qFormat/>
    <w:uiPriority w:val="0"/>
    <w:pPr>
      <w:widowControl w:val="0"/>
      <w:spacing w:line="520" w:lineRule="exact"/>
      <w:ind w:firstLine="560" w:firstLineChars="200"/>
      <w:jc w:val="both"/>
    </w:pPr>
    <w:rPr>
      <w:rFonts w:ascii="宋体" w:hAnsi="宋体" w:eastAsia="宋体" w:cs="Times New Roman"/>
      <w:sz w:val="28"/>
      <w:szCs w:val="34"/>
      <w:lang w:val="en-US" w:eastAsia="zh-CN" w:bidi="ar-SA"/>
    </w:rPr>
  </w:style>
  <w:style w:type="paragraph" w:customStyle="1" w:styleId="1302">
    <w:name w:val="xl77"/>
    <w:basedOn w:val="1"/>
    <w:qFormat/>
    <w:uiPriority w:val="0"/>
    <w:pPr>
      <w:widowControl/>
      <w:spacing w:before="100" w:beforeAutospacing="1" w:after="100" w:afterAutospacing="1"/>
      <w:jc w:val="left"/>
    </w:pPr>
    <w:rPr>
      <w:rFonts w:ascii="Arial Unicode MS" w:hAnsi="Arial Unicode MS"/>
      <w:kern w:val="0"/>
      <w:sz w:val="12"/>
      <w:szCs w:val="12"/>
    </w:rPr>
  </w:style>
  <w:style w:type="paragraph" w:customStyle="1" w:styleId="1303">
    <w:name w:val="样式 标题 3 + 宋体 四号"/>
    <w:basedOn w:val="9"/>
    <w:qFormat/>
    <w:uiPriority w:val="0"/>
    <w:pPr>
      <w:tabs>
        <w:tab w:val="left" w:pos="1260"/>
      </w:tabs>
      <w:spacing w:line="360" w:lineRule="auto"/>
      <w:ind w:left="1260" w:hanging="420"/>
    </w:pPr>
    <w:rPr>
      <w:rFonts w:ascii="宋体" w:hAnsi="宋体" w:eastAsia="黑体" w:cs="宋体"/>
      <w:kern w:val="0"/>
      <w:sz w:val="28"/>
      <w:szCs w:val="20"/>
    </w:rPr>
  </w:style>
  <w:style w:type="paragraph" w:customStyle="1" w:styleId="1304">
    <w:name w:val="Body Text 21"/>
    <w:basedOn w:val="1"/>
    <w:qFormat/>
    <w:uiPriority w:val="0"/>
    <w:pPr>
      <w:adjustRightInd w:val="0"/>
      <w:textAlignment w:val="baseline"/>
    </w:pPr>
    <w:rPr>
      <w:color w:val="000000"/>
      <w:sz w:val="24"/>
      <w:szCs w:val="20"/>
    </w:rPr>
  </w:style>
  <w:style w:type="paragraph" w:customStyle="1" w:styleId="1305">
    <w:name w:val="CM74"/>
    <w:basedOn w:val="1"/>
    <w:next w:val="1"/>
    <w:qFormat/>
    <w:uiPriority w:val="0"/>
    <w:pPr>
      <w:autoSpaceDE w:val="0"/>
      <w:autoSpaceDN w:val="0"/>
      <w:adjustRightInd w:val="0"/>
      <w:spacing w:after="180"/>
      <w:jc w:val="left"/>
    </w:pPr>
    <w:rPr>
      <w:rFonts w:ascii="Sim Sun+ 2" w:eastAsia="Sim Sun+ 2" w:cs="Sim Sun+ 2"/>
      <w:kern w:val="0"/>
      <w:sz w:val="24"/>
    </w:rPr>
  </w:style>
  <w:style w:type="paragraph" w:customStyle="1" w:styleId="1306">
    <w:name w:val="前言"/>
    <w:basedOn w:val="1"/>
    <w:qFormat/>
    <w:uiPriority w:val="0"/>
    <w:pPr>
      <w:spacing w:line="560" w:lineRule="exact"/>
      <w:jc w:val="center"/>
    </w:pPr>
    <w:rPr>
      <w:rFonts w:cs="宋体"/>
      <w:b/>
      <w:sz w:val="30"/>
      <w:szCs w:val="20"/>
    </w:rPr>
  </w:style>
  <w:style w:type="paragraph" w:customStyle="1" w:styleId="1307">
    <w:name w:val="CM4"/>
    <w:basedOn w:val="1"/>
    <w:next w:val="1"/>
    <w:qFormat/>
    <w:uiPriority w:val="0"/>
    <w:pPr>
      <w:autoSpaceDE w:val="0"/>
      <w:autoSpaceDN w:val="0"/>
      <w:adjustRightInd w:val="0"/>
      <w:spacing w:line="520" w:lineRule="atLeast"/>
      <w:jc w:val="left"/>
    </w:pPr>
    <w:rPr>
      <w:rFonts w:ascii="宋体"/>
      <w:kern w:val="0"/>
      <w:sz w:val="24"/>
    </w:rPr>
  </w:style>
  <w:style w:type="paragraph" w:customStyle="1" w:styleId="1308">
    <w:name w:val="xl143"/>
    <w:basedOn w:val="1"/>
    <w:qFormat/>
    <w:uiPriority w:val="0"/>
    <w:pPr>
      <w:widowControl/>
      <w:pBdr>
        <w:top w:val="single" w:color="auto" w:sz="8" w:space="0"/>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309">
    <w:name w:val="Char Char Char Char Char Char Char Char Char Char Char Char Char Char Char Char2"/>
    <w:basedOn w:val="1"/>
    <w:qFormat/>
    <w:uiPriority w:val="0"/>
    <w:pPr>
      <w:widowControl/>
      <w:contextualSpacing/>
      <w:jc w:val="left"/>
    </w:pPr>
    <w:rPr>
      <w:rFonts w:cs="宋体"/>
      <w:kern w:val="0"/>
    </w:rPr>
  </w:style>
  <w:style w:type="paragraph" w:customStyle="1" w:styleId="1310">
    <w:name w:val="msoplaintextcxspmiddle"/>
    <w:basedOn w:val="1"/>
    <w:qFormat/>
    <w:uiPriority w:val="0"/>
    <w:pPr>
      <w:widowControl/>
      <w:spacing w:before="100" w:beforeAutospacing="1" w:after="100" w:afterAutospacing="1"/>
      <w:contextualSpacing/>
      <w:jc w:val="left"/>
    </w:pPr>
    <w:rPr>
      <w:rFonts w:cs="宋体"/>
      <w:kern w:val="0"/>
    </w:rPr>
  </w:style>
  <w:style w:type="paragraph" w:customStyle="1" w:styleId="1311">
    <w:name w:val="聪表标题"/>
    <w:basedOn w:val="1"/>
    <w:qFormat/>
    <w:uiPriority w:val="0"/>
    <w:pPr>
      <w:spacing w:line="360" w:lineRule="auto"/>
      <w:jc w:val="center"/>
    </w:pPr>
    <w:rPr>
      <w:rFonts w:ascii="黑体" w:hAnsi="黑体" w:eastAsia="黑体"/>
      <w:sz w:val="24"/>
    </w:rPr>
  </w:style>
  <w:style w:type="paragraph" w:customStyle="1" w:styleId="1312">
    <w:name w:val="Style"/>
    <w:qFormat/>
    <w:uiPriority w:val="99"/>
    <w:pPr>
      <w:widowControl w:val="0"/>
      <w:autoSpaceDE w:val="0"/>
      <w:autoSpaceDN w:val="0"/>
      <w:adjustRightInd w:val="0"/>
    </w:pPr>
    <w:rPr>
      <w:rFonts w:ascii="TimesNewRomanPSMT" w:hAnsi="TimesNewRomanPSMT" w:eastAsia="宋体" w:cs="TimesNewRomanPSMT"/>
      <w:sz w:val="24"/>
      <w:szCs w:val="24"/>
      <w:lang w:val="zh" w:eastAsia="zh-CN" w:bidi="ar-SA"/>
    </w:rPr>
  </w:style>
  <w:style w:type="table" w:customStyle="1" w:styleId="1313">
    <w:name w:val="表格aaa1"/>
    <w:basedOn w:val="85"/>
    <w:qFormat/>
    <w:uiPriority w:val="0"/>
    <w:pPr>
      <w:jc w:val="both"/>
    </w:pPr>
    <w:tblPr>
      <w:tblBorders>
        <w:top w:val="single" w:color="auto" w:sz="12" w:space="0"/>
        <w:bottom w:val="single" w:color="auto" w:sz="12" w:space="0"/>
        <w:insideH w:val="single" w:color="auto" w:sz="8" w:space="0"/>
        <w:insideV w:val="single" w:color="auto" w:sz="8" w:space="0"/>
      </w:tblBorders>
    </w:tblPr>
    <w:tcPr>
      <w:shd w:val="clear" w:color="auto" w:fill="auto"/>
    </w:tcPr>
  </w:style>
  <w:style w:type="table" w:customStyle="1" w:styleId="1314">
    <w:name w:val="环评用表4"/>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15">
    <w:name w:val="环评用表6"/>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16">
    <w:name w:val="网格型12"/>
    <w:basedOn w:val="85"/>
    <w:qFormat/>
    <w:uiPriority w:val="0"/>
    <w:pPr>
      <w:widowControl w:val="0"/>
      <w:spacing w:line="440" w:lineRule="exact"/>
      <w:ind w:firstLine="504" w:firstLineChars="20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网格型11"/>
    <w:basedOn w:val="85"/>
    <w:qFormat/>
    <w:uiPriority w:val="0"/>
    <w:pPr>
      <w:widowControl w:val="0"/>
      <w:spacing w:line="440" w:lineRule="exact"/>
      <w:ind w:firstLine="504" w:firstLineChars="20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表格样式pp1"/>
    <w:basedOn w:val="85"/>
    <w:qFormat/>
    <w:uiPriority w:val="0"/>
    <w:tblPr>
      <w:tblBorders>
        <w:top w:val="single" w:color="auto" w:sz="12" w:space="0"/>
        <w:bottom w:val="single" w:color="auto" w:sz="12" w:space="0"/>
        <w:insideH w:val="single" w:color="auto" w:sz="2" w:space="0"/>
        <w:insideV w:val="single" w:color="auto" w:sz="2" w:space="0"/>
      </w:tblBorders>
    </w:tblPr>
  </w:style>
  <w:style w:type="table" w:customStyle="1" w:styleId="1319">
    <w:name w:val="网格型8"/>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网格型 52"/>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21">
    <w:name w:val="网格型4"/>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无格式表格 41"/>
    <w:basedOn w:val="85"/>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1323">
    <w:name w:val="网格型 51"/>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24">
    <w:name w:val="网格型浅色1"/>
    <w:basedOn w:val="85"/>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1325">
    <w:name w:val="无格式表格 31"/>
    <w:basedOn w:val="85"/>
    <w:qFormat/>
    <w:uiPriority w:val="43"/>
    <w:tblStylePr w:type="firstRow">
      <w:rPr>
        <w:b/>
        <w:bCs/>
        <w:caps/>
      </w:rPr>
      <w:tcPr>
        <w:tcBorders>
          <w:top w:val="nil"/>
          <w:left w:val="single" w:color="7F7F7F" w:sz="4" w:space="0"/>
          <w:bottom w:val="nil"/>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table" w:customStyle="1" w:styleId="1326">
    <w:name w:val="网格型14"/>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环评用表10"/>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28">
    <w:name w:val="网格型6"/>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无格式表格 21"/>
    <w:basedOn w:val="85"/>
    <w:qFormat/>
    <w:uiPriority w:val="42"/>
    <w:tblPr>
      <w:tblBorders>
        <w:top w:val="single" w:color="7F7F7F" w:sz="4" w:space="0"/>
        <w:bottom w:val="single" w:color="7F7F7F" w:sz="4" w:space="0"/>
      </w:tblBorders>
    </w:tblPr>
    <w:tblStylePr w:type="firstRow">
      <w:rPr>
        <w:b/>
        <w:bCs/>
      </w:rPr>
      <w:tcPr>
        <w:tcBorders>
          <w:top w:val="nil"/>
          <w:left w:val="single" w:color="7F7F7F" w:sz="4" w:space="0"/>
          <w:bottom w:val="nil"/>
          <w:right w:val="nil"/>
          <w:insideH w:val="nil"/>
          <w:insideV w:val="nil"/>
          <w:tl2br w:val="nil"/>
          <w:tr2bl w:val="nil"/>
        </w:tcBorders>
      </w:tcPr>
    </w:tblStylePr>
    <w:tblStylePr w:type="lastRow">
      <w:rPr>
        <w:b/>
        <w:bCs/>
      </w:rPr>
      <w:tcPr>
        <w:tcBorders>
          <w:top w:val="single" w:color="7F7F7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single" w:color="7F7F7F" w:sz="4" w:space="0"/>
          <w:right w:val="single" w:color="7F7F7F" w:sz="4" w:space="0"/>
          <w:insideH w:val="nil"/>
          <w:insideV w:val="nil"/>
          <w:tl2br w:val="nil"/>
          <w:tr2bl w:val="nil"/>
        </w:tcBorders>
      </w:tcPr>
    </w:tblStylePr>
    <w:tblStylePr w:type="band2Vert">
      <w:tcPr>
        <w:tcBorders>
          <w:top w:val="nil"/>
          <w:left w:val="nil"/>
          <w:bottom w:val="single" w:color="7F7F7F" w:sz="4" w:space="0"/>
          <w:right w:val="single" w:color="7F7F7F" w:sz="4" w:space="0"/>
          <w:insideH w:val="nil"/>
          <w:insideV w:val="nil"/>
          <w:tl2br w:val="nil"/>
          <w:tr2bl w:val="nil"/>
        </w:tcBorders>
      </w:tcPr>
    </w:tblStylePr>
    <w:tblStylePr w:type="band1Horz">
      <w:tcPr>
        <w:tcBorders>
          <w:top w:val="single" w:color="7F7F7F" w:sz="4" w:space="0"/>
          <w:left w:val="single" w:color="7F7F7F" w:sz="4" w:space="0"/>
          <w:bottom w:val="nil"/>
          <w:right w:val="nil"/>
          <w:insideH w:val="nil"/>
          <w:insideV w:val="nil"/>
          <w:tl2br w:val="nil"/>
          <w:tr2bl w:val="nil"/>
        </w:tcBorders>
      </w:tcPr>
    </w:tblStylePr>
  </w:style>
  <w:style w:type="table" w:customStyle="1" w:styleId="1330">
    <w:name w:val="环评用表41"/>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31">
    <w:name w:val="正文+宋体13"/>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环评用表42"/>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33">
    <w:name w:val="环评用表8"/>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34">
    <w:name w:val="表格主题（安）1"/>
    <w:basedOn w:val="85"/>
    <w:semiHidden/>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网格型 1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36">
    <w:name w:val="网格型2"/>
    <w:basedOn w:val="8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网格型 13"/>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38">
    <w:name w:val="环评用表5"/>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39">
    <w:name w:val="表格样式12"/>
    <w:basedOn w:val="85"/>
    <w:semiHidden/>
    <w:qFormat/>
    <w:uiPriority w:val="0"/>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340">
    <w:name w:val="环评用表1"/>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41">
    <w:name w:val="网格型（pxg）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专业型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43">
    <w:name w:val="环评用表3"/>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44">
    <w:name w:val="网格型 1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45">
    <w:name w:val="网格型1"/>
    <w:basedOn w:val="85"/>
    <w:qFormat/>
    <w:uiPriority w:val="0"/>
    <w:pPr>
      <w:widowControl w:val="0"/>
      <w:spacing w:line="440" w:lineRule="exact"/>
      <w:ind w:firstLine="504" w:firstLineChars="20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正文+宋体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表格样式-tjgsqiu"/>
    <w:basedOn w:val="87"/>
    <w:qFormat/>
    <w:uiPriority w:val="0"/>
    <w:pPr>
      <w:snapToGrid w:val="0"/>
      <w:spacing w:line="240" w:lineRule="auto"/>
      <w:ind w:firstLine="0" w:firstLineChars="0"/>
      <w:jc w:val="center"/>
    </w:pPr>
    <w:rPr>
      <w:sz w:val="21"/>
    </w:rPr>
    <w:tblPr>
      <w:tblCellMar>
        <w:left w:w="0" w:type="dxa"/>
        <w:right w:w="0" w:type="dxa"/>
      </w:tblCellMar>
    </w:tblPr>
    <w:tcPr>
      <w:shd w:val="clear" w:color="auto" w:fill="auto"/>
      <w:vAlign w:val="center"/>
    </w:tcPr>
  </w:style>
  <w:style w:type="table" w:customStyle="1" w:styleId="1348">
    <w:name w:val="网格型 11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49">
    <w:name w:val="表格样式-tjgsqiu2"/>
    <w:basedOn w:val="87"/>
    <w:qFormat/>
    <w:uiPriority w:val="0"/>
    <w:pPr>
      <w:snapToGrid w:val="0"/>
      <w:spacing w:line="240" w:lineRule="auto"/>
      <w:ind w:firstLine="0" w:firstLineChars="0"/>
      <w:jc w:val="center"/>
    </w:pPr>
    <w:rPr>
      <w:sz w:val="21"/>
    </w:rPr>
    <w:tblPr>
      <w:tblCellMar>
        <w:left w:w="0" w:type="dxa"/>
        <w:right w:w="0" w:type="dxa"/>
      </w:tblCellMar>
    </w:tblPr>
    <w:tcPr>
      <w:shd w:val="clear" w:color="auto" w:fill="auto"/>
      <w:vAlign w:val="center"/>
    </w:tcPr>
  </w:style>
  <w:style w:type="table" w:customStyle="1" w:styleId="1350">
    <w:name w:val="表格样式-tjgsqiu1"/>
    <w:basedOn w:val="87"/>
    <w:qFormat/>
    <w:uiPriority w:val="0"/>
    <w:pPr>
      <w:snapToGrid w:val="0"/>
      <w:spacing w:line="240" w:lineRule="auto"/>
      <w:ind w:firstLine="0" w:firstLineChars="0"/>
      <w:jc w:val="center"/>
    </w:pPr>
    <w:rPr>
      <w:sz w:val="21"/>
    </w:rPr>
    <w:tblPr>
      <w:tblCellMar>
        <w:left w:w="0" w:type="dxa"/>
        <w:right w:w="0" w:type="dxa"/>
      </w:tblCellMar>
    </w:tblPr>
    <w:tcPr>
      <w:shd w:val="clear" w:color="auto" w:fill="auto"/>
      <w:vAlign w:val="center"/>
    </w:tcPr>
  </w:style>
  <w:style w:type="table" w:customStyle="1" w:styleId="1351">
    <w:name w:val="环评用表7"/>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52">
    <w:name w:val="正文+宋体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表格aaa"/>
    <w:basedOn w:val="85"/>
    <w:qFormat/>
    <w:uiPriority w:val="0"/>
    <w:pPr>
      <w:jc w:val="both"/>
    </w:pPr>
    <w:tblPr>
      <w:tblBorders>
        <w:top w:val="single" w:color="auto" w:sz="12" w:space="0"/>
        <w:bottom w:val="single" w:color="auto" w:sz="12" w:space="0"/>
        <w:insideH w:val="single" w:color="auto" w:sz="8" w:space="0"/>
        <w:insideV w:val="single" w:color="auto" w:sz="8" w:space="0"/>
      </w:tblBorders>
    </w:tblPr>
    <w:tcPr>
      <w:shd w:val="clear" w:color="auto" w:fill="auto"/>
    </w:tcPr>
  </w:style>
  <w:style w:type="table" w:customStyle="1" w:styleId="1354">
    <w:name w:val="网格型（pxg）2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网格型5"/>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网格型（pxg）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表格样式pp"/>
    <w:basedOn w:val="85"/>
    <w:qFormat/>
    <w:uiPriority w:val="0"/>
    <w:tblPr>
      <w:tblBorders>
        <w:top w:val="single" w:color="auto" w:sz="12" w:space="0"/>
        <w:bottom w:val="single" w:color="auto" w:sz="12" w:space="0"/>
        <w:insideH w:val="single" w:color="auto" w:sz="2" w:space="0"/>
        <w:insideV w:val="single" w:color="auto" w:sz="2" w:space="0"/>
      </w:tblBorders>
    </w:tblPr>
  </w:style>
  <w:style w:type="table" w:customStyle="1" w:styleId="1358">
    <w:name w:val="环评用表9"/>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59">
    <w:name w:val="环评用表2"/>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60">
    <w:name w:val="表格样式11"/>
    <w:basedOn w:val="85"/>
    <w:semiHidden/>
    <w:qFormat/>
    <w:uiPriority w:val="0"/>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361">
    <w:name w:val="网格型7"/>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 14"/>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63">
    <w:name w:val="环评用表11"/>
    <w:basedOn w:val="85"/>
    <w:qFormat/>
    <w:uiPriority w:val="0"/>
    <w:pPr>
      <w:widowControl w:val="0"/>
      <w:jc w:val="both"/>
    </w:pPr>
    <w:tblPr>
      <w:tblBorders>
        <w:top w:val="single" w:color="auto" w:sz="12" w:space="0"/>
        <w:bottom w:val="single" w:color="auto" w:sz="12" w:space="0"/>
        <w:insideH w:val="single" w:color="auto" w:sz="4" w:space="0"/>
        <w:insideV w:val="single" w:color="auto" w:sz="4" w:space="0"/>
      </w:tblBorders>
    </w:tblPr>
    <w:tcPr>
      <w:vAlign w:val="center"/>
    </w:tcPr>
  </w:style>
  <w:style w:type="table" w:customStyle="1" w:styleId="1364">
    <w:name w:val="网格型13"/>
    <w:basedOn w:val="85"/>
    <w:qFormat/>
    <w:uiPriority w:val="0"/>
    <w:pPr>
      <w:widowControl w:val="0"/>
      <w:spacing w:line="440" w:lineRule="exact"/>
      <w:ind w:firstLine="504" w:firstLineChars="20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网格型 113"/>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66">
    <w:name w:val="专业型3"/>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67">
    <w:name w:val="表格aaa2"/>
    <w:basedOn w:val="85"/>
    <w:qFormat/>
    <w:uiPriority w:val="0"/>
    <w:pPr>
      <w:jc w:val="both"/>
    </w:pPr>
    <w:tblPr>
      <w:tblBorders>
        <w:top w:val="single" w:color="auto" w:sz="12" w:space="0"/>
        <w:bottom w:val="single" w:color="auto" w:sz="12" w:space="0"/>
        <w:insideH w:val="single" w:color="auto" w:sz="8" w:space="0"/>
        <w:insideV w:val="single" w:color="auto" w:sz="8" w:space="0"/>
      </w:tblBorders>
    </w:tblPr>
    <w:tcPr>
      <w:shd w:val="clear" w:color="auto" w:fill="auto"/>
    </w:tcPr>
  </w:style>
  <w:style w:type="table" w:customStyle="1" w:styleId="1368">
    <w:name w:val="网格型 11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69">
    <w:name w:val="正文+宋体1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表格主题（安）2"/>
    <w:basedOn w:val="85"/>
    <w:semiHidden/>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表格样式13"/>
    <w:basedOn w:val="85"/>
    <w:semiHidden/>
    <w:qFormat/>
    <w:uiPriority w:val="0"/>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372">
    <w:name w:val="网格型（pxg）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网格型（pxg）2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专业型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75">
    <w:name w:val="表格样式1"/>
    <w:basedOn w:val="85"/>
    <w:semiHidden/>
    <w:qFormat/>
    <w:uiPriority w:val="0"/>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376">
    <w:name w:val="表格样式pp3"/>
    <w:basedOn w:val="85"/>
    <w:qFormat/>
    <w:uiPriority w:val="0"/>
    <w:tblPr>
      <w:tblBorders>
        <w:top w:val="single" w:color="auto" w:sz="12" w:space="0"/>
        <w:bottom w:val="single" w:color="auto" w:sz="12" w:space="0"/>
        <w:insideH w:val="single" w:color="auto" w:sz="2" w:space="0"/>
        <w:insideV w:val="single" w:color="auto" w:sz="2" w:space="0"/>
      </w:tblBorders>
    </w:tblPr>
  </w:style>
  <w:style w:type="table" w:customStyle="1" w:styleId="1377">
    <w:name w:val="无格式表格 51"/>
    <w:basedOn w:val="85"/>
    <w:qFormat/>
    <w:uiPriority w:val="45"/>
    <w:tblStylePr w:type="firstRow">
      <w:rPr>
        <w:rFonts w:ascii="MS Mincho" w:hAnsi="MS Mincho" w:eastAsia="Verdana"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lastRow">
      <w:rPr>
        <w:rFonts w:ascii="MS Mincho" w:hAnsi="MS Mincho" w:eastAsia="Verdana"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ascii="MS Mincho" w:hAnsi="MS Mincho" w:eastAsia="Verdana"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ascii="MS Mincho" w:hAnsi="MS Mincho" w:eastAsia="Verdana"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1378">
    <w:name w:val="表格样式pp2"/>
    <w:basedOn w:val="85"/>
    <w:qFormat/>
    <w:uiPriority w:val="0"/>
    <w:tblPr>
      <w:tblBorders>
        <w:top w:val="single" w:color="auto" w:sz="12" w:space="0"/>
        <w:bottom w:val="single" w:color="auto" w:sz="12" w:space="0"/>
        <w:insideH w:val="single" w:color="auto" w:sz="2" w:space="0"/>
        <w:insideV w:val="single" w:color="auto" w:sz="2" w:space="0"/>
      </w:tblBorders>
    </w:tblPr>
  </w:style>
  <w:style w:type="table" w:customStyle="1" w:styleId="1379">
    <w:name w:val="网格型（pxg）1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3"/>
    <w:basedOn w:val="8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表格主题（安）3"/>
    <w:basedOn w:val="85"/>
    <w:semiHidden/>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网格型（pxg）23"/>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表格aaa3"/>
    <w:basedOn w:val="85"/>
    <w:qFormat/>
    <w:uiPriority w:val="0"/>
    <w:pPr>
      <w:jc w:val="both"/>
    </w:pPr>
    <w:tblPr>
      <w:tblBorders>
        <w:top w:val="single" w:color="auto" w:sz="12" w:space="0"/>
        <w:bottom w:val="single" w:color="auto" w:sz="12" w:space="0"/>
        <w:insideH w:val="single" w:color="auto" w:sz="8" w:space="0"/>
        <w:insideV w:val="single" w:color="auto" w:sz="8" w:space="0"/>
      </w:tblBorders>
    </w:tblPr>
    <w:tcPr>
      <w:shd w:val="clear" w:color="auto" w:fill="auto"/>
    </w:tcPr>
  </w:style>
  <w:style w:type="table" w:customStyle="1" w:styleId="1384">
    <w:name w:val="表格样式-tjgsqiu3"/>
    <w:basedOn w:val="87"/>
    <w:qFormat/>
    <w:uiPriority w:val="0"/>
    <w:pPr>
      <w:snapToGrid w:val="0"/>
      <w:spacing w:line="240" w:lineRule="auto"/>
      <w:ind w:firstLine="0" w:firstLineChars="0"/>
      <w:jc w:val="center"/>
    </w:pPr>
    <w:rPr>
      <w:sz w:val="21"/>
    </w:rPr>
    <w:tblPr>
      <w:tblCellMar>
        <w:left w:w="0" w:type="dxa"/>
        <w:right w:w="0" w:type="dxa"/>
      </w:tblCellMar>
    </w:tblPr>
    <w:tcPr>
      <w:shd w:val="clear" w:color="auto" w:fill="auto"/>
      <w:vAlign w:val="center"/>
    </w:tcPr>
  </w:style>
  <w:style w:type="table" w:customStyle="1" w:styleId="1385">
    <w:name w:val="网格型 5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386">
    <w:name w:val="网格型（pxg）13"/>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7">
    <w:name w:val="环保表内字（五号）"/>
    <w:basedOn w:val="1"/>
    <w:qFormat/>
    <w:uiPriority w:val="0"/>
    <w:pPr>
      <w:adjustRightInd w:val="0"/>
      <w:snapToGrid w:val="0"/>
      <w:spacing w:line="360" w:lineRule="auto"/>
      <w:ind w:firstLine="720" w:firstLineChars="200"/>
    </w:pPr>
    <w:rPr>
      <w:snapToGrid w:val="0"/>
      <w:kern w:val="0"/>
    </w:rPr>
  </w:style>
  <w:style w:type="table" w:customStyle="1" w:styleId="1388">
    <w:name w:val="Table Normal"/>
    <w:semiHidden/>
    <w:unhideWhenUsed/>
    <w:qFormat/>
    <w:uiPriority w:val="0"/>
    <w:tblPr>
      <w:tblCellMar>
        <w:top w:w="0" w:type="dxa"/>
        <w:left w:w="0" w:type="dxa"/>
        <w:bottom w:w="0" w:type="dxa"/>
        <w:right w:w="0" w:type="dxa"/>
      </w:tblCellMar>
    </w:tblPr>
  </w:style>
  <w:style w:type="paragraph" w:customStyle="1" w:styleId="1389">
    <w:name w:val="Body Text Indent"/>
    <w:basedOn w:val="1"/>
    <w:next w:val="4"/>
    <w:qFormat/>
    <w:uiPriority w:val="0"/>
    <w:pPr>
      <w:spacing w:after="120" w:afterLines="0"/>
      <w:ind w:left="420" w:leftChars="200"/>
    </w:pPr>
    <w:rPr>
      <w:rFonts w:ascii="Times New Roman" w:hAnsi="Times New Roman" w:eastAsia="宋体"/>
      <w:sz w:val="24"/>
    </w:rPr>
  </w:style>
  <w:style w:type="paragraph" w:customStyle="1" w:styleId="1390">
    <w:name w:val="Body text|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1391">
    <w:name w:val="Other|1"/>
    <w:basedOn w:val="1"/>
    <w:qFormat/>
    <w:uiPriority w:val="0"/>
    <w:pPr>
      <w:widowControl w:val="0"/>
      <w:shd w:val="clear" w:color="auto" w:fill="auto"/>
      <w:spacing w:line="315" w:lineRule="exact"/>
      <w:jc w:val="center"/>
    </w:pPr>
    <w:rPr>
      <w:rFonts w:ascii="宋体" w:hAnsi="宋体" w:eastAsia="宋体" w:cs="宋体"/>
      <w:sz w:val="19"/>
      <w:szCs w:val="19"/>
      <w:u w:val="none"/>
      <w:shd w:val="clear" w:color="auto" w:fill="auto"/>
      <w:lang w:val="zh-TW" w:eastAsia="zh-TW" w:bidi="zh-TW"/>
    </w:rPr>
  </w:style>
  <w:style w:type="paragraph" w:customStyle="1" w:styleId="1392">
    <w:name w:val="Heading #3|1"/>
    <w:basedOn w:val="1"/>
    <w:qFormat/>
    <w:uiPriority w:val="0"/>
    <w:pPr>
      <w:widowControl w:val="0"/>
      <w:shd w:val="clear" w:color="auto" w:fill="auto"/>
      <w:spacing w:after="620" w:line="645" w:lineRule="exact"/>
      <w:ind w:firstLine="70"/>
      <w:jc w:val="center"/>
      <w:outlineLvl w:val="2"/>
    </w:pPr>
    <w:rPr>
      <w:rFonts w:ascii="宋体" w:hAnsi="宋体" w:eastAsia="宋体" w:cs="宋体"/>
      <w:sz w:val="36"/>
      <w:szCs w:val="3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image" Target="media/image5.png"/><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041C3-323D-48F2-8920-85CD077E5D6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50</Pages>
  <Words>38522</Words>
  <Characters>43877</Characters>
  <Lines>432</Lines>
  <Paragraphs>121</Paragraphs>
  <TotalTime>1</TotalTime>
  <ScaleCrop>false</ScaleCrop>
  <LinksUpToDate>false</LinksUpToDate>
  <CharactersWithSpaces>44176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2021-03-28T06:51:00Z</dcterms:created>
  <dc:creator>lhj</dc:creator>
  <cp:lastModifiedBy>yl驭风</cp:lastModifiedBy>
  <cp:lastPrinted>2022-07-12T08:17:00Z</cp:lastPrinted>
  <dcterms:modified xsi:type="dcterms:W3CDTF">2023-07-25T06:59:19Z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764B7A9CE8A040358B48D96AF526287E</vt:lpwstr>
  </property>
</Properties>
</file>