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E0AA1">
      <w:pPr>
        <w:pStyle w:val="80"/>
        <w:spacing w:before="0" w:beforeAutospacing="0" w:after="0" w:afterAutospacing="0" w:line="360" w:lineRule="auto"/>
        <w:jc w:val="center"/>
        <w:outlineLvl w:val="0"/>
        <w:rPr>
          <w:rFonts w:hint="default" w:ascii="Times New Roman" w:hAnsi="Times New Roman" w:cs="Times New Roman"/>
          <w:snapToGrid w:val="0"/>
          <w:color w:val="auto"/>
          <w:sz w:val="30"/>
          <w:szCs w:val="30"/>
        </w:rPr>
      </w:pPr>
      <w:bookmarkStart w:id="0" w:name="_Toc154582833"/>
      <w:bookmarkStart w:id="1" w:name="_Toc148608285"/>
      <w:bookmarkStart w:id="2" w:name="_Hlk106789605"/>
      <w:r>
        <w:rPr>
          <w:rFonts w:hint="default" w:ascii="Times New Roman" w:hAnsi="Times New Roman" w:cs="Times New Roman"/>
          <w:snapToGrid w:val="0"/>
          <w:color w:val="auto"/>
          <w:sz w:val="30"/>
          <w:szCs w:val="30"/>
        </w:rPr>
        <w:t>一、建设项目基本情况</w:t>
      </w:r>
      <w:bookmarkEnd w:id="0"/>
      <w:bookmarkEnd w:id="1"/>
    </w:p>
    <w:tbl>
      <w:tblPr>
        <w:tblStyle w:val="8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15"/>
        <w:gridCol w:w="3199"/>
        <w:gridCol w:w="2213"/>
        <w:gridCol w:w="2837"/>
      </w:tblGrid>
      <w:tr w14:paraId="0AE933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08" w:type="dxa"/>
            <w:tcBorders>
              <w:top w:val="single" w:color="auto" w:sz="8" w:space="0"/>
            </w:tcBorders>
            <w:tcMar>
              <w:top w:w="16" w:type="dxa"/>
              <w:left w:w="16" w:type="dxa"/>
              <w:right w:w="16" w:type="dxa"/>
            </w:tcMar>
            <w:vAlign w:val="center"/>
          </w:tcPr>
          <w:p w14:paraId="5299D5FD">
            <w:pPr>
              <w:adjustRightInd w:val="0"/>
              <w:snapToGrid w:val="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建设项目名称</w:t>
            </w:r>
          </w:p>
        </w:tc>
        <w:tc>
          <w:tcPr>
            <w:tcW w:w="8210" w:type="dxa"/>
            <w:gridSpan w:val="3"/>
            <w:tcBorders>
              <w:top w:val="single" w:color="auto" w:sz="8" w:space="0"/>
            </w:tcBorders>
            <w:vAlign w:val="center"/>
          </w:tcPr>
          <w:p w14:paraId="1246D864">
            <w:pPr>
              <w:adjustRightInd w:val="0"/>
              <w:snapToGrid w:val="0"/>
              <w:jc w:val="center"/>
              <w:rPr>
                <w:rFonts w:hint="default" w:ascii="Times New Roman" w:hAnsi="Times New Roman" w:cs="Times New Roman" w:eastAsiaTheme="minorEastAsia"/>
                <w:color w:val="auto"/>
                <w:szCs w:val="21"/>
                <w:lang w:eastAsia="zh-CN"/>
              </w:rPr>
            </w:pPr>
            <w:r>
              <w:rPr>
                <w:rFonts w:hint="eastAsia" w:cs="Times New Roman" w:eastAsiaTheme="minorEastAsia"/>
                <w:color w:val="auto"/>
                <w:szCs w:val="21"/>
                <w:lang w:eastAsia="zh-CN"/>
              </w:rPr>
              <w:t>陶瓷纤维制品技改项目</w:t>
            </w:r>
          </w:p>
        </w:tc>
      </w:tr>
      <w:tr w14:paraId="0991A1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408" w:type="dxa"/>
            <w:tcMar>
              <w:top w:w="16" w:type="dxa"/>
              <w:left w:w="16" w:type="dxa"/>
              <w:right w:w="16" w:type="dxa"/>
            </w:tcMar>
            <w:vAlign w:val="center"/>
          </w:tcPr>
          <w:p w14:paraId="11EB1446">
            <w:pPr>
              <w:adjustRightInd w:val="0"/>
              <w:snapToGrid w:val="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项目代码</w:t>
            </w:r>
          </w:p>
        </w:tc>
        <w:tc>
          <w:tcPr>
            <w:tcW w:w="8210" w:type="dxa"/>
            <w:gridSpan w:val="3"/>
            <w:vAlign w:val="center"/>
          </w:tcPr>
          <w:p w14:paraId="73D16E29">
            <w:pPr>
              <w:adjustRightInd w:val="0"/>
              <w:snapToGrid w:val="0"/>
              <w:jc w:val="center"/>
              <w:rPr>
                <w:rFonts w:hint="default" w:ascii="Times New Roman" w:hAnsi="Times New Roman" w:cs="Times New Roman" w:eastAsiaTheme="minorEastAsia"/>
                <w:color w:val="auto"/>
                <w:szCs w:val="21"/>
                <w:highlight w:val="none"/>
                <w:lang w:eastAsia="zh-CN"/>
              </w:rPr>
            </w:pPr>
            <w:r>
              <w:rPr>
                <w:rFonts w:hint="eastAsia" w:cs="Times New Roman" w:eastAsiaTheme="minorEastAsia"/>
                <w:color w:val="auto"/>
                <w:szCs w:val="21"/>
                <w:highlight w:val="none"/>
                <w:lang w:eastAsia="zh-CN"/>
              </w:rPr>
              <w:t>2411-370302-89-02-845900</w:t>
            </w:r>
          </w:p>
        </w:tc>
      </w:tr>
      <w:tr w14:paraId="1965BE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08" w:type="dxa"/>
            <w:tcMar>
              <w:top w:w="16" w:type="dxa"/>
              <w:left w:w="16" w:type="dxa"/>
              <w:right w:w="16" w:type="dxa"/>
            </w:tcMar>
            <w:vAlign w:val="center"/>
          </w:tcPr>
          <w:p w14:paraId="4B7575C3">
            <w:pPr>
              <w:adjustRightInd w:val="0"/>
              <w:snapToGrid w:val="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建设单位联系人</w:t>
            </w:r>
          </w:p>
        </w:tc>
        <w:tc>
          <w:tcPr>
            <w:tcW w:w="3184" w:type="dxa"/>
            <w:shd w:val="clear" w:color="auto" w:fill="auto"/>
            <w:vAlign w:val="center"/>
          </w:tcPr>
          <w:p w14:paraId="52188F2F">
            <w:pPr>
              <w:adjustRightInd w:val="0"/>
              <w:snapToGrid w:val="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lang w:eastAsia="zh-CN"/>
              </w:rPr>
              <w:t>王珍</w:t>
            </w:r>
          </w:p>
        </w:tc>
        <w:tc>
          <w:tcPr>
            <w:tcW w:w="2202" w:type="dxa"/>
            <w:vAlign w:val="center"/>
          </w:tcPr>
          <w:p w14:paraId="4F636FF9">
            <w:pPr>
              <w:adjustRightInd w:val="0"/>
              <w:snapToGrid w:val="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联系方式</w:t>
            </w:r>
          </w:p>
        </w:tc>
        <w:tc>
          <w:tcPr>
            <w:tcW w:w="2824" w:type="dxa"/>
            <w:vAlign w:val="center"/>
          </w:tcPr>
          <w:p w14:paraId="27E48132">
            <w:pPr>
              <w:adjustRightInd w:val="0"/>
              <w:snapToGrid w:val="0"/>
              <w:jc w:val="center"/>
              <w:rPr>
                <w:rFonts w:hint="default" w:ascii="Times New Roman" w:hAnsi="Times New Roman" w:cs="Times New Roman" w:eastAsiaTheme="minorEastAsia"/>
                <w:color w:val="auto"/>
                <w:szCs w:val="21"/>
                <w:lang w:val="en-US" w:eastAsia="zh-CN"/>
              </w:rPr>
            </w:pPr>
            <w:bookmarkStart w:id="29" w:name="_GoBack"/>
            <w:bookmarkEnd w:id="29"/>
          </w:p>
        </w:tc>
      </w:tr>
      <w:tr w14:paraId="7BA459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1408" w:type="dxa"/>
            <w:tcMar>
              <w:top w:w="16" w:type="dxa"/>
              <w:left w:w="16" w:type="dxa"/>
              <w:right w:w="16" w:type="dxa"/>
            </w:tcMar>
            <w:vAlign w:val="center"/>
          </w:tcPr>
          <w:p w14:paraId="233C0A4C">
            <w:pPr>
              <w:adjustRightInd w:val="0"/>
              <w:snapToGrid w:val="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建设地点</w:t>
            </w:r>
          </w:p>
        </w:tc>
        <w:tc>
          <w:tcPr>
            <w:tcW w:w="8210" w:type="dxa"/>
            <w:gridSpan w:val="3"/>
            <w:vAlign w:val="center"/>
          </w:tcPr>
          <w:p w14:paraId="56BBB6CA">
            <w:pPr>
              <w:adjustRightInd w:val="0"/>
              <w:snapToGrid w:val="0"/>
              <w:jc w:val="center"/>
              <w:rPr>
                <w:rFonts w:hint="default" w:ascii="Times New Roman" w:hAnsi="Times New Roman" w:cs="Times New Roman" w:eastAsiaTheme="minorEastAsia"/>
                <w:color w:val="auto"/>
                <w:szCs w:val="21"/>
              </w:rPr>
            </w:pPr>
            <w:r>
              <w:rPr>
                <w:rFonts w:hint="eastAsia" w:cs="Times New Roman" w:eastAsiaTheme="minorEastAsia"/>
                <w:color w:val="auto"/>
                <w:lang w:eastAsia="zh-CN"/>
              </w:rPr>
              <w:t>淄川区昆仑镇兴隆村淄博宝路保温材料有限公司</w:t>
            </w:r>
            <w:r>
              <w:rPr>
                <w:rFonts w:hint="default" w:ascii="Times New Roman" w:hAnsi="Times New Roman" w:cs="Times New Roman" w:eastAsiaTheme="minorEastAsia"/>
                <w:color w:val="auto"/>
              </w:rPr>
              <w:t>现有厂区内</w:t>
            </w:r>
          </w:p>
        </w:tc>
      </w:tr>
      <w:tr w14:paraId="768B61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1408" w:type="dxa"/>
            <w:tcMar>
              <w:top w:w="16" w:type="dxa"/>
              <w:left w:w="16" w:type="dxa"/>
              <w:right w:w="16" w:type="dxa"/>
            </w:tcMar>
            <w:vAlign w:val="center"/>
          </w:tcPr>
          <w:p w14:paraId="389AE3A7">
            <w:pPr>
              <w:adjustRightInd w:val="0"/>
              <w:snapToGrid w:val="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地理坐标</w:t>
            </w:r>
          </w:p>
        </w:tc>
        <w:tc>
          <w:tcPr>
            <w:tcW w:w="8210" w:type="dxa"/>
            <w:gridSpan w:val="3"/>
            <w:vAlign w:val="center"/>
          </w:tcPr>
          <w:p w14:paraId="30767EB5">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bookmarkStart w:id="3" w:name="_Hlk71440774"/>
            <w:r>
              <w:rPr>
                <w:rFonts w:hint="eastAsia" w:cs="Times New Roman" w:eastAsiaTheme="minorEastAsia"/>
                <w:color w:val="auto"/>
                <w:szCs w:val="21"/>
                <w:lang w:val="en-US" w:eastAsia="zh-CN"/>
              </w:rPr>
              <w:t>北纬</w:t>
            </w:r>
            <w:r>
              <w:rPr>
                <w:rFonts w:hint="default" w:ascii="Times New Roman" w:hAnsi="Times New Roman" w:cs="Times New Roman" w:eastAsiaTheme="minorEastAsia"/>
                <w:color w:val="auto"/>
                <w:szCs w:val="21"/>
                <w:u w:val="single"/>
              </w:rPr>
              <w:t>36</w:t>
            </w:r>
            <w:r>
              <w:rPr>
                <w:rFonts w:hint="default" w:ascii="Times New Roman" w:hAnsi="Times New Roman" w:cs="Times New Roman" w:eastAsiaTheme="minorEastAsia"/>
                <w:color w:val="auto"/>
                <w:szCs w:val="21"/>
              </w:rPr>
              <w:t>度</w:t>
            </w:r>
            <w:r>
              <w:rPr>
                <w:rFonts w:hint="default" w:ascii="Times New Roman" w:hAnsi="Times New Roman" w:cs="Times New Roman" w:eastAsiaTheme="minorEastAsia"/>
                <w:color w:val="auto"/>
                <w:szCs w:val="21"/>
                <w:u w:val="single"/>
              </w:rPr>
              <w:t>3</w:t>
            </w:r>
            <w:r>
              <w:rPr>
                <w:rFonts w:hint="eastAsia" w:cs="Times New Roman" w:eastAsiaTheme="minorEastAsia"/>
                <w:color w:val="auto"/>
                <w:szCs w:val="21"/>
                <w:u w:val="single"/>
                <w:lang w:val="en-US" w:eastAsia="zh-CN"/>
              </w:rPr>
              <w:t>6</w:t>
            </w:r>
            <w:r>
              <w:rPr>
                <w:rFonts w:hint="default" w:ascii="Times New Roman" w:hAnsi="Times New Roman" w:cs="Times New Roman" w:eastAsiaTheme="minorEastAsia"/>
                <w:color w:val="auto"/>
                <w:szCs w:val="21"/>
              </w:rPr>
              <w:t>分</w:t>
            </w:r>
            <w:r>
              <w:rPr>
                <w:rFonts w:hint="eastAsia" w:cs="Times New Roman" w:eastAsiaTheme="minorEastAsia"/>
                <w:color w:val="auto"/>
                <w:szCs w:val="21"/>
                <w:u w:val="single"/>
                <w:lang w:val="en-US" w:eastAsia="zh-CN"/>
              </w:rPr>
              <w:t>08.808</w:t>
            </w:r>
            <w:r>
              <w:rPr>
                <w:rFonts w:hint="default" w:ascii="Times New Roman" w:hAnsi="Times New Roman" w:cs="Times New Roman" w:eastAsiaTheme="minorEastAsia"/>
                <w:color w:val="auto"/>
                <w:szCs w:val="21"/>
              </w:rPr>
              <w:t>秒，</w:t>
            </w:r>
            <w:r>
              <w:rPr>
                <w:rFonts w:hint="eastAsia" w:cs="Times New Roman" w:eastAsiaTheme="minorEastAsia"/>
                <w:color w:val="auto"/>
                <w:szCs w:val="21"/>
                <w:lang w:val="en-US" w:eastAsia="zh-CN"/>
              </w:rPr>
              <w:t>东经</w:t>
            </w:r>
            <w:r>
              <w:rPr>
                <w:rFonts w:hint="default" w:ascii="Times New Roman" w:hAnsi="Times New Roman" w:cs="Times New Roman" w:eastAsiaTheme="minorEastAsia"/>
                <w:color w:val="auto"/>
                <w:szCs w:val="21"/>
                <w:u w:val="single"/>
              </w:rPr>
              <w:t>117</w:t>
            </w:r>
            <w:r>
              <w:rPr>
                <w:rFonts w:hint="default" w:ascii="Times New Roman" w:hAnsi="Times New Roman" w:cs="Times New Roman" w:eastAsiaTheme="minorEastAsia"/>
                <w:color w:val="auto"/>
                <w:szCs w:val="21"/>
              </w:rPr>
              <w:t>度</w:t>
            </w:r>
            <w:r>
              <w:rPr>
                <w:rFonts w:hint="default" w:ascii="Times New Roman" w:hAnsi="Times New Roman" w:cs="Times New Roman" w:eastAsiaTheme="minorEastAsia"/>
                <w:color w:val="auto"/>
                <w:szCs w:val="21"/>
                <w:u w:val="single"/>
                <w:lang w:val="en-US" w:eastAsia="zh-CN"/>
              </w:rPr>
              <w:t>5</w:t>
            </w:r>
            <w:r>
              <w:rPr>
                <w:rFonts w:hint="eastAsia" w:cs="Times New Roman" w:eastAsiaTheme="minorEastAsia"/>
                <w:color w:val="auto"/>
                <w:szCs w:val="21"/>
                <w:u w:val="single"/>
                <w:lang w:val="en-US" w:eastAsia="zh-CN"/>
              </w:rPr>
              <w:t>7</w:t>
            </w:r>
            <w:r>
              <w:rPr>
                <w:rFonts w:hint="default" w:ascii="Times New Roman" w:hAnsi="Times New Roman" w:cs="Times New Roman" w:eastAsiaTheme="minorEastAsia"/>
                <w:color w:val="auto"/>
                <w:szCs w:val="21"/>
              </w:rPr>
              <w:t>分</w:t>
            </w:r>
            <w:r>
              <w:rPr>
                <w:rFonts w:hint="eastAsia" w:cs="Times New Roman" w:eastAsiaTheme="minorEastAsia"/>
                <w:color w:val="auto"/>
                <w:szCs w:val="21"/>
                <w:u w:val="single"/>
                <w:lang w:val="en-US" w:eastAsia="zh-CN"/>
              </w:rPr>
              <w:t>05.692</w:t>
            </w:r>
            <w:r>
              <w:rPr>
                <w:rFonts w:hint="default" w:ascii="Times New Roman" w:hAnsi="Times New Roman" w:cs="Times New Roman" w:eastAsiaTheme="minorEastAsia"/>
                <w:color w:val="auto"/>
                <w:szCs w:val="21"/>
              </w:rPr>
              <w:t>秒</w:t>
            </w:r>
            <w:bookmarkEnd w:id="3"/>
            <w:r>
              <w:rPr>
                <w:rFonts w:hint="default" w:ascii="Times New Roman" w:hAnsi="Times New Roman" w:cs="Times New Roman" w:eastAsiaTheme="minorEastAsia"/>
                <w:color w:val="auto"/>
                <w:szCs w:val="21"/>
              </w:rPr>
              <w:t>）</w:t>
            </w:r>
          </w:p>
        </w:tc>
      </w:tr>
      <w:tr w14:paraId="20E25A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408" w:type="dxa"/>
            <w:tcMar>
              <w:top w:w="16" w:type="dxa"/>
              <w:left w:w="16" w:type="dxa"/>
              <w:right w:w="16" w:type="dxa"/>
            </w:tcMar>
            <w:vAlign w:val="center"/>
          </w:tcPr>
          <w:p w14:paraId="310BF1D9">
            <w:pPr>
              <w:adjustRightInd w:val="0"/>
              <w:snapToGrid w:val="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国民经济</w:t>
            </w:r>
          </w:p>
          <w:p w14:paraId="73307762">
            <w:pPr>
              <w:adjustRightInd w:val="0"/>
              <w:snapToGrid w:val="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行业类别</w:t>
            </w:r>
          </w:p>
        </w:tc>
        <w:tc>
          <w:tcPr>
            <w:tcW w:w="3184" w:type="dxa"/>
            <w:vAlign w:val="center"/>
          </w:tcPr>
          <w:p w14:paraId="767DDE3E">
            <w:pPr>
              <w:adjustRightInd w:val="0"/>
              <w:snapToGrid w:val="0"/>
              <w:jc w:val="center"/>
              <w:rPr>
                <w:rFonts w:hint="default" w:ascii="Times New Roman" w:hAnsi="Times New Roman" w:cs="Times New Roman" w:eastAsiaTheme="minorEastAsia"/>
                <w:color w:val="auto"/>
                <w:szCs w:val="21"/>
                <w:highlight w:val="none"/>
                <w:lang w:eastAsia="zh-CN"/>
              </w:rPr>
            </w:pPr>
            <w:r>
              <w:rPr>
                <w:rFonts w:hint="eastAsia" w:cs="Times New Roman" w:eastAsiaTheme="minorEastAsia"/>
                <w:color w:val="auto"/>
                <w:szCs w:val="21"/>
                <w:highlight w:val="none"/>
                <w:lang w:eastAsia="zh-CN"/>
              </w:rPr>
              <w:t>C3034隔热和隔音材料制造</w:t>
            </w:r>
          </w:p>
        </w:tc>
        <w:tc>
          <w:tcPr>
            <w:tcW w:w="2202" w:type="dxa"/>
            <w:vAlign w:val="center"/>
          </w:tcPr>
          <w:p w14:paraId="700835E6">
            <w:pPr>
              <w:adjustRightInd w:val="0"/>
              <w:snapToGrid w:val="0"/>
              <w:jc w:val="center"/>
              <w:rPr>
                <w:rFonts w:hint="default" w:ascii="Times New Roman" w:hAnsi="Times New Roman" w:cs="Times New Roman" w:eastAsiaTheme="minorEastAsia"/>
                <w:color w:val="auto"/>
                <w:szCs w:val="21"/>
                <w:highlight w:val="none"/>
              </w:rPr>
            </w:pPr>
            <w:bookmarkStart w:id="4" w:name="_Hlk49843745"/>
            <w:r>
              <w:rPr>
                <w:rFonts w:hint="default" w:ascii="Times New Roman" w:hAnsi="Times New Roman" w:cs="Times New Roman" w:eastAsiaTheme="minorEastAsia"/>
                <w:color w:val="auto"/>
                <w:szCs w:val="21"/>
                <w:highlight w:val="none"/>
              </w:rPr>
              <w:t>建设项目</w:t>
            </w:r>
          </w:p>
          <w:p w14:paraId="75607A71">
            <w:pPr>
              <w:adjustRightInd w:val="0"/>
              <w:snapToGrid w:val="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行业类别</w:t>
            </w:r>
            <w:bookmarkEnd w:id="4"/>
          </w:p>
        </w:tc>
        <w:tc>
          <w:tcPr>
            <w:tcW w:w="2824" w:type="dxa"/>
            <w:vAlign w:val="center"/>
          </w:tcPr>
          <w:p w14:paraId="5FF6F177">
            <w:pPr>
              <w:adjustRightInd w:val="0"/>
              <w:snapToGrid w:val="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二十七、非金属矿物制</w:t>
            </w:r>
            <w:r>
              <w:rPr>
                <w:rFonts w:hint="default" w:ascii="Times New Roman" w:hAnsi="Times New Roman" w:cs="Times New Roman" w:eastAsiaTheme="minorEastAsia"/>
                <w:color w:val="auto"/>
                <w:szCs w:val="21"/>
                <w:highlight w:val="none"/>
                <w:lang w:val="en-US" w:eastAsia="zh-CN"/>
              </w:rPr>
              <w:t>品</w:t>
            </w:r>
            <w:r>
              <w:rPr>
                <w:rFonts w:hint="default" w:ascii="Times New Roman" w:hAnsi="Times New Roman" w:cs="Times New Roman" w:eastAsiaTheme="minorEastAsia"/>
                <w:color w:val="auto"/>
                <w:szCs w:val="21"/>
                <w:highlight w:val="none"/>
              </w:rPr>
              <w:t>业30-</w:t>
            </w:r>
            <w:r>
              <w:rPr>
                <w:rFonts w:hint="eastAsia" w:cs="Times New Roman" w:eastAsiaTheme="minorEastAsia"/>
                <w:color w:val="auto"/>
                <w:szCs w:val="21"/>
                <w:highlight w:val="none"/>
                <w:lang w:val="en-US" w:eastAsia="zh-CN"/>
              </w:rPr>
              <w:t>56砖瓦、石材等建筑材料制造 303</w:t>
            </w:r>
            <w:r>
              <w:rPr>
                <w:rFonts w:hint="default" w:ascii="Times New Roman" w:hAnsi="Times New Roman" w:cs="Times New Roman" w:eastAsiaTheme="minorEastAsia"/>
                <w:color w:val="auto"/>
                <w:szCs w:val="21"/>
                <w:highlight w:val="none"/>
              </w:rPr>
              <w:t>中</w:t>
            </w:r>
            <w:r>
              <w:rPr>
                <w:rFonts w:hint="default" w:ascii="Times New Roman" w:hAnsi="Times New Roman" w:cs="Times New Roman" w:eastAsiaTheme="minorEastAsia"/>
                <w:color w:val="auto"/>
                <w:szCs w:val="21"/>
                <w:highlight w:val="none"/>
                <w:lang w:val="en-US" w:eastAsia="zh-CN"/>
              </w:rPr>
              <w:t>的</w:t>
            </w:r>
            <w:r>
              <w:rPr>
                <w:rFonts w:hint="default" w:ascii="Times New Roman" w:hAnsi="Times New Roman" w:cs="Times New Roman" w:eastAsiaTheme="minorEastAsia"/>
                <w:color w:val="auto"/>
                <w:szCs w:val="21"/>
                <w:highlight w:val="none"/>
              </w:rPr>
              <w:t>“隔热、隔音材料制造”</w:t>
            </w:r>
          </w:p>
        </w:tc>
      </w:tr>
      <w:tr w14:paraId="5CC838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408" w:type="dxa"/>
            <w:tcMar>
              <w:top w:w="16" w:type="dxa"/>
              <w:left w:w="16" w:type="dxa"/>
              <w:right w:w="16" w:type="dxa"/>
            </w:tcMar>
            <w:vAlign w:val="center"/>
          </w:tcPr>
          <w:p w14:paraId="06A444CC">
            <w:pPr>
              <w:adjustRightInd w:val="0"/>
              <w:snapToGrid w:val="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建设性质</w:t>
            </w:r>
          </w:p>
        </w:tc>
        <w:tc>
          <w:tcPr>
            <w:tcW w:w="3184" w:type="dxa"/>
            <w:vAlign w:val="center"/>
          </w:tcPr>
          <w:p w14:paraId="572EC4FA">
            <w:pPr>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□新建（迁建）</w:t>
            </w:r>
          </w:p>
          <w:p w14:paraId="2173800F">
            <w:pPr>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√改建</w:t>
            </w:r>
          </w:p>
          <w:p w14:paraId="2C9BAF4D">
            <w:pPr>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√扩建</w:t>
            </w:r>
          </w:p>
          <w:p w14:paraId="7EFB75EC">
            <w:pPr>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□技术改造</w:t>
            </w:r>
          </w:p>
        </w:tc>
        <w:tc>
          <w:tcPr>
            <w:tcW w:w="2202" w:type="dxa"/>
            <w:vAlign w:val="center"/>
          </w:tcPr>
          <w:p w14:paraId="71AC721E">
            <w:pPr>
              <w:adjustRightInd w:val="0"/>
              <w:snapToGrid w:val="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建设项目</w:t>
            </w:r>
          </w:p>
          <w:p w14:paraId="3412A4F7">
            <w:pPr>
              <w:adjustRightInd w:val="0"/>
              <w:snapToGrid w:val="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申报情形</w:t>
            </w:r>
          </w:p>
        </w:tc>
        <w:tc>
          <w:tcPr>
            <w:tcW w:w="2824" w:type="dxa"/>
            <w:vAlign w:val="center"/>
          </w:tcPr>
          <w:p w14:paraId="5F4C749D">
            <w:pPr>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 xml:space="preserve">√首次申报项目             </w:t>
            </w:r>
          </w:p>
          <w:p w14:paraId="00D92FF8">
            <w:pPr>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□不予批准后再次申报项目</w:t>
            </w:r>
          </w:p>
          <w:p w14:paraId="20C77BCA">
            <w:pPr>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 xml:space="preserve">□超五年重新审核项目     </w:t>
            </w:r>
          </w:p>
          <w:p w14:paraId="6AD6FDF0">
            <w:pPr>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□重大变动重新报批项目</w:t>
            </w:r>
          </w:p>
        </w:tc>
      </w:tr>
      <w:tr w14:paraId="7BDB6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1408" w:type="dxa"/>
            <w:tcMar>
              <w:top w:w="16" w:type="dxa"/>
              <w:left w:w="16" w:type="dxa"/>
              <w:right w:w="16" w:type="dxa"/>
            </w:tcMar>
            <w:vAlign w:val="center"/>
          </w:tcPr>
          <w:p w14:paraId="36D3CE6F">
            <w:pPr>
              <w:adjustRightInd w:val="0"/>
              <w:snapToGrid w:val="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项目备案部门</w:t>
            </w:r>
          </w:p>
        </w:tc>
        <w:tc>
          <w:tcPr>
            <w:tcW w:w="3184" w:type="dxa"/>
            <w:vAlign w:val="center"/>
          </w:tcPr>
          <w:p w14:paraId="00BDE86F">
            <w:pPr>
              <w:adjustRightInd w:val="0"/>
              <w:snapToGrid w:val="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lang w:val="en-US" w:eastAsia="zh-CN"/>
              </w:rPr>
              <w:t>/</w:t>
            </w:r>
          </w:p>
        </w:tc>
        <w:tc>
          <w:tcPr>
            <w:tcW w:w="2202" w:type="dxa"/>
            <w:vAlign w:val="center"/>
          </w:tcPr>
          <w:p w14:paraId="3278921D">
            <w:pPr>
              <w:adjustRightInd w:val="0"/>
              <w:snapToGrid w:val="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项目备案文号</w:t>
            </w:r>
          </w:p>
        </w:tc>
        <w:tc>
          <w:tcPr>
            <w:tcW w:w="2824" w:type="dxa"/>
            <w:vAlign w:val="center"/>
          </w:tcPr>
          <w:p w14:paraId="28F336A2">
            <w:pPr>
              <w:adjustRightInd w:val="0"/>
              <w:snapToGrid w:val="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lang w:val="en-US" w:eastAsia="zh-CN"/>
              </w:rPr>
              <w:t>/</w:t>
            </w:r>
          </w:p>
        </w:tc>
      </w:tr>
      <w:tr w14:paraId="254A4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08" w:type="dxa"/>
            <w:tcMar>
              <w:top w:w="16" w:type="dxa"/>
              <w:left w:w="16" w:type="dxa"/>
              <w:right w:w="16" w:type="dxa"/>
            </w:tcMar>
            <w:vAlign w:val="center"/>
          </w:tcPr>
          <w:p w14:paraId="2FE3A0E7">
            <w:pPr>
              <w:adjustRightInd w:val="0"/>
              <w:snapToGrid w:val="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总投资（万元）</w:t>
            </w:r>
          </w:p>
        </w:tc>
        <w:tc>
          <w:tcPr>
            <w:tcW w:w="3184" w:type="dxa"/>
            <w:vAlign w:val="center"/>
          </w:tcPr>
          <w:p w14:paraId="7781EFAA">
            <w:pPr>
              <w:adjustRightInd w:val="0"/>
              <w:snapToGrid w:val="0"/>
              <w:jc w:val="center"/>
              <w:rPr>
                <w:rFonts w:hint="default" w:ascii="Times New Roman" w:hAnsi="Times New Roman" w:cs="Times New Roman" w:eastAsiaTheme="minorEastAsia"/>
                <w:color w:val="auto"/>
                <w:szCs w:val="21"/>
                <w:lang w:val="en-US" w:eastAsia="zh-CN"/>
              </w:rPr>
            </w:pPr>
            <w:r>
              <w:rPr>
                <w:rFonts w:hint="eastAsia" w:cs="Times New Roman" w:eastAsiaTheme="minorEastAsia"/>
                <w:color w:val="auto"/>
                <w:szCs w:val="21"/>
                <w:lang w:val="en-US" w:eastAsia="zh-CN"/>
              </w:rPr>
              <w:t>500</w:t>
            </w:r>
          </w:p>
        </w:tc>
        <w:tc>
          <w:tcPr>
            <w:tcW w:w="2202" w:type="dxa"/>
            <w:tcMar>
              <w:top w:w="16" w:type="dxa"/>
              <w:left w:w="16" w:type="dxa"/>
              <w:right w:w="16" w:type="dxa"/>
            </w:tcMar>
            <w:vAlign w:val="center"/>
          </w:tcPr>
          <w:p w14:paraId="5FFC73A0">
            <w:pPr>
              <w:adjustRightInd w:val="0"/>
              <w:snapToGrid w:val="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环保投资（万元）</w:t>
            </w:r>
          </w:p>
        </w:tc>
        <w:tc>
          <w:tcPr>
            <w:tcW w:w="2824" w:type="dxa"/>
            <w:vAlign w:val="center"/>
          </w:tcPr>
          <w:p w14:paraId="69B0F618">
            <w:pPr>
              <w:adjustRightInd w:val="0"/>
              <w:snapToGrid w:val="0"/>
              <w:jc w:val="center"/>
              <w:rPr>
                <w:rFonts w:hint="default" w:ascii="Times New Roman" w:hAnsi="Times New Roman" w:cs="Times New Roman" w:eastAsiaTheme="minorEastAsia"/>
                <w:color w:val="auto"/>
                <w:szCs w:val="21"/>
                <w:lang w:val="en-US" w:eastAsia="zh-CN"/>
              </w:rPr>
            </w:pPr>
            <w:r>
              <w:rPr>
                <w:rFonts w:hint="eastAsia" w:cs="Times New Roman" w:eastAsiaTheme="minorEastAsia"/>
                <w:color w:val="auto"/>
                <w:szCs w:val="21"/>
                <w:lang w:val="en-US" w:eastAsia="zh-CN"/>
              </w:rPr>
              <w:t>30</w:t>
            </w:r>
          </w:p>
        </w:tc>
      </w:tr>
      <w:tr w14:paraId="6A38F4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08" w:type="dxa"/>
            <w:tcMar>
              <w:top w:w="16" w:type="dxa"/>
              <w:left w:w="16" w:type="dxa"/>
              <w:right w:w="16" w:type="dxa"/>
            </w:tcMar>
            <w:vAlign w:val="center"/>
          </w:tcPr>
          <w:p w14:paraId="2EF3CC94">
            <w:pPr>
              <w:adjustRightInd w:val="0"/>
              <w:snapToGrid w:val="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环保投资占比（%）</w:t>
            </w:r>
          </w:p>
        </w:tc>
        <w:tc>
          <w:tcPr>
            <w:tcW w:w="3184" w:type="dxa"/>
            <w:vAlign w:val="center"/>
          </w:tcPr>
          <w:p w14:paraId="3BD43856">
            <w:pPr>
              <w:adjustRightInd w:val="0"/>
              <w:snapToGrid w:val="0"/>
              <w:jc w:val="center"/>
              <w:rPr>
                <w:rFonts w:hint="default" w:ascii="Times New Roman" w:hAnsi="Times New Roman" w:cs="Times New Roman" w:eastAsiaTheme="minorEastAsia"/>
                <w:color w:val="auto"/>
                <w:szCs w:val="21"/>
              </w:rPr>
            </w:pPr>
            <w:r>
              <w:rPr>
                <w:rFonts w:hint="eastAsia" w:cs="Times New Roman" w:eastAsiaTheme="minorEastAsia"/>
                <w:color w:val="auto"/>
                <w:szCs w:val="21"/>
                <w:lang w:val="en-US" w:eastAsia="zh-CN"/>
              </w:rPr>
              <w:t>6</w:t>
            </w:r>
            <w:r>
              <w:rPr>
                <w:rFonts w:hint="default" w:ascii="Times New Roman" w:hAnsi="Times New Roman" w:cs="Times New Roman" w:eastAsiaTheme="minorEastAsia"/>
                <w:color w:val="auto"/>
                <w:szCs w:val="21"/>
              </w:rPr>
              <w:t>%</w:t>
            </w:r>
          </w:p>
        </w:tc>
        <w:tc>
          <w:tcPr>
            <w:tcW w:w="2202" w:type="dxa"/>
            <w:tcMar>
              <w:top w:w="16" w:type="dxa"/>
              <w:left w:w="16" w:type="dxa"/>
              <w:right w:w="16" w:type="dxa"/>
            </w:tcMar>
            <w:vAlign w:val="center"/>
          </w:tcPr>
          <w:p w14:paraId="2E5E31D2">
            <w:pPr>
              <w:adjustRightInd w:val="0"/>
              <w:snapToGrid w:val="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施工工期</w:t>
            </w:r>
          </w:p>
        </w:tc>
        <w:tc>
          <w:tcPr>
            <w:tcW w:w="2824" w:type="dxa"/>
            <w:vAlign w:val="center"/>
          </w:tcPr>
          <w:p w14:paraId="0EC63054">
            <w:pPr>
              <w:adjustRightInd w:val="0"/>
              <w:snapToGrid w:val="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lang w:val="en-US" w:eastAsia="zh-CN"/>
              </w:rPr>
              <w:t>3</w:t>
            </w:r>
            <w:r>
              <w:rPr>
                <w:rFonts w:hint="default" w:ascii="Times New Roman" w:hAnsi="Times New Roman" w:cs="Times New Roman" w:eastAsiaTheme="minorEastAsia"/>
                <w:color w:val="auto"/>
                <w:szCs w:val="21"/>
              </w:rPr>
              <w:t>个月</w:t>
            </w:r>
          </w:p>
        </w:tc>
      </w:tr>
      <w:tr w14:paraId="36E5A3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08" w:type="dxa"/>
            <w:tcMar>
              <w:top w:w="16" w:type="dxa"/>
              <w:left w:w="16" w:type="dxa"/>
              <w:right w:w="16" w:type="dxa"/>
            </w:tcMar>
            <w:vAlign w:val="center"/>
          </w:tcPr>
          <w:p w14:paraId="6E9119B3">
            <w:pPr>
              <w:adjustRightInd w:val="0"/>
              <w:snapToGrid w:val="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是否开工建设</w:t>
            </w:r>
          </w:p>
        </w:tc>
        <w:tc>
          <w:tcPr>
            <w:tcW w:w="3184" w:type="dxa"/>
            <w:vAlign w:val="center"/>
          </w:tcPr>
          <w:p w14:paraId="3BE02C36">
            <w:pPr>
              <w:adjustRightInd w:val="0"/>
              <w:snapToGrid w:val="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√否</w:t>
            </w:r>
          </w:p>
          <w:p w14:paraId="0F505A5E">
            <w:pPr>
              <w:adjustRightInd w:val="0"/>
              <w:snapToGrid w:val="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□是</w:t>
            </w:r>
          </w:p>
        </w:tc>
        <w:tc>
          <w:tcPr>
            <w:tcW w:w="2202" w:type="dxa"/>
            <w:tcMar>
              <w:top w:w="16" w:type="dxa"/>
              <w:left w:w="16" w:type="dxa"/>
              <w:right w:w="16" w:type="dxa"/>
            </w:tcMar>
            <w:vAlign w:val="center"/>
          </w:tcPr>
          <w:p w14:paraId="556DCC31">
            <w:pPr>
              <w:adjustRightInd w:val="0"/>
              <w:snapToGrid w:val="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pacing w:val="-6"/>
                <w:szCs w:val="21"/>
              </w:rPr>
              <w:t>用地面积（m</w:t>
            </w:r>
            <w:r>
              <w:rPr>
                <w:rFonts w:hint="default" w:ascii="Times New Roman" w:hAnsi="Times New Roman" w:cs="Times New Roman" w:eastAsiaTheme="minorEastAsia"/>
                <w:color w:val="auto"/>
                <w:spacing w:val="-6"/>
                <w:szCs w:val="21"/>
                <w:vertAlign w:val="superscript"/>
              </w:rPr>
              <w:t>2</w:t>
            </w:r>
            <w:r>
              <w:rPr>
                <w:rFonts w:hint="default" w:ascii="Times New Roman" w:hAnsi="Times New Roman" w:cs="Times New Roman" w:eastAsiaTheme="minorEastAsia"/>
                <w:color w:val="auto"/>
                <w:spacing w:val="-6"/>
                <w:szCs w:val="21"/>
              </w:rPr>
              <w:t>）</w:t>
            </w:r>
          </w:p>
        </w:tc>
        <w:tc>
          <w:tcPr>
            <w:tcW w:w="2824" w:type="dxa"/>
            <w:vAlign w:val="center"/>
          </w:tcPr>
          <w:p w14:paraId="774251C4">
            <w:pPr>
              <w:pStyle w:val="85"/>
              <w:spacing w:after="0"/>
              <w:ind w:left="0" w:leftChars="0" w:firstLine="0" w:firstLineChars="0"/>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rPr>
              <w:t>0</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lang w:val="en-US" w:eastAsia="zh-CN"/>
              </w:rPr>
              <w:t>不新增用地</w:t>
            </w:r>
            <w:r>
              <w:rPr>
                <w:rFonts w:hint="eastAsia" w:cs="Times New Roman" w:eastAsiaTheme="minorEastAsia"/>
                <w:color w:val="auto"/>
                <w:lang w:val="en-US" w:eastAsia="zh-CN"/>
              </w:rPr>
              <w:t>，现有占地5300m</w:t>
            </w:r>
            <w:r>
              <w:rPr>
                <w:rFonts w:hint="eastAsia" w:cs="Times New Roman" w:eastAsiaTheme="minorEastAsia"/>
                <w:color w:val="auto"/>
                <w:vertAlign w:val="superscript"/>
                <w:lang w:val="en-US" w:eastAsia="zh-CN"/>
              </w:rPr>
              <w:t>2</w:t>
            </w:r>
            <w:r>
              <w:rPr>
                <w:rFonts w:hint="default" w:ascii="Times New Roman" w:hAnsi="Times New Roman" w:cs="Times New Roman" w:eastAsiaTheme="minorEastAsia"/>
                <w:color w:val="auto"/>
                <w:lang w:eastAsia="zh-CN"/>
              </w:rPr>
              <w:t>）</w:t>
            </w:r>
          </w:p>
        </w:tc>
      </w:tr>
      <w:tr w14:paraId="24BD9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8" w:type="dxa"/>
            <w:vAlign w:val="center"/>
          </w:tcPr>
          <w:p w14:paraId="619844AE">
            <w:pPr>
              <w:autoSpaceDE w:val="0"/>
              <w:autoSpaceDN w:val="0"/>
              <w:adjustRightInd w:val="0"/>
              <w:snapToGrid w:val="0"/>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专项评价设置情况</w:t>
            </w:r>
          </w:p>
        </w:tc>
        <w:tc>
          <w:tcPr>
            <w:tcW w:w="8210" w:type="dxa"/>
            <w:gridSpan w:val="3"/>
            <w:vAlign w:val="center"/>
          </w:tcPr>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3"/>
              <w:gridCol w:w="3762"/>
              <w:gridCol w:w="2195"/>
              <w:gridCol w:w="833"/>
            </w:tblGrid>
            <w:tr w14:paraId="0CCC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pct"/>
                  <w:tcBorders>
                    <w:top w:val="single" w:color="auto" w:sz="4" w:space="0"/>
                    <w:left w:val="single" w:color="auto" w:sz="4" w:space="0"/>
                    <w:bottom w:val="single" w:color="auto" w:sz="4" w:space="0"/>
                    <w:right w:val="single" w:color="auto" w:sz="4" w:space="0"/>
                  </w:tcBorders>
                  <w:vAlign w:val="center"/>
                </w:tcPr>
                <w:p w14:paraId="0C031BE6">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专项评价的类别</w:t>
                  </w:r>
                </w:p>
              </w:tc>
              <w:tc>
                <w:tcPr>
                  <w:tcW w:w="2345" w:type="pct"/>
                  <w:tcBorders>
                    <w:top w:val="single" w:color="auto" w:sz="4" w:space="0"/>
                    <w:left w:val="single" w:color="auto" w:sz="4" w:space="0"/>
                    <w:bottom w:val="single" w:color="auto" w:sz="4" w:space="0"/>
                    <w:right w:val="single" w:color="auto" w:sz="4" w:space="0"/>
                  </w:tcBorders>
                  <w:vAlign w:val="center"/>
                </w:tcPr>
                <w:p w14:paraId="2D09D5D2">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设置原则</w:t>
                  </w:r>
                </w:p>
              </w:tc>
              <w:tc>
                <w:tcPr>
                  <w:tcW w:w="1368" w:type="pct"/>
                  <w:tcBorders>
                    <w:top w:val="single" w:color="auto" w:sz="4" w:space="0"/>
                    <w:left w:val="single" w:color="auto" w:sz="4" w:space="0"/>
                    <w:bottom w:val="single" w:color="auto" w:sz="4" w:space="0"/>
                    <w:right w:val="single" w:color="auto" w:sz="4" w:space="0"/>
                  </w:tcBorders>
                  <w:vAlign w:val="center"/>
                </w:tcPr>
                <w:p w14:paraId="000CE414">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本项目情况</w:t>
                  </w:r>
                </w:p>
              </w:tc>
              <w:tc>
                <w:tcPr>
                  <w:tcW w:w="520" w:type="pct"/>
                  <w:tcBorders>
                    <w:top w:val="single" w:color="auto" w:sz="4" w:space="0"/>
                    <w:left w:val="single" w:color="auto" w:sz="4" w:space="0"/>
                    <w:bottom w:val="single" w:color="auto" w:sz="4" w:space="0"/>
                    <w:right w:val="single" w:color="auto" w:sz="4" w:space="0"/>
                  </w:tcBorders>
                  <w:vAlign w:val="center"/>
                </w:tcPr>
                <w:p w14:paraId="79272C6A">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是否设置</w:t>
                  </w:r>
                </w:p>
              </w:tc>
            </w:tr>
            <w:tr w14:paraId="7E36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pct"/>
                  <w:tcBorders>
                    <w:top w:val="single" w:color="auto" w:sz="4" w:space="0"/>
                    <w:left w:val="single" w:color="auto" w:sz="4" w:space="0"/>
                    <w:bottom w:val="single" w:color="auto" w:sz="4" w:space="0"/>
                    <w:right w:val="single" w:color="auto" w:sz="4" w:space="0"/>
                  </w:tcBorders>
                  <w:vAlign w:val="center"/>
                </w:tcPr>
                <w:p w14:paraId="712F25BF">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大气</w:t>
                  </w:r>
                </w:p>
              </w:tc>
              <w:tc>
                <w:tcPr>
                  <w:tcW w:w="2345" w:type="pct"/>
                  <w:tcBorders>
                    <w:top w:val="single" w:color="auto" w:sz="4" w:space="0"/>
                    <w:left w:val="single" w:color="auto" w:sz="4" w:space="0"/>
                    <w:bottom w:val="single" w:color="auto" w:sz="4" w:space="0"/>
                    <w:right w:val="single" w:color="auto" w:sz="4" w:space="0"/>
                  </w:tcBorders>
                  <w:vAlign w:val="center"/>
                </w:tcPr>
                <w:p w14:paraId="55ECD06C">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排放废气含有毒有害污染物、二噁英、苯并[a]芘、氰化物、氯气且厂界外500米范围内有环境空气保护目标的建设项目</w:t>
                  </w:r>
                </w:p>
              </w:tc>
              <w:tc>
                <w:tcPr>
                  <w:tcW w:w="1368" w:type="pct"/>
                  <w:tcBorders>
                    <w:top w:val="single" w:color="auto" w:sz="4" w:space="0"/>
                    <w:left w:val="single" w:color="auto" w:sz="4" w:space="0"/>
                    <w:bottom w:val="single" w:color="auto" w:sz="4" w:space="0"/>
                    <w:right w:val="single" w:color="auto" w:sz="4" w:space="0"/>
                  </w:tcBorders>
                  <w:vAlign w:val="center"/>
                </w:tcPr>
                <w:p w14:paraId="77742688">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本项目</w:t>
                  </w:r>
                  <w:r>
                    <w:rPr>
                      <w:rFonts w:hint="default" w:ascii="Times New Roman" w:hAnsi="Times New Roman" w:cs="Times New Roman" w:eastAsiaTheme="minorEastAsia"/>
                      <w:color w:val="auto"/>
                      <w:kern w:val="0"/>
                      <w:sz w:val="18"/>
                      <w:szCs w:val="18"/>
                      <w:lang w:val="en-US" w:eastAsia="zh-CN"/>
                    </w:rPr>
                    <w:t>不</w:t>
                  </w:r>
                  <w:r>
                    <w:rPr>
                      <w:rFonts w:hint="default" w:ascii="Times New Roman" w:hAnsi="Times New Roman" w:cs="Times New Roman" w:eastAsiaTheme="minorEastAsia"/>
                      <w:color w:val="auto"/>
                      <w:kern w:val="0"/>
                      <w:sz w:val="18"/>
                      <w:szCs w:val="18"/>
                    </w:rPr>
                    <w:t>涉及</w:t>
                  </w:r>
                </w:p>
              </w:tc>
              <w:tc>
                <w:tcPr>
                  <w:tcW w:w="520" w:type="pct"/>
                  <w:tcBorders>
                    <w:top w:val="single" w:color="auto" w:sz="4" w:space="0"/>
                    <w:left w:val="single" w:color="auto" w:sz="4" w:space="0"/>
                    <w:bottom w:val="single" w:color="auto" w:sz="4" w:space="0"/>
                    <w:right w:val="single" w:color="auto" w:sz="4" w:space="0"/>
                  </w:tcBorders>
                  <w:vAlign w:val="center"/>
                </w:tcPr>
                <w:p w14:paraId="179B1527">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否</w:t>
                  </w:r>
                </w:p>
              </w:tc>
            </w:tr>
            <w:tr w14:paraId="2E95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pct"/>
                  <w:tcBorders>
                    <w:top w:val="single" w:color="auto" w:sz="4" w:space="0"/>
                    <w:left w:val="single" w:color="auto" w:sz="4" w:space="0"/>
                    <w:bottom w:val="single" w:color="auto" w:sz="4" w:space="0"/>
                    <w:right w:val="single" w:color="auto" w:sz="4" w:space="0"/>
                  </w:tcBorders>
                  <w:vAlign w:val="center"/>
                </w:tcPr>
                <w:p w14:paraId="69244F72">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地表水</w:t>
                  </w:r>
                </w:p>
              </w:tc>
              <w:tc>
                <w:tcPr>
                  <w:tcW w:w="2345" w:type="pct"/>
                  <w:tcBorders>
                    <w:top w:val="single" w:color="auto" w:sz="4" w:space="0"/>
                    <w:left w:val="single" w:color="auto" w:sz="4" w:space="0"/>
                    <w:bottom w:val="single" w:color="auto" w:sz="4" w:space="0"/>
                    <w:right w:val="single" w:color="auto" w:sz="4" w:space="0"/>
                  </w:tcBorders>
                  <w:vAlign w:val="center"/>
                </w:tcPr>
                <w:p w14:paraId="54174BAE">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新增工业废水直排建设项目（槽罐车外送污水处理厂的除外）；新增废水直排的污水集中处理厂</w:t>
                  </w:r>
                </w:p>
              </w:tc>
              <w:tc>
                <w:tcPr>
                  <w:tcW w:w="1368" w:type="pct"/>
                  <w:tcBorders>
                    <w:top w:val="single" w:color="auto" w:sz="4" w:space="0"/>
                    <w:left w:val="single" w:color="auto" w:sz="4" w:space="0"/>
                    <w:bottom w:val="single" w:color="auto" w:sz="4" w:space="0"/>
                    <w:right w:val="single" w:color="auto" w:sz="4" w:space="0"/>
                  </w:tcBorders>
                  <w:vAlign w:val="center"/>
                </w:tcPr>
                <w:p w14:paraId="2DC00A52">
                  <w:pPr>
                    <w:autoSpaceDE w:val="0"/>
                    <w:autoSpaceDN w:val="0"/>
                    <w:adjustRightInd w:val="0"/>
                    <w:snapToGrid w:val="0"/>
                    <w:jc w:val="center"/>
                    <w:rPr>
                      <w:rFonts w:hint="default" w:ascii="Times New Roman" w:hAnsi="Times New Roman" w:cs="Times New Roman" w:eastAsiaTheme="minorEastAsia"/>
                      <w:color w:val="auto"/>
                      <w:kern w:val="0"/>
                      <w:sz w:val="18"/>
                      <w:szCs w:val="18"/>
                      <w:lang w:eastAsia="zh-CN"/>
                    </w:rPr>
                  </w:pPr>
                  <w:r>
                    <w:rPr>
                      <w:rFonts w:hint="default" w:ascii="Times New Roman" w:hAnsi="Times New Roman" w:cs="Times New Roman" w:eastAsiaTheme="minorEastAsia"/>
                      <w:color w:val="auto"/>
                      <w:kern w:val="0"/>
                      <w:sz w:val="18"/>
                      <w:szCs w:val="18"/>
                    </w:rPr>
                    <w:t>本项目废水</w:t>
                  </w:r>
                  <w:r>
                    <w:rPr>
                      <w:rFonts w:hint="default" w:ascii="Times New Roman" w:hAnsi="Times New Roman" w:cs="Times New Roman" w:eastAsiaTheme="minorEastAsia"/>
                      <w:color w:val="auto"/>
                      <w:kern w:val="0"/>
                      <w:sz w:val="18"/>
                      <w:szCs w:val="18"/>
                      <w:lang w:val="en-US" w:eastAsia="zh-CN"/>
                    </w:rPr>
                    <w:t>不外排</w:t>
                  </w:r>
                </w:p>
              </w:tc>
              <w:tc>
                <w:tcPr>
                  <w:tcW w:w="520" w:type="pct"/>
                  <w:tcBorders>
                    <w:top w:val="single" w:color="auto" w:sz="4" w:space="0"/>
                    <w:left w:val="single" w:color="auto" w:sz="4" w:space="0"/>
                    <w:bottom w:val="single" w:color="auto" w:sz="4" w:space="0"/>
                    <w:right w:val="single" w:color="auto" w:sz="4" w:space="0"/>
                  </w:tcBorders>
                  <w:vAlign w:val="center"/>
                </w:tcPr>
                <w:p w14:paraId="57DB888A">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否</w:t>
                  </w:r>
                </w:p>
              </w:tc>
            </w:tr>
            <w:tr w14:paraId="6CA8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pct"/>
                  <w:tcBorders>
                    <w:top w:val="single" w:color="auto" w:sz="4" w:space="0"/>
                    <w:left w:val="single" w:color="auto" w:sz="4" w:space="0"/>
                    <w:bottom w:val="single" w:color="auto" w:sz="4" w:space="0"/>
                    <w:right w:val="single" w:color="auto" w:sz="4" w:space="0"/>
                  </w:tcBorders>
                  <w:vAlign w:val="center"/>
                </w:tcPr>
                <w:p w14:paraId="1F6FEEC5">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环境风险</w:t>
                  </w:r>
                </w:p>
              </w:tc>
              <w:tc>
                <w:tcPr>
                  <w:tcW w:w="2345" w:type="pct"/>
                  <w:tcBorders>
                    <w:top w:val="single" w:color="auto" w:sz="4" w:space="0"/>
                    <w:left w:val="single" w:color="auto" w:sz="4" w:space="0"/>
                    <w:bottom w:val="single" w:color="auto" w:sz="4" w:space="0"/>
                    <w:right w:val="single" w:color="auto" w:sz="4" w:space="0"/>
                  </w:tcBorders>
                  <w:vAlign w:val="center"/>
                </w:tcPr>
                <w:p w14:paraId="7EDBC2B3">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有毒有害和易燃易爆危险物质存储量超过临界量的建设项目</w:t>
                  </w:r>
                </w:p>
              </w:tc>
              <w:tc>
                <w:tcPr>
                  <w:tcW w:w="1368" w:type="pct"/>
                  <w:tcBorders>
                    <w:top w:val="single" w:color="auto" w:sz="4" w:space="0"/>
                    <w:left w:val="single" w:color="auto" w:sz="4" w:space="0"/>
                    <w:bottom w:val="single" w:color="auto" w:sz="4" w:space="0"/>
                    <w:right w:val="single" w:color="auto" w:sz="4" w:space="0"/>
                  </w:tcBorders>
                  <w:vAlign w:val="center"/>
                </w:tcPr>
                <w:p w14:paraId="3A762815">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未超临界量</w:t>
                  </w:r>
                </w:p>
              </w:tc>
              <w:tc>
                <w:tcPr>
                  <w:tcW w:w="520" w:type="pct"/>
                  <w:tcBorders>
                    <w:top w:val="single" w:color="auto" w:sz="4" w:space="0"/>
                    <w:left w:val="single" w:color="auto" w:sz="4" w:space="0"/>
                    <w:bottom w:val="single" w:color="auto" w:sz="4" w:space="0"/>
                    <w:right w:val="single" w:color="auto" w:sz="4" w:space="0"/>
                  </w:tcBorders>
                  <w:vAlign w:val="center"/>
                </w:tcPr>
                <w:p w14:paraId="05B14734">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否</w:t>
                  </w:r>
                </w:p>
              </w:tc>
            </w:tr>
            <w:tr w14:paraId="5127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pct"/>
                  <w:tcBorders>
                    <w:top w:val="single" w:color="auto" w:sz="4" w:space="0"/>
                    <w:left w:val="single" w:color="auto" w:sz="4" w:space="0"/>
                    <w:bottom w:val="single" w:color="auto" w:sz="4" w:space="0"/>
                    <w:right w:val="single" w:color="auto" w:sz="4" w:space="0"/>
                  </w:tcBorders>
                  <w:vAlign w:val="center"/>
                </w:tcPr>
                <w:p w14:paraId="030524FA">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生态</w:t>
                  </w:r>
                </w:p>
              </w:tc>
              <w:tc>
                <w:tcPr>
                  <w:tcW w:w="2345" w:type="pct"/>
                  <w:tcBorders>
                    <w:top w:val="single" w:color="auto" w:sz="4" w:space="0"/>
                    <w:left w:val="single" w:color="auto" w:sz="4" w:space="0"/>
                    <w:bottom w:val="single" w:color="auto" w:sz="4" w:space="0"/>
                    <w:right w:val="single" w:color="auto" w:sz="4" w:space="0"/>
                  </w:tcBorders>
                  <w:vAlign w:val="center"/>
                </w:tcPr>
                <w:p w14:paraId="49AE155E">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取水口下游500米范围内有重要水生生物的自然产卵场、索饵场、越冬场和洄游通道的新增河道取水的污染类建设项目</w:t>
                  </w:r>
                </w:p>
              </w:tc>
              <w:tc>
                <w:tcPr>
                  <w:tcW w:w="1368" w:type="pct"/>
                  <w:tcBorders>
                    <w:top w:val="single" w:color="auto" w:sz="4" w:space="0"/>
                    <w:left w:val="single" w:color="auto" w:sz="4" w:space="0"/>
                    <w:bottom w:val="single" w:color="auto" w:sz="4" w:space="0"/>
                    <w:right w:val="single" w:color="auto" w:sz="4" w:space="0"/>
                  </w:tcBorders>
                  <w:vAlign w:val="center"/>
                </w:tcPr>
                <w:p w14:paraId="5623E15B">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不涉及</w:t>
                  </w:r>
                </w:p>
              </w:tc>
              <w:tc>
                <w:tcPr>
                  <w:tcW w:w="520" w:type="pct"/>
                  <w:tcBorders>
                    <w:top w:val="single" w:color="auto" w:sz="4" w:space="0"/>
                    <w:left w:val="single" w:color="auto" w:sz="4" w:space="0"/>
                    <w:bottom w:val="single" w:color="auto" w:sz="4" w:space="0"/>
                    <w:right w:val="single" w:color="auto" w:sz="4" w:space="0"/>
                  </w:tcBorders>
                  <w:vAlign w:val="center"/>
                </w:tcPr>
                <w:p w14:paraId="07F5CCDF">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否</w:t>
                  </w:r>
                </w:p>
              </w:tc>
            </w:tr>
            <w:tr w14:paraId="622B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pct"/>
                  <w:tcBorders>
                    <w:top w:val="single" w:color="auto" w:sz="4" w:space="0"/>
                    <w:left w:val="single" w:color="auto" w:sz="4" w:space="0"/>
                    <w:bottom w:val="single" w:color="auto" w:sz="4" w:space="0"/>
                    <w:right w:val="single" w:color="auto" w:sz="4" w:space="0"/>
                  </w:tcBorders>
                  <w:vAlign w:val="center"/>
                </w:tcPr>
                <w:p w14:paraId="6475500E">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海洋</w:t>
                  </w:r>
                </w:p>
              </w:tc>
              <w:tc>
                <w:tcPr>
                  <w:tcW w:w="2345" w:type="pct"/>
                  <w:tcBorders>
                    <w:top w:val="single" w:color="auto" w:sz="4" w:space="0"/>
                    <w:left w:val="single" w:color="auto" w:sz="4" w:space="0"/>
                    <w:bottom w:val="single" w:color="auto" w:sz="4" w:space="0"/>
                    <w:right w:val="single" w:color="auto" w:sz="4" w:space="0"/>
                  </w:tcBorders>
                  <w:vAlign w:val="center"/>
                </w:tcPr>
                <w:p w14:paraId="74EB8AFB">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直接向海排放污染物的海洋工程建设项目</w:t>
                  </w:r>
                </w:p>
              </w:tc>
              <w:tc>
                <w:tcPr>
                  <w:tcW w:w="1368" w:type="pct"/>
                  <w:tcBorders>
                    <w:top w:val="single" w:color="auto" w:sz="4" w:space="0"/>
                    <w:left w:val="single" w:color="auto" w:sz="4" w:space="0"/>
                    <w:bottom w:val="single" w:color="auto" w:sz="4" w:space="0"/>
                    <w:right w:val="single" w:color="auto" w:sz="4" w:space="0"/>
                  </w:tcBorders>
                  <w:vAlign w:val="center"/>
                </w:tcPr>
                <w:p w14:paraId="233B713A">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不涉及</w:t>
                  </w:r>
                </w:p>
              </w:tc>
              <w:tc>
                <w:tcPr>
                  <w:tcW w:w="520" w:type="pct"/>
                  <w:tcBorders>
                    <w:top w:val="single" w:color="auto" w:sz="4" w:space="0"/>
                    <w:left w:val="single" w:color="auto" w:sz="4" w:space="0"/>
                    <w:bottom w:val="single" w:color="auto" w:sz="4" w:space="0"/>
                    <w:right w:val="single" w:color="auto" w:sz="4" w:space="0"/>
                  </w:tcBorders>
                  <w:vAlign w:val="center"/>
                </w:tcPr>
                <w:p w14:paraId="53AA842E">
                  <w:pPr>
                    <w:autoSpaceDE w:val="0"/>
                    <w:autoSpaceDN w:val="0"/>
                    <w:adjustRightInd w:val="0"/>
                    <w:snapToGrid w:val="0"/>
                    <w:jc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否</w:t>
                  </w:r>
                </w:p>
              </w:tc>
            </w:tr>
          </w:tbl>
          <w:p w14:paraId="13A0EE0E">
            <w:pPr>
              <w:autoSpaceDE w:val="0"/>
              <w:autoSpaceDN w:val="0"/>
              <w:adjustRightInd w:val="0"/>
              <w:snapToGrid w:val="0"/>
              <w:rPr>
                <w:rFonts w:hint="default" w:ascii="Times New Roman" w:hAnsi="Times New Roman" w:cs="Times New Roman" w:eastAsiaTheme="minorEastAsia"/>
                <w:color w:val="auto"/>
                <w:kern w:val="0"/>
                <w:szCs w:val="21"/>
              </w:rPr>
            </w:pPr>
          </w:p>
        </w:tc>
      </w:tr>
      <w:tr w14:paraId="0DC59A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1408" w:type="dxa"/>
            <w:vAlign w:val="center"/>
          </w:tcPr>
          <w:p w14:paraId="5B85B8AC">
            <w:pPr>
              <w:autoSpaceDE w:val="0"/>
              <w:autoSpaceDN w:val="0"/>
              <w:adjustRightInd w:val="0"/>
              <w:snapToGrid w:val="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sz w:val="21"/>
                <w:szCs w:val="21"/>
              </w:rPr>
              <w:t>规划情况</w:t>
            </w:r>
          </w:p>
        </w:tc>
        <w:tc>
          <w:tcPr>
            <w:tcW w:w="8210" w:type="dxa"/>
            <w:gridSpan w:val="3"/>
            <w:vAlign w:val="center"/>
          </w:tcPr>
          <w:p w14:paraId="22F60C68">
            <w:pPr>
              <w:autoSpaceDE w:val="0"/>
              <w:autoSpaceDN w:val="0"/>
              <w:adjustRightInd w:val="0"/>
              <w:snapToGrid w:val="0"/>
              <w:spacing w:before="120" w:beforeLines="50" w:line="360" w:lineRule="auto"/>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相关规划：《淄博市</w:t>
            </w:r>
            <w:r>
              <w:rPr>
                <w:rFonts w:hint="eastAsia" w:cs="Times New Roman"/>
                <w:color w:val="auto"/>
                <w:sz w:val="21"/>
                <w:szCs w:val="21"/>
                <w:lang w:eastAsia="zh-CN"/>
              </w:rPr>
              <w:t>淄川区昆仑镇国土空间规划</w:t>
            </w:r>
            <w:r>
              <w:rPr>
                <w:rFonts w:hint="default" w:ascii="Times New Roman" w:hAnsi="Times New Roman" w:cs="Times New Roman"/>
                <w:color w:val="auto"/>
                <w:sz w:val="21"/>
                <w:szCs w:val="21"/>
              </w:rPr>
              <w:t>（202</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-2035年）》</w:t>
            </w:r>
          </w:p>
          <w:p w14:paraId="617E460D">
            <w:pPr>
              <w:autoSpaceDE w:val="0"/>
              <w:autoSpaceDN w:val="0"/>
              <w:adjustRightInd w:val="0"/>
              <w:snapToGrid w:val="0"/>
              <w:spacing w:before="120" w:beforeLines="50" w:line="360" w:lineRule="auto"/>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审批机关：</w:t>
            </w:r>
            <w:r>
              <w:rPr>
                <w:rFonts w:hint="eastAsia" w:cs="Times New Roman"/>
                <w:color w:val="auto"/>
                <w:sz w:val="21"/>
                <w:szCs w:val="21"/>
                <w:lang w:val="en-US" w:eastAsia="zh-CN"/>
              </w:rPr>
              <w:t>淄博市</w:t>
            </w:r>
            <w:r>
              <w:rPr>
                <w:rFonts w:hint="default" w:ascii="Times New Roman" w:hAnsi="Times New Roman" w:cs="Times New Roman"/>
                <w:color w:val="auto"/>
                <w:sz w:val="21"/>
                <w:szCs w:val="21"/>
              </w:rPr>
              <w:t>人民政府</w:t>
            </w:r>
          </w:p>
          <w:p w14:paraId="7826FC5F">
            <w:pPr>
              <w:autoSpaceDE w:val="0"/>
              <w:autoSpaceDN w:val="0"/>
              <w:adjustRightInd w:val="0"/>
              <w:snapToGrid w:val="0"/>
              <w:spacing w:before="120" w:beforeLines="50" w:line="360" w:lineRule="auto"/>
              <w:jc w:val="left"/>
              <w:rPr>
                <w:rFonts w:hint="default" w:ascii="Times New Roman" w:hAnsi="Times New Roman" w:cs="Times New Roman" w:eastAsiaTheme="minorEastAsia"/>
                <w:color w:val="auto"/>
                <w:kern w:val="0"/>
                <w:sz w:val="21"/>
                <w:szCs w:val="21"/>
              </w:rPr>
            </w:pPr>
            <w:r>
              <w:rPr>
                <w:rFonts w:hint="default" w:ascii="Times New Roman" w:hAnsi="Times New Roman" w:cs="Times New Roman"/>
                <w:color w:val="auto"/>
                <w:sz w:val="21"/>
                <w:szCs w:val="21"/>
              </w:rPr>
              <w:t>审批文件名称及文号：</w:t>
            </w:r>
            <w:r>
              <w:rPr>
                <w:rFonts w:hint="eastAsia" w:cs="Times New Roman"/>
                <w:color w:val="auto"/>
                <w:sz w:val="21"/>
                <w:szCs w:val="21"/>
                <w:lang w:eastAsia="zh-CN"/>
              </w:rPr>
              <w:t>《</w:t>
            </w:r>
            <w:r>
              <w:rPr>
                <w:rFonts w:hint="default" w:ascii="Times New Roman" w:hAnsi="Times New Roman" w:cs="Times New Roman"/>
                <w:color w:val="auto"/>
                <w:sz w:val="21"/>
                <w:szCs w:val="21"/>
              </w:rPr>
              <w:t>淄博市人民政府关于淄博市淄川区昆仑镇国土空间规划（2021—2035年）的批复</w:t>
            </w:r>
            <w:r>
              <w:rPr>
                <w:rFonts w:hint="eastAsia" w:cs="Times New Roman"/>
                <w:color w:val="auto"/>
                <w:sz w:val="21"/>
                <w:szCs w:val="21"/>
                <w:lang w:eastAsia="zh-CN"/>
              </w:rPr>
              <w:t>》（</w:t>
            </w:r>
            <w:r>
              <w:rPr>
                <w:rFonts w:hint="default" w:ascii="Times New Roman" w:hAnsi="Times New Roman" w:cs="Times New Roman"/>
                <w:color w:val="auto"/>
                <w:sz w:val="21"/>
                <w:szCs w:val="21"/>
              </w:rPr>
              <w:t>淄政字〔2024〕69号</w:t>
            </w:r>
            <w:r>
              <w:rPr>
                <w:rFonts w:hint="eastAsia" w:cs="Times New Roman"/>
                <w:color w:val="auto"/>
                <w:sz w:val="21"/>
                <w:szCs w:val="21"/>
                <w:lang w:eastAsia="zh-CN"/>
              </w:rPr>
              <w:t>）</w:t>
            </w:r>
          </w:p>
        </w:tc>
      </w:tr>
      <w:tr w14:paraId="523E70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408" w:type="dxa"/>
            <w:vAlign w:val="center"/>
          </w:tcPr>
          <w:p w14:paraId="032E3ACC">
            <w:pPr>
              <w:autoSpaceDE w:val="0"/>
              <w:autoSpaceDN w:val="0"/>
              <w:adjustRightInd w:val="0"/>
              <w:snapToGrid w:val="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规划环境影响评价情况</w:t>
            </w:r>
          </w:p>
        </w:tc>
        <w:tc>
          <w:tcPr>
            <w:tcW w:w="8210" w:type="dxa"/>
            <w:gridSpan w:val="3"/>
            <w:vAlign w:val="center"/>
          </w:tcPr>
          <w:p w14:paraId="69DC0257">
            <w:pPr>
              <w:jc w:val="center"/>
              <w:rPr>
                <w:rFonts w:hint="default" w:ascii="Times New Roman" w:hAnsi="Times New Roman" w:cs="Times New Roman" w:eastAsiaTheme="minorEastAsia"/>
                <w:color w:val="auto"/>
                <w:szCs w:val="21"/>
              </w:rPr>
            </w:pPr>
            <w:r>
              <w:rPr>
                <w:rFonts w:hint="default" w:ascii="Times New Roman" w:hAnsi="Times New Roman" w:eastAsia="宋体" w:cs="Times New Roman"/>
                <w:color w:val="auto"/>
                <w:sz w:val="21"/>
                <w:szCs w:val="21"/>
                <w:lang w:val="en-US" w:eastAsia="zh-CN"/>
              </w:rPr>
              <w:t>无</w:t>
            </w:r>
          </w:p>
        </w:tc>
      </w:tr>
      <w:tr w14:paraId="429AE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1408" w:type="dxa"/>
            <w:vAlign w:val="center"/>
          </w:tcPr>
          <w:p w14:paraId="4C277E07">
            <w:pPr>
              <w:autoSpaceDE w:val="0"/>
              <w:autoSpaceDN w:val="0"/>
              <w:adjustRightInd w:val="0"/>
              <w:snapToGrid w:val="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规划及规划环境影响评价符合性分析</w:t>
            </w:r>
          </w:p>
        </w:tc>
        <w:tc>
          <w:tcPr>
            <w:tcW w:w="8210" w:type="dxa"/>
            <w:gridSpan w:val="3"/>
            <w:vAlign w:val="center"/>
          </w:tcPr>
          <w:p w14:paraId="179BC86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本项目与《淄博市</w:t>
            </w:r>
            <w:r>
              <w:rPr>
                <w:rFonts w:hint="eastAsia" w:cs="Times New Roman"/>
                <w:color w:val="auto"/>
                <w:sz w:val="21"/>
                <w:szCs w:val="21"/>
                <w:lang w:eastAsia="zh-CN"/>
              </w:rPr>
              <w:t>淄川区昆仑镇国土空间规划</w:t>
            </w:r>
            <w:r>
              <w:rPr>
                <w:rFonts w:hint="default" w:ascii="Times New Roman" w:hAnsi="Times New Roman" w:cs="Times New Roman"/>
                <w:color w:val="auto"/>
                <w:sz w:val="21"/>
                <w:szCs w:val="21"/>
              </w:rPr>
              <w:t>（202</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-2035年）》符合性分析</w:t>
            </w:r>
          </w:p>
          <w:p w14:paraId="732F65AA">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表1-</w:t>
            </w:r>
            <w:r>
              <w:rPr>
                <w:rFonts w:hint="default" w:ascii="Times New Roman" w:hAnsi="Times New Roman" w:eastAsia="黑体" w:cs="Times New Roman"/>
                <w:color w:val="auto"/>
                <w:kern w:val="0"/>
                <w:sz w:val="21"/>
                <w:szCs w:val="21"/>
                <w:lang w:val="en-US" w:eastAsia="zh-CN"/>
              </w:rPr>
              <w:t>1</w:t>
            </w:r>
            <w:r>
              <w:rPr>
                <w:rFonts w:hint="default" w:ascii="Times New Roman" w:hAnsi="Times New Roman" w:eastAsia="黑体" w:cs="Times New Roman"/>
                <w:color w:val="auto"/>
                <w:kern w:val="0"/>
                <w:sz w:val="21"/>
                <w:szCs w:val="21"/>
              </w:rPr>
              <w:t xml:space="preserve"> 本项目与《淄博市</w:t>
            </w:r>
            <w:r>
              <w:rPr>
                <w:rFonts w:hint="eastAsia" w:eastAsia="黑体" w:cs="Times New Roman"/>
                <w:color w:val="auto"/>
                <w:kern w:val="0"/>
                <w:sz w:val="21"/>
                <w:szCs w:val="21"/>
                <w:lang w:eastAsia="zh-CN"/>
              </w:rPr>
              <w:t>淄川区昆仑镇国土空间规划</w:t>
            </w:r>
            <w:r>
              <w:rPr>
                <w:rFonts w:hint="default" w:ascii="Times New Roman" w:hAnsi="Times New Roman" w:eastAsia="黑体" w:cs="Times New Roman"/>
                <w:color w:val="auto"/>
                <w:kern w:val="0"/>
                <w:sz w:val="21"/>
                <w:szCs w:val="21"/>
              </w:rPr>
              <w:t>（202</w:t>
            </w:r>
            <w:r>
              <w:rPr>
                <w:rFonts w:hint="default" w:ascii="Times New Roman" w:hAnsi="Times New Roman" w:eastAsia="黑体" w:cs="Times New Roman"/>
                <w:color w:val="auto"/>
                <w:kern w:val="0"/>
                <w:sz w:val="21"/>
                <w:szCs w:val="21"/>
                <w:lang w:val="en-US" w:eastAsia="zh-CN"/>
              </w:rPr>
              <w:t>1</w:t>
            </w:r>
            <w:r>
              <w:rPr>
                <w:rFonts w:hint="default" w:ascii="Times New Roman" w:hAnsi="Times New Roman" w:eastAsia="黑体" w:cs="Times New Roman"/>
                <w:color w:val="auto"/>
                <w:kern w:val="0"/>
                <w:sz w:val="21"/>
                <w:szCs w:val="21"/>
              </w:rPr>
              <w:t>-2035年）》符合性分析</w:t>
            </w:r>
          </w:p>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4017"/>
              <w:gridCol w:w="3004"/>
            </w:tblGrid>
            <w:tr w14:paraId="764F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45410AD2">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规划</w:t>
                  </w:r>
                </w:p>
              </w:tc>
              <w:tc>
                <w:tcPr>
                  <w:tcW w:w="3361" w:type="dxa"/>
                  <w:tcBorders>
                    <w:top w:val="single" w:color="auto" w:sz="4" w:space="0"/>
                    <w:left w:val="nil"/>
                    <w:bottom w:val="single" w:color="auto" w:sz="4" w:space="0"/>
                    <w:right w:val="single" w:color="auto" w:sz="4" w:space="0"/>
                  </w:tcBorders>
                  <w:noWrap w:val="0"/>
                  <w:vAlign w:val="center"/>
                </w:tcPr>
                <w:p w14:paraId="3FF3C9A2">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规划要求</w:t>
                  </w:r>
                </w:p>
              </w:tc>
              <w:tc>
                <w:tcPr>
                  <w:tcW w:w="2513" w:type="dxa"/>
                  <w:tcBorders>
                    <w:top w:val="single" w:color="auto" w:sz="4" w:space="0"/>
                    <w:left w:val="nil"/>
                    <w:bottom w:val="single" w:color="auto" w:sz="4" w:space="0"/>
                    <w:right w:val="single" w:color="auto" w:sz="4" w:space="0"/>
                  </w:tcBorders>
                  <w:noWrap w:val="0"/>
                  <w:vAlign w:val="center"/>
                </w:tcPr>
                <w:p w14:paraId="6BBAD918">
                  <w:pPr>
                    <w:jc w:val="center"/>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符合性分析</w:t>
                  </w:r>
                </w:p>
              </w:tc>
            </w:tr>
            <w:tr w14:paraId="337A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01505DFD">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科学划定生态保护红线</w:t>
                  </w:r>
                </w:p>
              </w:tc>
              <w:tc>
                <w:tcPr>
                  <w:tcW w:w="3361" w:type="dxa"/>
                  <w:tcBorders>
                    <w:top w:val="single" w:color="auto" w:sz="4" w:space="0"/>
                    <w:left w:val="nil"/>
                    <w:bottom w:val="single" w:color="auto" w:sz="4" w:space="0"/>
                    <w:right w:val="single" w:color="auto" w:sz="4" w:space="0"/>
                  </w:tcBorders>
                  <w:noWrap w:val="0"/>
                  <w:vAlign w:val="center"/>
                </w:tcPr>
                <w:p w14:paraId="3C170FDD">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将生态功能极重要区域、生态极脆弱区域、具有潜在重要生态价值的区域划入生态保护红线，规范管控人为活动。确保至2035年全镇生态保护红线面积不少于1402.45公顷。</w:t>
                  </w:r>
                </w:p>
              </w:tc>
              <w:tc>
                <w:tcPr>
                  <w:tcW w:w="2513" w:type="dxa"/>
                  <w:tcBorders>
                    <w:top w:val="single" w:color="auto" w:sz="4" w:space="0"/>
                    <w:left w:val="nil"/>
                    <w:bottom w:val="single" w:color="auto" w:sz="4" w:space="0"/>
                    <w:right w:val="single" w:color="auto" w:sz="4" w:space="0"/>
                  </w:tcBorders>
                  <w:noWrap w:val="0"/>
                  <w:vAlign w:val="center"/>
                </w:tcPr>
                <w:p w14:paraId="47092D7A">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根据《淄博市</w:t>
                  </w:r>
                  <w:r>
                    <w:rPr>
                      <w:rFonts w:hint="eastAsia" w:cs="Times New Roman"/>
                      <w:color w:val="auto"/>
                      <w:sz w:val="18"/>
                      <w:szCs w:val="18"/>
                      <w:lang w:eastAsia="zh-CN"/>
                    </w:rPr>
                    <w:t>淄川区昆仑镇国土空间规划</w:t>
                  </w:r>
                  <w:r>
                    <w:rPr>
                      <w:rFonts w:hint="default" w:ascii="Times New Roman" w:hAnsi="Times New Roman" w:eastAsia="宋体" w:cs="Times New Roman"/>
                      <w:color w:val="auto"/>
                      <w:sz w:val="18"/>
                      <w:szCs w:val="18"/>
                    </w:rPr>
                    <w:t>（202</w:t>
                  </w: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-2035年）》，本项目用地属于</w:t>
                  </w:r>
                  <w:r>
                    <w:rPr>
                      <w:rFonts w:hint="default" w:ascii="Times New Roman" w:hAnsi="Times New Roman" w:eastAsia="宋体" w:cs="Times New Roman"/>
                      <w:color w:val="auto"/>
                      <w:sz w:val="18"/>
                      <w:szCs w:val="18"/>
                      <w:lang w:val="en-US" w:eastAsia="zh-CN"/>
                    </w:rPr>
                    <w:t>工矿</w:t>
                  </w:r>
                  <w:r>
                    <w:rPr>
                      <w:rFonts w:hint="default" w:ascii="Times New Roman" w:hAnsi="Times New Roman" w:eastAsia="宋体" w:cs="Times New Roman"/>
                      <w:color w:val="auto"/>
                      <w:sz w:val="18"/>
                      <w:szCs w:val="18"/>
                    </w:rPr>
                    <w:t>用地，不</w:t>
                  </w:r>
                  <w:r>
                    <w:rPr>
                      <w:rFonts w:hint="default" w:ascii="Times New Roman" w:hAnsi="Times New Roman" w:eastAsia="宋体" w:cs="Times New Roman"/>
                      <w:color w:val="auto"/>
                      <w:sz w:val="18"/>
                      <w:szCs w:val="18"/>
                      <w:lang w:eastAsia="zh-CN"/>
                    </w:rPr>
                    <w:t>属于</w:t>
                  </w:r>
                  <w:r>
                    <w:rPr>
                      <w:rFonts w:hint="default" w:ascii="Times New Roman" w:hAnsi="Times New Roman" w:eastAsia="宋体" w:cs="Times New Roman"/>
                      <w:color w:val="auto"/>
                      <w:sz w:val="18"/>
                      <w:szCs w:val="18"/>
                    </w:rPr>
                    <w:t>生态保护红线</w:t>
                  </w:r>
                  <w:r>
                    <w:rPr>
                      <w:rFonts w:hint="default" w:ascii="Times New Roman" w:hAnsi="Times New Roman" w:eastAsia="宋体" w:cs="Times New Roman"/>
                      <w:color w:val="auto"/>
                      <w:sz w:val="18"/>
                      <w:szCs w:val="18"/>
                      <w:lang w:eastAsia="zh-CN"/>
                    </w:rPr>
                    <w:t>范围内</w:t>
                  </w:r>
                  <w:r>
                    <w:rPr>
                      <w:rFonts w:hint="default" w:ascii="Times New Roman" w:hAnsi="Times New Roman" w:eastAsia="宋体" w:cs="Times New Roman"/>
                      <w:color w:val="auto"/>
                      <w:sz w:val="18"/>
                      <w:szCs w:val="18"/>
                    </w:rPr>
                    <w:t>，符合规划。</w:t>
                  </w:r>
                </w:p>
              </w:tc>
            </w:tr>
            <w:tr w14:paraId="6C11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67DEA0C8">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优先划定永久基本农田</w:t>
                  </w:r>
                </w:p>
              </w:tc>
              <w:tc>
                <w:tcPr>
                  <w:tcW w:w="3361" w:type="dxa"/>
                  <w:tcBorders>
                    <w:top w:val="single" w:color="auto" w:sz="4" w:space="0"/>
                    <w:left w:val="nil"/>
                    <w:bottom w:val="single" w:color="auto" w:sz="4" w:space="0"/>
                    <w:right w:val="single" w:color="auto" w:sz="4" w:space="0"/>
                  </w:tcBorders>
                  <w:noWrap w:val="0"/>
                  <w:vAlign w:val="center"/>
                </w:tcPr>
                <w:p w14:paraId="69AEDB24">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实施最严格的耕地保护制度。确保至2035年全镇永久基本农田保护面积不低于2.93万亩，对永久基本农田实行特殊保护，未经批准不得擅自占用或改变用途，保障国家粮食安全和重要农产品供给。</w:t>
                  </w:r>
                </w:p>
              </w:tc>
              <w:tc>
                <w:tcPr>
                  <w:tcW w:w="2513" w:type="dxa"/>
                  <w:tcBorders>
                    <w:top w:val="single" w:color="auto" w:sz="4" w:space="0"/>
                    <w:left w:val="nil"/>
                    <w:bottom w:val="single" w:color="auto" w:sz="4" w:space="0"/>
                    <w:right w:val="single" w:color="auto" w:sz="4" w:space="0"/>
                  </w:tcBorders>
                  <w:noWrap w:val="0"/>
                  <w:vAlign w:val="center"/>
                </w:tcPr>
                <w:p w14:paraId="618E1E6D">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根据《淄博市</w:t>
                  </w:r>
                  <w:r>
                    <w:rPr>
                      <w:rFonts w:hint="eastAsia" w:cs="Times New Roman"/>
                      <w:color w:val="auto"/>
                      <w:sz w:val="18"/>
                      <w:szCs w:val="18"/>
                      <w:lang w:eastAsia="zh-CN"/>
                    </w:rPr>
                    <w:t>淄川区昆仑镇国土空间规划</w:t>
                  </w:r>
                  <w:r>
                    <w:rPr>
                      <w:rFonts w:hint="default" w:ascii="Times New Roman" w:hAnsi="Times New Roman" w:eastAsia="宋体" w:cs="Times New Roman"/>
                      <w:color w:val="auto"/>
                      <w:sz w:val="18"/>
                      <w:szCs w:val="18"/>
                    </w:rPr>
                    <w:t>（202</w:t>
                  </w: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-2035年）》，本项目用地属于</w:t>
                  </w:r>
                  <w:r>
                    <w:rPr>
                      <w:rFonts w:hint="default" w:ascii="Times New Roman" w:hAnsi="Times New Roman" w:eastAsia="宋体" w:cs="Times New Roman"/>
                      <w:color w:val="auto"/>
                      <w:sz w:val="18"/>
                      <w:szCs w:val="18"/>
                      <w:lang w:val="en-US" w:eastAsia="zh-CN"/>
                    </w:rPr>
                    <w:t>工矿</w:t>
                  </w:r>
                  <w:r>
                    <w:rPr>
                      <w:rFonts w:hint="default" w:ascii="Times New Roman" w:hAnsi="Times New Roman" w:eastAsia="宋体" w:cs="Times New Roman"/>
                      <w:color w:val="auto"/>
                      <w:sz w:val="18"/>
                      <w:szCs w:val="18"/>
                    </w:rPr>
                    <w:t>用地，不</w:t>
                  </w:r>
                  <w:r>
                    <w:rPr>
                      <w:rFonts w:hint="default" w:ascii="Times New Roman" w:hAnsi="Times New Roman" w:eastAsia="宋体" w:cs="Times New Roman"/>
                      <w:color w:val="auto"/>
                      <w:sz w:val="18"/>
                      <w:szCs w:val="18"/>
                      <w:lang w:eastAsia="zh-CN"/>
                    </w:rPr>
                    <w:t>占用</w:t>
                  </w:r>
                  <w:r>
                    <w:rPr>
                      <w:rFonts w:hint="default" w:ascii="Times New Roman" w:hAnsi="Times New Roman" w:eastAsia="宋体" w:cs="Times New Roman"/>
                      <w:color w:val="auto"/>
                      <w:sz w:val="18"/>
                      <w:szCs w:val="18"/>
                    </w:rPr>
                    <w:t>永久基本农田，符合规划。</w:t>
                  </w:r>
                </w:p>
              </w:tc>
            </w:tr>
            <w:tr w14:paraId="18BC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8" w:type="dxa"/>
                  <w:tcBorders>
                    <w:top w:val="single" w:color="auto" w:sz="4" w:space="0"/>
                    <w:left w:val="single" w:color="auto" w:sz="4" w:space="0"/>
                    <w:right w:val="single" w:color="auto" w:sz="4" w:space="0"/>
                  </w:tcBorders>
                  <w:noWrap w:val="0"/>
                  <w:vAlign w:val="center"/>
                </w:tcPr>
                <w:p w14:paraId="7135BE3D">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镇区规划</w:t>
                  </w:r>
                </w:p>
              </w:tc>
              <w:tc>
                <w:tcPr>
                  <w:tcW w:w="3361" w:type="dxa"/>
                  <w:tcBorders>
                    <w:top w:val="single" w:color="auto" w:sz="4" w:space="0"/>
                    <w:left w:val="nil"/>
                    <w:bottom w:val="single" w:color="auto" w:sz="4" w:space="0"/>
                    <w:right w:val="single" w:color="auto" w:sz="4" w:space="0"/>
                  </w:tcBorders>
                  <w:noWrap w:val="0"/>
                  <w:vAlign w:val="center"/>
                </w:tcPr>
                <w:p w14:paraId="0F163E18">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对镇区用地进行布局优化，重点调整居住用地、商业服务业设施用地、公共管理与公共服务用地、工业用地、物流仓储用地、交通运输用地等用地；规划调整镇区现有公共服务设施，重点以教育、医疗卫生、社会福利为主；完善给排水、燃气、热力、环卫、电力电信设施建设。</w:t>
                  </w:r>
                </w:p>
              </w:tc>
              <w:tc>
                <w:tcPr>
                  <w:tcW w:w="2513" w:type="dxa"/>
                  <w:tcBorders>
                    <w:top w:val="single" w:color="auto" w:sz="4" w:space="0"/>
                    <w:left w:val="nil"/>
                    <w:bottom w:val="single" w:color="auto" w:sz="4" w:space="0"/>
                    <w:right w:val="single" w:color="auto" w:sz="4" w:space="0"/>
                  </w:tcBorders>
                  <w:noWrap w:val="0"/>
                  <w:vAlign w:val="center"/>
                </w:tcPr>
                <w:p w14:paraId="0EF1516F">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根据《淄博市</w:t>
                  </w:r>
                  <w:r>
                    <w:rPr>
                      <w:rFonts w:hint="eastAsia" w:cs="Times New Roman"/>
                      <w:color w:val="auto"/>
                      <w:sz w:val="18"/>
                      <w:szCs w:val="18"/>
                      <w:lang w:eastAsia="zh-CN"/>
                    </w:rPr>
                    <w:t>淄川区昆仑镇国土空间规划</w:t>
                  </w:r>
                  <w:r>
                    <w:rPr>
                      <w:rFonts w:hint="default" w:ascii="Times New Roman" w:hAnsi="Times New Roman" w:eastAsia="宋体" w:cs="Times New Roman"/>
                      <w:color w:val="auto"/>
                      <w:sz w:val="18"/>
                      <w:szCs w:val="18"/>
                    </w:rPr>
                    <w:t>（202</w:t>
                  </w: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-2035年）》，本项目用地属于</w:t>
                  </w:r>
                  <w:r>
                    <w:rPr>
                      <w:rFonts w:hint="default" w:ascii="Times New Roman" w:hAnsi="Times New Roman" w:eastAsia="宋体" w:cs="Times New Roman"/>
                      <w:color w:val="auto"/>
                      <w:sz w:val="18"/>
                      <w:szCs w:val="18"/>
                      <w:lang w:val="en-US" w:eastAsia="zh-CN"/>
                    </w:rPr>
                    <w:t>工矿</w:t>
                  </w:r>
                  <w:r>
                    <w:rPr>
                      <w:rFonts w:hint="default" w:ascii="Times New Roman" w:hAnsi="Times New Roman" w:eastAsia="宋体" w:cs="Times New Roman"/>
                      <w:color w:val="auto"/>
                      <w:sz w:val="18"/>
                      <w:szCs w:val="18"/>
                    </w:rPr>
                    <w:t>用地，符合规划。</w:t>
                  </w:r>
                </w:p>
              </w:tc>
            </w:tr>
          </w:tbl>
          <w:p w14:paraId="55BC2CB2">
            <w:pPr>
              <w:pStyle w:val="85"/>
              <w:spacing w:after="0" w:line="360" w:lineRule="auto"/>
              <w:ind w:left="0" w:leftChars="0" w:firstLine="480"/>
              <w:rPr>
                <w:rFonts w:hint="default" w:ascii="Times New Roman" w:hAnsi="Times New Roman" w:cs="Times New Roman" w:eastAsiaTheme="minorEastAsia"/>
                <w:color w:val="auto"/>
                <w:szCs w:val="21"/>
              </w:rPr>
            </w:pPr>
            <w:r>
              <w:rPr>
                <w:rFonts w:hint="default" w:ascii="Times New Roman" w:hAnsi="Times New Roman" w:cs="Times New Roman"/>
                <w:color w:val="auto"/>
                <w:kern w:val="0"/>
                <w:sz w:val="21"/>
                <w:szCs w:val="21"/>
              </w:rPr>
              <w:t>由上表可见，项目符合</w:t>
            </w:r>
            <w:r>
              <w:rPr>
                <w:rFonts w:hint="default" w:ascii="Times New Roman" w:hAnsi="Times New Roman" w:cs="Times New Roman"/>
                <w:color w:val="auto"/>
                <w:sz w:val="21"/>
                <w:szCs w:val="21"/>
              </w:rPr>
              <w:t>《淄博市</w:t>
            </w:r>
            <w:r>
              <w:rPr>
                <w:rFonts w:hint="eastAsia" w:cs="Times New Roman"/>
                <w:color w:val="auto"/>
                <w:sz w:val="21"/>
                <w:szCs w:val="21"/>
                <w:lang w:eastAsia="zh-CN"/>
              </w:rPr>
              <w:t>淄川区昆仑镇国土空间规划</w:t>
            </w:r>
            <w:r>
              <w:rPr>
                <w:rFonts w:hint="default" w:ascii="Times New Roman" w:hAnsi="Times New Roman" w:cs="Times New Roman"/>
                <w:color w:val="auto"/>
                <w:sz w:val="21"/>
                <w:szCs w:val="21"/>
              </w:rPr>
              <w:t>（202</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-2035年）》</w:t>
            </w:r>
            <w:r>
              <w:rPr>
                <w:rFonts w:hint="default" w:ascii="Times New Roman" w:hAnsi="Times New Roman" w:cs="Times New Roman"/>
                <w:color w:val="auto"/>
                <w:kern w:val="0"/>
                <w:sz w:val="21"/>
                <w:szCs w:val="21"/>
              </w:rPr>
              <w:t>要求。</w:t>
            </w:r>
          </w:p>
        </w:tc>
      </w:tr>
      <w:tr w14:paraId="1DBEF9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408" w:type="dxa"/>
            <w:tcBorders>
              <w:bottom w:val="single" w:color="auto" w:sz="8" w:space="0"/>
            </w:tcBorders>
            <w:vAlign w:val="center"/>
          </w:tcPr>
          <w:p w14:paraId="7B1EECB4">
            <w:pPr>
              <w:autoSpaceDE w:val="0"/>
              <w:autoSpaceDN w:val="0"/>
              <w:adjustRightInd w:val="0"/>
              <w:snapToGrid w:val="0"/>
              <w:jc w:val="center"/>
              <w:rPr>
                <w:rFonts w:hint="default" w:ascii="Times New Roman" w:hAnsi="Times New Roman" w:cs="Times New Roman"/>
                <w:color w:val="FF0000"/>
                <w:kern w:val="0"/>
                <w:szCs w:val="21"/>
              </w:rPr>
            </w:pPr>
            <w:r>
              <w:rPr>
                <w:rFonts w:hint="default" w:ascii="Times New Roman" w:hAnsi="Times New Roman" w:cs="Times New Roman"/>
                <w:color w:val="auto"/>
                <w:kern w:val="0"/>
                <w:szCs w:val="21"/>
              </w:rPr>
              <w:t>其他符合性分析</w:t>
            </w:r>
          </w:p>
        </w:tc>
        <w:tc>
          <w:tcPr>
            <w:tcW w:w="8210" w:type="dxa"/>
            <w:gridSpan w:val="3"/>
            <w:tcBorders>
              <w:bottom w:val="single" w:color="auto" w:sz="8" w:space="0"/>
            </w:tcBorders>
            <w:vAlign w:val="center"/>
          </w:tcPr>
          <w:p w14:paraId="13C32C46">
            <w:pPr>
              <w:autoSpaceDE w:val="0"/>
              <w:autoSpaceDN w:val="0"/>
              <w:adjustRightInd w:val="0"/>
              <w:spacing w:line="360" w:lineRule="auto"/>
              <w:ind w:firstLine="210" w:firstLineChars="100"/>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一、“生态环境分区管控”符合性分析</w:t>
            </w:r>
          </w:p>
          <w:p w14:paraId="480DA2A6">
            <w:pPr>
              <w:autoSpaceDE w:val="0"/>
              <w:autoSpaceDN w:val="0"/>
              <w:adjustRightInd w:val="0"/>
              <w:snapToGrid w:val="0"/>
              <w:spacing w:line="360" w:lineRule="auto"/>
              <w:ind w:firstLine="420" w:firstLineChars="200"/>
              <w:rPr>
                <w:rFonts w:hint="default" w:ascii="Times New Roman" w:hAnsi="Times New Roman" w:cs="Times New Roman"/>
                <w:bCs/>
                <w:color w:val="auto"/>
                <w:highlight w:val="none"/>
                <w:lang w:eastAsia="zh-CN"/>
              </w:rPr>
            </w:pPr>
            <w:r>
              <w:rPr>
                <w:rFonts w:hint="default" w:ascii="Times New Roman" w:hAnsi="Times New Roman" w:cs="Times New Roman"/>
                <w:bCs/>
                <w:color w:val="auto"/>
                <w:highlight w:val="none"/>
                <w:lang w:eastAsia="zh-CN"/>
              </w:rPr>
              <w:t>根据生态环境部于2024年7月6日发布的《关于印发&lt;生态环境分区管控管理暂行规定&gt;的通知》（环环评[2024]41号），本项目符合性分析如下：</w:t>
            </w:r>
          </w:p>
          <w:p w14:paraId="3A1F9C37">
            <w:pPr>
              <w:autoSpaceDE w:val="0"/>
              <w:autoSpaceDN w:val="0"/>
              <w:adjustRightInd w:val="0"/>
              <w:snapToGrid w:val="0"/>
              <w:spacing w:line="360" w:lineRule="auto"/>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1、生态保护红线：</w:t>
            </w:r>
          </w:p>
          <w:p w14:paraId="7DA72C8A">
            <w:pPr>
              <w:autoSpaceDE w:val="0"/>
              <w:autoSpaceDN w:val="0"/>
              <w:adjustRightInd w:val="0"/>
              <w:snapToGrid w:val="0"/>
              <w:spacing w:line="360" w:lineRule="auto"/>
              <w:ind w:firstLine="420" w:firstLineChars="200"/>
              <w:rPr>
                <w:rFonts w:hint="default" w:ascii="Times New Roman" w:hAnsi="Times New Roman" w:cs="Times New Roman" w:eastAsiaTheme="minorEastAsia"/>
                <w:bCs/>
                <w:color w:val="auto"/>
                <w:szCs w:val="21"/>
              </w:rPr>
            </w:pPr>
            <w:r>
              <w:rPr>
                <w:rFonts w:hint="default" w:ascii="Times New Roman" w:hAnsi="Times New Roman" w:cs="Times New Roman"/>
                <w:b w:val="0"/>
                <w:bCs/>
                <w:color w:val="auto"/>
                <w:highlight w:val="none"/>
                <w:lang w:val="en-US" w:eastAsia="zh-CN"/>
              </w:rPr>
              <w:t>根据附图3淄博市国土空间总体规划（2021-2035年）-市域国土空间控制线规划图可知，项目不在生态红线范围内</w:t>
            </w:r>
            <w:r>
              <w:rPr>
                <w:rFonts w:hint="default" w:ascii="Times New Roman" w:hAnsi="Times New Roman" w:cs="Times New Roman" w:eastAsiaTheme="minorEastAsia"/>
                <w:bCs/>
                <w:color w:val="auto"/>
                <w:szCs w:val="21"/>
              </w:rPr>
              <w:t>。</w:t>
            </w:r>
          </w:p>
          <w:p w14:paraId="6353B1E7">
            <w:pPr>
              <w:autoSpaceDE w:val="0"/>
              <w:autoSpaceDN w:val="0"/>
              <w:adjustRightInd w:val="0"/>
              <w:snapToGrid w:val="0"/>
              <w:spacing w:line="360" w:lineRule="auto"/>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2、资源利用上线</w:t>
            </w:r>
          </w:p>
          <w:p w14:paraId="43671929">
            <w:pPr>
              <w:autoSpaceDE w:val="0"/>
              <w:autoSpaceDN w:val="0"/>
              <w:adjustRightInd w:val="0"/>
              <w:snapToGrid w:val="0"/>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rPr>
              <w:t>自然资源利用上线也称</w:t>
            </w:r>
            <w:r>
              <w:rPr>
                <w:rFonts w:hint="default" w:ascii="Times New Roman" w:hAnsi="Times New Roman" w:cs="Times New Roman"/>
                <w:bCs/>
                <w:color w:val="auto"/>
                <w:szCs w:val="21"/>
                <w:highlight w:val="none"/>
              </w:rPr>
              <w:t>资源利用红线。资源利用上线是指为促进资源能源节约，保障能源、水、土地等资源安全利用和高效利用的最高和最低要求。本项目总投资</w:t>
            </w:r>
            <w:r>
              <w:rPr>
                <w:rFonts w:hint="eastAsia" w:cs="Times New Roman"/>
                <w:bCs/>
                <w:color w:val="auto"/>
                <w:szCs w:val="21"/>
                <w:highlight w:val="none"/>
                <w:lang w:val="en-US" w:eastAsia="zh-CN"/>
              </w:rPr>
              <w:t>500</w:t>
            </w:r>
            <w:r>
              <w:rPr>
                <w:rFonts w:hint="default" w:ascii="Times New Roman" w:hAnsi="Times New Roman" w:cs="Times New Roman"/>
                <w:bCs/>
                <w:color w:val="auto"/>
                <w:szCs w:val="21"/>
                <w:highlight w:val="none"/>
              </w:rPr>
              <w:t>万元，运营过程中新增电力</w:t>
            </w:r>
            <w:r>
              <w:rPr>
                <w:rFonts w:hint="eastAsia" w:cs="Times New Roman"/>
                <w:bCs/>
                <w:color w:val="auto"/>
                <w:szCs w:val="21"/>
                <w:highlight w:val="none"/>
                <w:lang w:val="en-US" w:eastAsia="zh-CN"/>
              </w:rPr>
              <w:t>10</w:t>
            </w:r>
            <w:r>
              <w:rPr>
                <w:rFonts w:hint="default" w:ascii="Times New Roman" w:hAnsi="Times New Roman" w:cs="Times New Roman"/>
                <w:bCs/>
                <w:color w:val="auto"/>
                <w:szCs w:val="21"/>
                <w:highlight w:val="none"/>
                <w:lang w:val="en-US" w:eastAsia="zh-CN"/>
              </w:rPr>
              <w:t>0</w:t>
            </w:r>
            <w:r>
              <w:rPr>
                <w:rFonts w:hint="default" w:ascii="Times New Roman" w:hAnsi="Times New Roman" w:cs="Times New Roman"/>
                <w:bCs/>
                <w:color w:val="auto"/>
                <w:szCs w:val="21"/>
                <w:highlight w:val="none"/>
              </w:rPr>
              <w:t>万kWh/a，新增</w:t>
            </w:r>
            <w:r>
              <w:rPr>
                <w:rFonts w:hint="default" w:ascii="Times New Roman" w:hAnsi="Times New Roman" w:cs="Times New Roman"/>
                <w:color w:val="auto"/>
                <w:highlight w:val="none"/>
              </w:rPr>
              <w:t>消耗水资源</w:t>
            </w:r>
            <w:r>
              <w:rPr>
                <w:rFonts w:hint="eastAsia" w:cs="Times New Roman"/>
                <w:color w:val="auto"/>
                <w:highlight w:val="none"/>
                <w:lang w:val="en-US" w:eastAsia="zh-CN"/>
              </w:rPr>
              <w:t>228</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/a，不使用煤炭等能源</w:t>
            </w:r>
            <w:r>
              <w:rPr>
                <w:rFonts w:hint="default" w:ascii="Times New Roman" w:hAnsi="Times New Roman" w:cs="Times New Roman"/>
                <w:bCs/>
                <w:color w:val="auto"/>
                <w:szCs w:val="21"/>
                <w:highlight w:val="none"/>
              </w:rPr>
              <w:t>。本项目相对区域资源利用总量较少，符合资源利用上线要求。</w:t>
            </w:r>
          </w:p>
          <w:p w14:paraId="441496A5">
            <w:pPr>
              <w:autoSpaceDE w:val="0"/>
              <w:autoSpaceDN w:val="0"/>
              <w:adjustRightInd w:val="0"/>
              <w:snapToGrid w:val="0"/>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3、环境质量底线</w:t>
            </w:r>
          </w:p>
          <w:p w14:paraId="5856B7FA">
            <w:pPr>
              <w:autoSpaceDE w:val="0"/>
              <w:autoSpaceDN w:val="0"/>
              <w:adjustRightInd w:val="0"/>
              <w:snapToGrid w:val="0"/>
              <w:spacing w:line="360" w:lineRule="auto"/>
              <w:ind w:firstLine="420" w:firstLineChars="200"/>
              <w:rPr>
                <w:rFonts w:hint="default" w:ascii="Times New Roman" w:hAnsi="Times New Roman" w:cs="Times New Roman" w:eastAsiaTheme="minorEastAsia"/>
                <w:bCs/>
                <w:color w:val="auto"/>
                <w:szCs w:val="21"/>
                <w:highlight w:val="none"/>
              </w:rPr>
            </w:pPr>
            <w:r>
              <w:rPr>
                <w:rFonts w:hint="default" w:ascii="Times New Roman" w:hAnsi="Times New Roman" w:cs="Times New Roman"/>
                <w:bCs/>
                <w:color w:val="auto"/>
              </w:rPr>
              <w:t>环境质量底线是指国家和地方设置的大气、水和土壤环境质量目标，也是改善环境质量的基准线。本项目所在地淄川区环境空气不满足</w:t>
            </w:r>
            <w:r>
              <w:rPr>
                <w:rFonts w:hint="default" w:ascii="Times New Roman" w:hAnsi="Times New Roman" w:cs="Times New Roman"/>
                <w:color w:val="auto"/>
              </w:rPr>
              <w:t>《环境空气质量标准》（GB3095-2012）及修改单中的二级标准</w:t>
            </w:r>
            <w:r>
              <w:rPr>
                <w:rFonts w:hint="default" w:ascii="Times New Roman" w:hAnsi="Times New Roman" w:cs="Times New Roman"/>
                <w:bCs/>
                <w:color w:val="auto"/>
              </w:rPr>
              <w:t>，声环境质量满足</w:t>
            </w:r>
            <w:r>
              <w:rPr>
                <w:rFonts w:hint="default" w:ascii="Times New Roman" w:hAnsi="Times New Roman" w:cs="Times New Roman"/>
                <w:color w:val="auto"/>
                <w:highlight w:val="none"/>
              </w:rPr>
              <w:t>《声环境质量标准》（GB3096-2008）中的2类区标准，</w:t>
            </w:r>
            <w:r>
              <w:rPr>
                <w:rFonts w:hint="default" w:ascii="Times New Roman" w:hAnsi="Times New Roman" w:cs="Times New Roman"/>
                <w:bCs/>
                <w:color w:val="auto"/>
                <w:highlight w:val="none"/>
              </w:rPr>
              <w:t>地表水质量满足</w:t>
            </w:r>
            <w:r>
              <w:rPr>
                <w:rFonts w:hint="default" w:ascii="Times New Roman" w:hAnsi="Times New Roman" w:cs="Times New Roman"/>
                <w:color w:val="auto"/>
                <w:highlight w:val="none"/>
              </w:rPr>
              <w:t>《地表水环境质量标准》（GB3838-2002）中V类标准</w:t>
            </w:r>
            <w:r>
              <w:rPr>
                <w:rFonts w:hint="default" w:ascii="Times New Roman" w:hAnsi="Times New Roman" w:cs="Times New Roman"/>
                <w:bCs/>
                <w:color w:val="auto"/>
                <w:highlight w:val="none"/>
              </w:rPr>
              <w:t>；地下水满足</w:t>
            </w:r>
            <w:r>
              <w:rPr>
                <w:rFonts w:hint="default" w:ascii="Times New Roman" w:hAnsi="Times New Roman" w:cs="Times New Roman"/>
                <w:color w:val="auto"/>
                <w:highlight w:val="none"/>
              </w:rPr>
              <w:t>《地下水质量标准》（GB/T14848-2017）Ⅲ类标准</w:t>
            </w:r>
            <w:r>
              <w:rPr>
                <w:rFonts w:hint="default" w:ascii="Times New Roman" w:hAnsi="Times New Roman" w:cs="Times New Roman" w:eastAsiaTheme="minorEastAsia"/>
                <w:bCs/>
                <w:color w:val="auto"/>
                <w:szCs w:val="21"/>
                <w:highlight w:val="none"/>
              </w:rPr>
              <w:t>。</w:t>
            </w:r>
          </w:p>
          <w:p w14:paraId="173AC75D">
            <w:pPr>
              <w:autoSpaceDE w:val="0"/>
              <w:autoSpaceDN w:val="0"/>
              <w:adjustRightInd w:val="0"/>
              <w:snapToGrid w:val="0"/>
              <w:spacing w:line="360" w:lineRule="auto"/>
              <w:ind w:firstLine="420" w:firstLineChars="200"/>
              <w:rPr>
                <w:rFonts w:hint="default" w:ascii="Times New Roman" w:hAnsi="Times New Roman" w:cs="Times New Roman" w:eastAsiaTheme="minorEastAsia"/>
                <w:color w:val="auto"/>
                <w:kern w:val="0"/>
                <w:szCs w:val="21"/>
                <w:lang w:val="zh-CN"/>
              </w:rPr>
            </w:pPr>
            <w:r>
              <w:rPr>
                <w:rFonts w:hint="default" w:ascii="Times New Roman" w:hAnsi="Times New Roman" w:cs="Times New Roman" w:eastAsiaTheme="minorEastAsia"/>
                <w:color w:val="auto"/>
                <w:kern w:val="0"/>
                <w:szCs w:val="21"/>
                <w:highlight w:val="none"/>
                <w:lang w:val="en-US" w:eastAsia="zh-CN"/>
              </w:rPr>
              <w:t>本项目新增废水为生活污水，生活污水经化粪池处理后由环卫部门定期清运，</w:t>
            </w:r>
            <w:r>
              <w:rPr>
                <w:rFonts w:hint="default" w:ascii="Times New Roman" w:hAnsi="Times New Roman" w:cs="Times New Roman" w:eastAsiaTheme="minorEastAsia"/>
                <w:color w:val="auto"/>
                <w:kern w:val="0"/>
                <w:szCs w:val="21"/>
                <w:highlight w:val="none"/>
                <w:lang w:val="zh-CN"/>
              </w:rPr>
              <w:t>对地表水环境现状影响较小。项目各工序废气收集后引入废气处理装置处理后达标排放；项目固体废物均得到合理处置，去向明确。根据工程分析和环</w:t>
            </w:r>
            <w:r>
              <w:rPr>
                <w:rFonts w:hint="default" w:ascii="Times New Roman" w:hAnsi="Times New Roman" w:cs="Times New Roman" w:eastAsiaTheme="minorEastAsia"/>
                <w:color w:val="auto"/>
                <w:kern w:val="0"/>
                <w:szCs w:val="21"/>
                <w:lang w:val="zh-CN"/>
              </w:rPr>
              <w:t>境影响预测结论，项目建成后只要能按照本环评要求落实“三废”治理措施，则项目运营期污染物排放能达到国家相关排放标准要求，项目的</w:t>
            </w:r>
            <w:r>
              <w:rPr>
                <w:rFonts w:hint="default" w:ascii="Times New Roman" w:hAnsi="Times New Roman" w:cs="Times New Roman" w:eastAsiaTheme="minorEastAsia"/>
                <w:color w:val="auto"/>
                <w:kern w:val="0"/>
                <w:szCs w:val="21"/>
                <w:highlight w:val="none"/>
                <w:lang w:val="zh-CN"/>
              </w:rPr>
              <w:t>实施对区域环境质量目标影响较小，不会影响区域环境质量目标的实现。本项目投产后符合环境质量底线的要求</w:t>
            </w:r>
            <w:r>
              <w:rPr>
                <w:rFonts w:hint="default" w:ascii="Times New Roman" w:hAnsi="Times New Roman" w:cs="Times New Roman" w:eastAsiaTheme="minorEastAsia"/>
                <w:color w:val="auto"/>
                <w:kern w:val="0"/>
                <w:szCs w:val="21"/>
                <w:lang w:val="zh-CN"/>
              </w:rPr>
              <w:t>。</w:t>
            </w:r>
          </w:p>
          <w:p w14:paraId="448969C0">
            <w:pPr>
              <w:adjustRightInd w:val="0"/>
              <w:snapToGrid w:val="0"/>
              <w:spacing w:line="360" w:lineRule="auto"/>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4、生态环境准入清单</w:t>
            </w:r>
          </w:p>
          <w:p w14:paraId="32260F43">
            <w:pPr>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rPr>
              <w:t>生态环境准入清单：生态环</w:t>
            </w:r>
            <w:r>
              <w:rPr>
                <w:rFonts w:hint="default" w:ascii="Times New Roman" w:hAnsi="Times New Roman" w:cs="Times New Roman"/>
                <w:color w:val="auto"/>
                <w:highlight w:val="none"/>
              </w:rPr>
              <w:t>境准入清单是指基于生态保护红线、环境质量底线和资源利用上线，以清单方式列出禁止、限制等差别化环境准入条件和要求。</w:t>
            </w:r>
            <w:r>
              <w:rPr>
                <w:rFonts w:hint="default" w:ascii="Times New Roman" w:hAnsi="Times New Roman" w:cs="Times New Roman"/>
                <w:color w:val="auto"/>
                <w:highlight w:val="none"/>
                <w:lang w:eastAsia="zh-CN"/>
              </w:rPr>
              <w:t>根据</w:t>
            </w:r>
            <w:r>
              <w:rPr>
                <w:rFonts w:hint="default" w:ascii="Times New Roman" w:hAnsi="Times New Roman" w:cs="Times New Roman"/>
                <w:bCs/>
                <w:color w:val="auto"/>
                <w:highlight w:val="none"/>
              </w:rPr>
              <w:t>淄博市生态环境委员会办公室于2024年4月18日发布的《关于印发&lt;淄博市2023年生态环境分区管控成果动态更新项目生态环境准入清单&gt;的通知》</w:t>
            </w:r>
            <w:r>
              <w:rPr>
                <w:rFonts w:hint="default" w:ascii="Times New Roman" w:hAnsi="Times New Roman" w:cs="Times New Roman"/>
                <w:color w:val="auto"/>
                <w:kern w:val="0"/>
                <w:szCs w:val="21"/>
                <w:highlight w:val="none"/>
                <w:lang w:val="zh-CN"/>
              </w:rPr>
              <w:t>，本项目位于</w:t>
            </w:r>
            <w:r>
              <w:rPr>
                <w:rFonts w:hint="default" w:ascii="Times New Roman" w:hAnsi="Times New Roman" w:cs="Times New Roman"/>
                <w:color w:val="auto"/>
                <w:kern w:val="0"/>
                <w:szCs w:val="21"/>
                <w:highlight w:val="none"/>
                <w:lang w:val="en-US" w:eastAsia="zh-CN"/>
              </w:rPr>
              <w:t>淄川区昆仑镇</w:t>
            </w:r>
            <w:r>
              <w:rPr>
                <w:rFonts w:hint="default" w:ascii="Times New Roman" w:hAnsi="Times New Roman" w:cs="Times New Roman"/>
                <w:color w:val="auto"/>
                <w:kern w:val="0"/>
                <w:szCs w:val="21"/>
                <w:highlight w:val="none"/>
                <w:lang w:val="zh-CN"/>
              </w:rPr>
              <w:t>，管控单元名称</w:t>
            </w:r>
            <w:r>
              <w:rPr>
                <w:rFonts w:hint="default" w:ascii="Times New Roman" w:hAnsi="Times New Roman" w:cs="Times New Roman"/>
                <w:color w:val="auto"/>
                <w:kern w:val="0"/>
                <w:szCs w:val="21"/>
                <w:highlight w:val="none"/>
              </w:rPr>
              <w:t>为</w:t>
            </w:r>
            <w:r>
              <w:rPr>
                <w:rFonts w:hint="default" w:ascii="Times New Roman" w:hAnsi="Times New Roman" w:cs="Times New Roman"/>
                <w:color w:val="auto"/>
                <w:kern w:val="0"/>
                <w:szCs w:val="21"/>
                <w:highlight w:val="none"/>
                <w:lang w:val="en-US" w:eastAsia="zh-CN"/>
              </w:rPr>
              <w:t>昆仑镇</w:t>
            </w:r>
            <w:r>
              <w:rPr>
                <w:rFonts w:hint="default" w:ascii="Times New Roman" w:hAnsi="Times New Roman" w:cs="Times New Roman"/>
                <w:color w:val="auto"/>
                <w:kern w:val="0"/>
                <w:szCs w:val="21"/>
                <w:highlight w:val="none"/>
                <w:lang w:val="zh-CN"/>
              </w:rPr>
              <w:t>，管控单元编码ZH37030230003，为一般管控单元，</w:t>
            </w:r>
            <w:r>
              <w:rPr>
                <w:rFonts w:hint="default" w:ascii="Times New Roman" w:hAnsi="Times New Roman" w:cs="Times New Roman"/>
                <w:color w:val="auto"/>
                <w:highlight w:val="none"/>
              </w:rPr>
              <w:t>与淄博市环境管控单元位置关系见附图4</w:t>
            </w:r>
            <w:r>
              <w:rPr>
                <w:rFonts w:hint="default" w:ascii="Times New Roman" w:hAnsi="Times New Roman" w:cs="Times New Roman"/>
                <w:color w:val="auto"/>
                <w:kern w:val="0"/>
                <w:szCs w:val="21"/>
                <w:highlight w:val="none"/>
              </w:rPr>
              <w:t>。本项目与该</w:t>
            </w:r>
            <w:r>
              <w:rPr>
                <w:rFonts w:hint="default" w:ascii="Times New Roman" w:hAnsi="Times New Roman" w:cs="Times New Roman"/>
                <w:color w:val="auto"/>
                <w:kern w:val="0"/>
                <w:szCs w:val="21"/>
                <w:highlight w:val="none"/>
                <w:lang w:val="zh-CN"/>
              </w:rPr>
              <w:t>管控区生态环境准入要求的符合性分析结果见表</w:t>
            </w: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p>
          <w:p w14:paraId="1532CC86">
            <w:pPr>
              <w:pStyle w:val="637"/>
              <w:snapToGrid w:val="0"/>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表1-</w:t>
            </w:r>
            <w:r>
              <w:rPr>
                <w:rFonts w:hint="default" w:ascii="Times New Roman" w:hAnsi="Times New Roman" w:eastAsia="黑体" w:cs="Times New Roman"/>
                <w:color w:val="auto"/>
                <w:sz w:val="21"/>
                <w:szCs w:val="21"/>
                <w:lang w:val="en-US" w:eastAsia="zh-CN"/>
              </w:rPr>
              <w:t>2</w:t>
            </w:r>
            <w:r>
              <w:rPr>
                <w:rFonts w:hint="default" w:ascii="Times New Roman" w:hAnsi="Times New Roman" w:eastAsia="黑体" w:cs="Times New Roman"/>
                <w:color w:val="auto"/>
                <w:sz w:val="21"/>
                <w:szCs w:val="21"/>
              </w:rPr>
              <w:t>本项目与生态环境准入清单符合性分析</w:t>
            </w:r>
          </w:p>
          <w:tbl>
            <w:tblPr>
              <w:tblStyle w:val="8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5"/>
              <w:gridCol w:w="323"/>
              <w:gridCol w:w="3838"/>
              <w:gridCol w:w="2724"/>
              <w:gridCol w:w="570"/>
            </w:tblGrid>
            <w:tr w14:paraId="2DBA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0" w:hRule="atLeast"/>
                <w:jc w:val="center"/>
              </w:trPr>
              <w:tc>
                <w:tcPr>
                  <w:tcW w:w="353" w:type="pct"/>
                  <w:tcBorders>
                    <w:top w:val="single" w:color="auto" w:sz="4" w:space="0"/>
                    <w:left w:val="single" w:color="auto" w:sz="4" w:space="0"/>
                    <w:bottom w:val="single" w:color="auto" w:sz="4" w:space="0"/>
                    <w:right w:val="single" w:color="auto" w:sz="4" w:space="0"/>
                  </w:tcBorders>
                </w:tcPr>
                <w:p w14:paraId="155740CC">
                  <w:pPr>
                    <w:jc w:val="center"/>
                    <w:rPr>
                      <w:rFonts w:hint="default" w:ascii="Times New Roman" w:hAnsi="Times New Roman" w:cs="Times New Roman" w:eastAsiaTheme="minorEastAsia"/>
                      <w:b/>
                      <w:bCs/>
                      <w:color w:val="auto"/>
                      <w:sz w:val="18"/>
                      <w:szCs w:val="18"/>
                      <w:lang w:val="zh-CN"/>
                    </w:rPr>
                  </w:pPr>
                  <w:r>
                    <w:rPr>
                      <w:rFonts w:hint="default" w:ascii="Times New Roman" w:hAnsi="Times New Roman" w:cs="Times New Roman" w:eastAsiaTheme="minorEastAsia"/>
                      <w:b/>
                      <w:bCs/>
                      <w:color w:val="auto"/>
                      <w:sz w:val="18"/>
                      <w:szCs w:val="18"/>
                      <w:lang w:val="zh-CN"/>
                    </w:rPr>
                    <w:t>管控单元</w:t>
                  </w:r>
                </w:p>
              </w:tc>
              <w:tc>
                <w:tcPr>
                  <w:tcW w:w="2594" w:type="pct"/>
                  <w:gridSpan w:val="2"/>
                  <w:tcBorders>
                    <w:top w:val="single" w:color="auto" w:sz="4" w:space="0"/>
                    <w:left w:val="single" w:color="auto" w:sz="4" w:space="0"/>
                    <w:bottom w:val="single" w:color="auto" w:sz="4" w:space="0"/>
                    <w:right w:val="single" w:color="auto" w:sz="4" w:space="0"/>
                  </w:tcBorders>
                  <w:vAlign w:val="center"/>
                </w:tcPr>
                <w:p w14:paraId="7127D6F9">
                  <w:pPr>
                    <w:jc w:val="center"/>
                    <w:rPr>
                      <w:rFonts w:hint="default" w:ascii="Times New Roman" w:hAnsi="Times New Roman" w:cs="Times New Roman" w:eastAsiaTheme="minorEastAsia"/>
                      <w:b/>
                      <w:bCs/>
                      <w:color w:val="auto"/>
                      <w:sz w:val="18"/>
                      <w:szCs w:val="18"/>
                      <w:lang w:val="zh-CN"/>
                    </w:rPr>
                  </w:pPr>
                  <w:r>
                    <w:rPr>
                      <w:rFonts w:hint="default" w:ascii="Times New Roman" w:hAnsi="Times New Roman" w:cs="Times New Roman" w:eastAsiaTheme="minorEastAsia"/>
                      <w:b/>
                      <w:bCs/>
                      <w:color w:val="auto"/>
                      <w:sz w:val="18"/>
                      <w:szCs w:val="18"/>
                      <w:lang w:val="zh-CN"/>
                    </w:rPr>
                    <w:t>管控要求</w:t>
                  </w:r>
                </w:p>
              </w:tc>
              <w:tc>
                <w:tcPr>
                  <w:tcW w:w="1698" w:type="pct"/>
                  <w:tcBorders>
                    <w:top w:val="single" w:color="auto" w:sz="4" w:space="0"/>
                    <w:left w:val="single" w:color="auto" w:sz="4" w:space="0"/>
                    <w:bottom w:val="single" w:color="auto" w:sz="4" w:space="0"/>
                    <w:right w:val="single" w:color="auto" w:sz="4" w:space="0"/>
                  </w:tcBorders>
                  <w:vAlign w:val="center"/>
                </w:tcPr>
                <w:p w14:paraId="578CC625">
                  <w:pPr>
                    <w:jc w:val="center"/>
                    <w:rPr>
                      <w:rFonts w:hint="default" w:ascii="Times New Roman" w:hAnsi="Times New Roman" w:cs="Times New Roman" w:eastAsiaTheme="minorEastAsia"/>
                      <w:b/>
                      <w:bCs/>
                      <w:color w:val="auto"/>
                      <w:sz w:val="18"/>
                      <w:szCs w:val="18"/>
                      <w:lang w:val="zh-CN"/>
                    </w:rPr>
                  </w:pPr>
                  <w:r>
                    <w:rPr>
                      <w:rFonts w:hint="default" w:ascii="Times New Roman" w:hAnsi="Times New Roman" w:cs="Times New Roman" w:eastAsiaTheme="minorEastAsia"/>
                      <w:b/>
                      <w:bCs/>
                      <w:color w:val="auto"/>
                      <w:sz w:val="18"/>
                      <w:szCs w:val="18"/>
                      <w:lang w:val="zh-CN"/>
                    </w:rPr>
                    <w:t>符合性分析</w:t>
                  </w:r>
                </w:p>
              </w:tc>
              <w:tc>
                <w:tcPr>
                  <w:tcW w:w="355" w:type="pct"/>
                  <w:tcBorders>
                    <w:top w:val="single" w:color="auto" w:sz="4" w:space="0"/>
                    <w:left w:val="single" w:color="auto" w:sz="4" w:space="0"/>
                    <w:bottom w:val="single" w:color="auto" w:sz="4" w:space="0"/>
                    <w:right w:val="single" w:color="auto" w:sz="4" w:space="0"/>
                  </w:tcBorders>
                  <w:vAlign w:val="center"/>
                </w:tcPr>
                <w:p w14:paraId="4D9B164E">
                  <w:pPr>
                    <w:jc w:val="center"/>
                    <w:rPr>
                      <w:rFonts w:hint="default" w:ascii="Times New Roman" w:hAnsi="Times New Roman" w:cs="Times New Roman" w:eastAsiaTheme="minorEastAsia"/>
                      <w:b/>
                      <w:bCs/>
                      <w:color w:val="auto"/>
                      <w:sz w:val="18"/>
                      <w:szCs w:val="18"/>
                      <w:lang w:val="zh-CN"/>
                    </w:rPr>
                  </w:pPr>
                  <w:r>
                    <w:rPr>
                      <w:rFonts w:hint="default" w:ascii="Times New Roman" w:hAnsi="Times New Roman" w:cs="Times New Roman" w:eastAsiaTheme="minorEastAsia"/>
                      <w:b/>
                      <w:bCs/>
                      <w:color w:val="auto"/>
                      <w:sz w:val="18"/>
                      <w:szCs w:val="18"/>
                      <w:lang w:val="zh-CN"/>
                    </w:rPr>
                    <w:t>符合性</w:t>
                  </w:r>
                </w:p>
              </w:tc>
            </w:tr>
            <w:tr w14:paraId="56DA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 w:hRule="atLeast"/>
                <w:jc w:val="center"/>
              </w:trPr>
              <w:tc>
                <w:tcPr>
                  <w:tcW w:w="353" w:type="pct"/>
                  <w:vMerge w:val="restart"/>
                  <w:tcBorders>
                    <w:top w:val="single" w:color="auto" w:sz="4" w:space="0"/>
                    <w:left w:val="single" w:color="auto" w:sz="4" w:space="0"/>
                    <w:bottom w:val="single" w:color="auto" w:sz="4" w:space="0"/>
                    <w:right w:val="single" w:color="auto" w:sz="4" w:space="0"/>
                  </w:tcBorders>
                  <w:vAlign w:val="center"/>
                </w:tcPr>
                <w:p w14:paraId="61BA78C0">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rPr>
                    <w:t>昆仑镇</w:t>
                  </w:r>
                </w:p>
              </w:tc>
              <w:tc>
                <w:tcPr>
                  <w:tcW w:w="201" w:type="pct"/>
                  <w:vMerge w:val="restart"/>
                  <w:tcBorders>
                    <w:top w:val="single" w:color="auto" w:sz="4" w:space="0"/>
                    <w:left w:val="single" w:color="auto" w:sz="4" w:space="0"/>
                    <w:right w:val="single" w:color="auto" w:sz="4" w:space="0"/>
                  </w:tcBorders>
                  <w:vAlign w:val="center"/>
                </w:tcPr>
                <w:p w14:paraId="5CE56015">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空间布局约束</w:t>
                  </w:r>
                </w:p>
              </w:tc>
              <w:tc>
                <w:tcPr>
                  <w:tcW w:w="2393" w:type="pct"/>
                  <w:tcBorders>
                    <w:top w:val="single" w:color="auto" w:sz="4" w:space="0"/>
                    <w:left w:val="single" w:color="auto" w:sz="4" w:space="0"/>
                    <w:bottom w:val="single" w:color="auto" w:sz="4" w:space="0"/>
                    <w:right w:val="single" w:color="auto" w:sz="4" w:space="0"/>
                  </w:tcBorders>
                  <w:vAlign w:val="center"/>
                </w:tcPr>
                <w:p w14:paraId="73A9D314">
                  <w:pPr>
                    <w:widowControl/>
                    <w:snapToGrid w:val="0"/>
                    <w:textAlignment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kern w:val="0"/>
                      <w:sz w:val="18"/>
                      <w:szCs w:val="18"/>
                      <w:lang w:bidi="ar"/>
                    </w:rPr>
                    <w:t>1.</w:t>
                  </w:r>
                  <w:r>
                    <w:rPr>
                      <w:rFonts w:hint="default" w:ascii="Times New Roman" w:hAnsi="Times New Roman" w:cs="Times New Roman" w:eastAsiaTheme="minorEastAsia"/>
                      <w:color w:val="auto"/>
                      <w:kern w:val="0"/>
                      <w:sz w:val="18"/>
                      <w:szCs w:val="18"/>
                      <w:lang w:val="en-US" w:eastAsia="zh-CN" w:bidi="ar"/>
                    </w:rPr>
                    <w:t>禁止新建、扩建《产业结构调整指导目录》（现行）明确的淘汰类项目和引入《市场准入负面清单》（现行）禁止准入类事项；鼓励对列入《产业结构调整指导目录》的限制类、淘汰类工业项目进行淘汰和提升改造</w:t>
                  </w:r>
                  <w:r>
                    <w:rPr>
                      <w:rFonts w:hint="default" w:ascii="Times New Roman" w:hAnsi="Times New Roman" w:cs="Times New Roman" w:eastAsiaTheme="minorEastAsia"/>
                      <w:color w:val="auto"/>
                      <w:kern w:val="0"/>
                      <w:sz w:val="18"/>
                      <w:szCs w:val="18"/>
                      <w:lang w:bidi="ar"/>
                    </w:rPr>
                    <w:t>。</w:t>
                  </w:r>
                </w:p>
              </w:tc>
              <w:tc>
                <w:tcPr>
                  <w:tcW w:w="1698" w:type="pct"/>
                  <w:tcBorders>
                    <w:top w:val="single" w:color="auto" w:sz="4" w:space="0"/>
                    <w:left w:val="single" w:color="auto" w:sz="4" w:space="0"/>
                    <w:bottom w:val="single" w:color="auto" w:sz="4" w:space="0"/>
                    <w:right w:val="single" w:color="auto" w:sz="4" w:space="0"/>
                  </w:tcBorders>
                  <w:vAlign w:val="center"/>
                </w:tcPr>
                <w:p w14:paraId="608C2615">
                  <w:pP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val="zh-CN"/>
                    </w:rPr>
                    <w:t>本项目不属于《产业结构调整指导目录（2024年本）》中的限制类和淘汰类项目，符合国家产业政策，</w:t>
                  </w:r>
                  <w:r>
                    <w:rPr>
                      <w:rFonts w:hint="default" w:ascii="Times New Roman" w:hAnsi="Times New Roman" w:cs="Times New Roman" w:eastAsiaTheme="minorEastAsia"/>
                      <w:color w:val="auto"/>
                      <w:sz w:val="18"/>
                      <w:szCs w:val="18"/>
                    </w:rPr>
                    <w:t>为允许类项目。</w:t>
                  </w:r>
                </w:p>
              </w:tc>
              <w:tc>
                <w:tcPr>
                  <w:tcW w:w="355" w:type="pct"/>
                  <w:tcBorders>
                    <w:top w:val="single" w:color="auto" w:sz="4" w:space="0"/>
                    <w:left w:val="single" w:color="auto" w:sz="4" w:space="0"/>
                    <w:bottom w:val="single" w:color="auto" w:sz="4" w:space="0"/>
                    <w:right w:val="single" w:color="auto" w:sz="4" w:space="0"/>
                  </w:tcBorders>
                  <w:vAlign w:val="center"/>
                </w:tcPr>
                <w:p w14:paraId="5196CEBA">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r w14:paraId="2524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 w:hRule="atLeast"/>
                <w:jc w:val="center"/>
              </w:trPr>
              <w:tc>
                <w:tcPr>
                  <w:tcW w:w="353" w:type="pct"/>
                  <w:vMerge w:val="continue"/>
                  <w:tcBorders>
                    <w:top w:val="single" w:color="auto" w:sz="4" w:space="0"/>
                    <w:left w:val="single" w:color="auto" w:sz="4" w:space="0"/>
                    <w:bottom w:val="single" w:color="auto" w:sz="4" w:space="0"/>
                    <w:right w:val="single" w:color="auto" w:sz="4" w:space="0"/>
                  </w:tcBorders>
                </w:tcPr>
                <w:p w14:paraId="41A51FB0">
                  <w:pPr>
                    <w:jc w:val="center"/>
                    <w:rPr>
                      <w:rFonts w:hint="default" w:ascii="Times New Roman" w:hAnsi="Times New Roman" w:cs="Times New Roman" w:eastAsiaTheme="minorEastAsia"/>
                      <w:color w:val="auto"/>
                      <w:sz w:val="18"/>
                      <w:szCs w:val="18"/>
                      <w:lang w:val="zh-CN"/>
                    </w:rPr>
                  </w:pPr>
                </w:p>
              </w:tc>
              <w:tc>
                <w:tcPr>
                  <w:tcW w:w="201" w:type="pct"/>
                  <w:vMerge w:val="continue"/>
                  <w:tcBorders>
                    <w:left w:val="single" w:color="auto" w:sz="4" w:space="0"/>
                    <w:right w:val="single" w:color="auto" w:sz="4" w:space="0"/>
                  </w:tcBorders>
                  <w:vAlign w:val="center"/>
                </w:tcPr>
                <w:p w14:paraId="03EAADDE">
                  <w:pPr>
                    <w:jc w:val="center"/>
                    <w:rPr>
                      <w:rFonts w:hint="default" w:ascii="Times New Roman" w:hAnsi="Times New Roman" w:cs="Times New Roman" w:eastAsiaTheme="minorEastAsia"/>
                      <w:color w:val="auto"/>
                      <w:sz w:val="18"/>
                      <w:szCs w:val="18"/>
                      <w:lang w:val="zh-CN"/>
                    </w:rPr>
                  </w:pPr>
                </w:p>
              </w:tc>
              <w:tc>
                <w:tcPr>
                  <w:tcW w:w="2393" w:type="pct"/>
                  <w:tcBorders>
                    <w:top w:val="single" w:color="auto" w:sz="4" w:space="0"/>
                    <w:left w:val="single" w:color="auto" w:sz="4" w:space="0"/>
                    <w:bottom w:val="single" w:color="auto" w:sz="4" w:space="0"/>
                    <w:right w:val="single" w:color="auto" w:sz="4" w:space="0"/>
                  </w:tcBorders>
                  <w:vAlign w:val="center"/>
                </w:tcPr>
                <w:p w14:paraId="154155FF">
                  <w:pP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2.严格控制钢铁、焦化、电解铝、水泥和平板玻璃等行业新增产能。</w:t>
                  </w:r>
                </w:p>
              </w:tc>
              <w:tc>
                <w:tcPr>
                  <w:tcW w:w="1698" w:type="pct"/>
                  <w:tcBorders>
                    <w:top w:val="single" w:color="auto" w:sz="4" w:space="0"/>
                    <w:left w:val="single" w:color="auto" w:sz="4" w:space="0"/>
                    <w:bottom w:val="single" w:color="auto" w:sz="4" w:space="0"/>
                    <w:right w:val="single" w:color="auto" w:sz="4" w:space="0"/>
                  </w:tcBorders>
                  <w:vAlign w:val="center"/>
                </w:tcPr>
                <w:p w14:paraId="3BA7F2F7">
                  <w:pPr>
                    <w:rPr>
                      <w:rFonts w:hint="default" w:ascii="Times New Roman" w:hAnsi="Times New Roman" w:cs="Times New Roman" w:eastAsiaTheme="minorEastAsia"/>
                      <w:color w:val="auto"/>
                      <w:sz w:val="18"/>
                      <w:szCs w:val="18"/>
                      <w:lang w:val="zh-CN"/>
                    </w:rPr>
                  </w:pPr>
                  <w:r>
                    <w:rPr>
                      <w:rFonts w:hint="eastAsia" w:cs="Times New Roman" w:eastAsiaTheme="minorEastAsia"/>
                      <w:color w:val="auto"/>
                      <w:sz w:val="18"/>
                      <w:szCs w:val="18"/>
                      <w:lang w:val="zh-CN"/>
                    </w:rPr>
                    <w:t>本项目</w:t>
                  </w:r>
                  <w:r>
                    <w:rPr>
                      <w:rFonts w:hint="default" w:ascii="Times New Roman" w:hAnsi="Times New Roman" w:cs="Times New Roman" w:eastAsiaTheme="minorEastAsia"/>
                      <w:color w:val="auto"/>
                      <w:sz w:val="18"/>
                      <w:szCs w:val="18"/>
                      <w:lang w:val="zh-CN"/>
                    </w:rPr>
                    <w:t>属于</w:t>
                  </w:r>
                  <w:r>
                    <w:rPr>
                      <w:rFonts w:hint="eastAsia" w:cs="Times New Roman" w:eastAsiaTheme="minorEastAsia"/>
                      <w:color w:val="auto"/>
                      <w:sz w:val="18"/>
                      <w:szCs w:val="18"/>
                      <w:lang w:val="zh-CN"/>
                    </w:rPr>
                    <w:t>C3034隔热和隔音材料制造</w:t>
                  </w:r>
                  <w:r>
                    <w:rPr>
                      <w:rFonts w:hint="default" w:ascii="Times New Roman" w:hAnsi="Times New Roman" w:cs="Times New Roman" w:eastAsiaTheme="minorEastAsia"/>
                      <w:color w:val="auto"/>
                      <w:sz w:val="18"/>
                      <w:szCs w:val="18"/>
                      <w:lang w:val="zh-CN"/>
                    </w:rPr>
                    <w:t>，不属于上述“两高”行业。</w:t>
                  </w:r>
                </w:p>
              </w:tc>
              <w:tc>
                <w:tcPr>
                  <w:tcW w:w="355" w:type="pct"/>
                  <w:tcBorders>
                    <w:top w:val="single" w:color="auto" w:sz="4" w:space="0"/>
                    <w:left w:val="single" w:color="auto" w:sz="4" w:space="0"/>
                    <w:bottom w:val="single" w:color="auto" w:sz="4" w:space="0"/>
                    <w:right w:val="single" w:color="auto" w:sz="4" w:space="0"/>
                  </w:tcBorders>
                  <w:vAlign w:val="center"/>
                </w:tcPr>
                <w:p w14:paraId="103F4B15">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r w14:paraId="0207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3" w:type="pct"/>
                  <w:vMerge w:val="continue"/>
                  <w:tcBorders>
                    <w:top w:val="single" w:color="auto" w:sz="4" w:space="0"/>
                    <w:left w:val="single" w:color="auto" w:sz="4" w:space="0"/>
                    <w:bottom w:val="single" w:color="auto" w:sz="4" w:space="0"/>
                    <w:right w:val="single" w:color="auto" w:sz="4" w:space="0"/>
                  </w:tcBorders>
                </w:tcPr>
                <w:p w14:paraId="7D4DFA12">
                  <w:pPr>
                    <w:jc w:val="center"/>
                    <w:rPr>
                      <w:rFonts w:hint="default" w:ascii="Times New Roman" w:hAnsi="Times New Roman" w:cs="Times New Roman" w:eastAsiaTheme="minorEastAsia"/>
                      <w:color w:val="auto"/>
                      <w:sz w:val="18"/>
                      <w:szCs w:val="18"/>
                      <w:lang w:val="zh-CN"/>
                    </w:rPr>
                  </w:pPr>
                </w:p>
              </w:tc>
              <w:tc>
                <w:tcPr>
                  <w:tcW w:w="201" w:type="pct"/>
                  <w:vMerge w:val="continue"/>
                  <w:tcBorders>
                    <w:left w:val="single" w:color="auto" w:sz="4" w:space="0"/>
                    <w:right w:val="single" w:color="auto" w:sz="4" w:space="0"/>
                  </w:tcBorders>
                  <w:vAlign w:val="center"/>
                </w:tcPr>
                <w:p w14:paraId="25FB688B">
                  <w:pPr>
                    <w:jc w:val="center"/>
                    <w:rPr>
                      <w:rFonts w:hint="default" w:ascii="Times New Roman" w:hAnsi="Times New Roman" w:cs="Times New Roman" w:eastAsiaTheme="minorEastAsia"/>
                      <w:color w:val="auto"/>
                      <w:sz w:val="18"/>
                      <w:szCs w:val="18"/>
                      <w:lang w:val="zh-CN"/>
                    </w:rPr>
                  </w:pPr>
                </w:p>
              </w:tc>
              <w:tc>
                <w:tcPr>
                  <w:tcW w:w="2393" w:type="pct"/>
                  <w:tcBorders>
                    <w:top w:val="single" w:color="auto" w:sz="4" w:space="0"/>
                    <w:left w:val="single" w:color="auto" w:sz="4" w:space="0"/>
                    <w:bottom w:val="single" w:color="auto" w:sz="4" w:space="0"/>
                    <w:right w:val="single" w:color="auto" w:sz="4" w:space="0"/>
                  </w:tcBorders>
                  <w:vAlign w:val="center"/>
                </w:tcPr>
                <w:p w14:paraId="30A9C33B">
                  <w:pP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3.生态保护红线内禁止城镇化和工业化活动，严禁开展不符合主体功能定位的各类开发活动。对生态保护红线内各类保护地的管理，严格按照《关于在国土空间规划中统筹划定落实三条控制线的指导意见》（2019年11月）、《关于划定并严守生态保护红线的若干意见》《自然生态空间用途管制办法（试行）》（国土资发〔2017〕33号）等相关要求管控。</w:t>
                  </w:r>
                </w:p>
              </w:tc>
              <w:tc>
                <w:tcPr>
                  <w:tcW w:w="1698" w:type="pct"/>
                  <w:tcBorders>
                    <w:top w:val="single" w:color="auto" w:sz="4" w:space="0"/>
                    <w:left w:val="single" w:color="auto" w:sz="4" w:space="0"/>
                    <w:bottom w:val="single" w:color="auto" w:sz="4" w:space="0"/>
                    <w:right w:val="single" w:color="auto" w:sz="4" w:space="0"/>
                  </w:tcBorders>
                  <w:vAlign w:val="center"/>
                </w:tcPr>
                <w:p w14:paraId="6B8567C8">
                  <w:pP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根据</w:t>
                  </w:r>
                  <w:r>
                    <w:rPr>
                      <w:rFonts w:hint="eastAsia" w:cs="Times New Roman" w:eastAsiaTheme="minorEastAsia"/>
                      <w:color w:val="auto"/>
                      <w:sz w:val="18"/>
                      <w:szCs w:val="18"/>
                      <w:lang w:val="zh-CN"/>
                    </w:rPr>
                    <w:t>淄博市国土空间总体规划（2021-2035年）</w:t>
                  </w:r>
                  <w:r>
                    <w:rPr>
                      <w:rFonts w:hint="default" w:ascii="Times New Roman" w:hAnsi="Times New Roman" w:cs="Times New Roman" w:eastAsiaTheme="minorEastAsia"/>
                      <w:color w:val="auto"/>
                      <w:sz w:val="18"/>
                      <w:szCs w:val="18"/>
                      <w:lang w:val="zh-CN"/>
                    </w:rPr>
                    <w:t>，</w:t>
                  </w:r>
                  <w:r>
                    <w:rPr>
                      <w:rFonts w:hint="eastAsia" w:cs="Times New Roman" w:eastAsiaTheme="minorEastAsia"/>
                      <w:color w:val="auto"/>
                      <w:sz w:val="18"/>
                      <w:szCs w:val="18"/>
                      <w:lang w:val="zh-CN"/>
                    </w:rPr>
                    <w:t>本项目</w:t>
                  </w:r>
                  <w:r>
                    <w:rPr>
                      <w:rFonts w:hint="default" w:ascii="Times New Roman" w:hAnsi="Times New Roman" w:cs="Times New Roman" w:eastAsiaTheme="minorEastAsia"/>
                      <w:color w:val="auto"/>
                      <w:sz w:val="18"/>
                      <w:szCs w:val="18"/>
                      <w:lang w:val="zh-CN"/>
                    </w:rPr>
                    <w:t>不位于生态红线内。</w:t>
                  </w:r>
                </w:p>
              </w:tc>
              <w:tc>
                <w:tcPr>
                  <w:tcW w:w="355" w:type="pct"/>
                  <w:tcBorders>
                    <w:top w:val="single" w:color="auto" w:sz="4" w:space="0"/>
                    <w:left w:val="single" w:color="auto" w:sz="4" w:space="0"/>
                    <w:bottom w:val="single" w:color="auto" w:sz="4" w:space="0"/>
                    <w:right w:val="single" w:color="auto" w:sz="4" w:space="0"/>
                  </w:tcBorders>
                  <w:vAlign w:val="center"/>
                </w:tcPr>
                <w:p w14:paraId="4746F3F9">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r w14:paraId="42DF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3" w:type="pct"/>
                  <w:vMerge w:val="continue"/>
                  <w:tcBorders>
                    <w:top w:val="single" w:color="auto" w:sz="4" w:space="0"/>
                    <w:left w:val="single" w:color="auto" w:sz="4" w:space="0"/>
                    <w:bottom w:val="single" w:color="auto" w:sz="4" w:space="0"/>
                    <w:right w:val="single" w:color="auto" w:sz="4" w:space="0"/>
                  </w:tcBorders>
                </w:tcPr>
                <w:p w14:paraId="7E6DA14B">
                  <w:pPr>
                    <w:jc w:val="center"/>
                    <w:rPr>
                      <w:rFonts w:hint="default" w:ascii="Times New Roman" w:hAnsi="Times New Roman" w:cs="Times New Roman" w:eastAsiaTheme="minorEastAsia"/>
                      <w:color w:val="auto"/>
                      <w:sz w:val="18"/>
                      <w:szCs w:val="18"/>
                      <w:lang w:val="zh-CN"/>
                    </w:rPr>
                  </w:pPr>
                </w:p>
              </w:tc>
              <w:tc>
                <w:tcPr>
                  <w:tcW w:w="201" w:type="pct"/>
                  <w:vMerge w:val="continue"/>
                  <w:tcBorders>
                    <w:left w:val="single" w:color="auto" w:sz="4" w:space="0"/>
                    <w:right w:val="single" w:color="auto" w:sz="4" w:space="0"/>
                  </w:tcBorders>
                  <w:vAlign w:val="center"/>
                </w:tcPr>
                <w:p w14:paraId="4194ADED">
                  <w:pPr>
                    <w:jc w:val="center"/>
                    <w:rPr>
                      <w:rFonts w:hint="default" w:ascii="Times New Roman" w:hAnsi="Times New Roman" w:cs="Times New Roman" w:eastAsiaTheme="minorEastAsia"/>
                      <w:color w:val="auto"/>
                      <w:sz w:val="18"/>
                      <w:szCs w:val="18"/>
                      <w:lang w:val="zh-CN"/>
                    </w:rPr>
                  </w:pPr>
                </w:p>
              </w:tc>
              <w:tc>
                <w:tcPr>
                  <w:tcW w:w="2393" w:type="pct"/>
                  <w:tcBorders>
                    <w:top w:val="single" w:color="auto" w:sz="4" w:space="0"/>
                    <w:left w:val="single" w:color="auto" w:sz="4" w:space="0"/>
                    <w:bottom w:val="single" w:color="auto" w:sz="4" w:space="0"/>
                    <w:right w:val="single" w:color="auto" w:sz="4" w:space="0"/>
                  </w:tcBorders>
                  <w:vAlign w:val="center"/>
                </w:tcPr>
                <w:p w14:paraId="2EDBA06A">
                  <w:pP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4.生态保护红线外的生态空间，依法依规以保护为主，严格限制大规模、高强度的区域开发，并根据其主导生态功能进行分类管控。</w:t>
                  </w:r>
                </w:p>
              </w:tc>
              <w:tc>
                <w:tcPr>
                  <w:tcW w:w="1698" w:type="pct"/>
                  <w:tcBorders>
                    <w:top w:val="single" w:color="auto" w:sz="4" w:space="0"/>
                    <w:left w:val="single" w:color="auto" w:sz="4" w:space="0"/>
                    <w:bottom w:val="single" w:color="auto" w:sz="4" w:space="0"/>
                    <w:right w:val="single" w:color="auto" w:sz="4" w:space="0"/>
                  </w:tcBorders>
                  <w:vAlign w:val="center"/>
                </w:tcPr>
                <w:p w14:paraId="0DD1AC43">
                  <w:pPr>
                    <w:rPr>
                      <w:rFonts w:hint="default" w:ascii="Times New Roman" w:hAnsi="Times New Roman" w:cs="Times New Roman" w:eastAsiaTheme="minorEastAsia"/>
                      <w:color w:val="auto"/>
                      <w:sz w:val="18"/>
                      <w:szCs w:val="18"/>
                      <w:lang w:val="zh-CN"/>
                    </w:rPr>
                  </w:pPr>
                  <w:r>
                    <w:rPr>
                      <w:rFonts w:hint="eastAsia" w:cs="Times New Roman" w:eastAsiaTheme="minorEastAsia"/>
                      <w:color w:val="auto"/>
                      <w:sz w:val="18"/>
                      <w:szCs w:val="18"/>
                      <w:lang w:val="zh-CN"/>
                    </w:rPr>
                    <w:t>本项目</w:t>
                  </w:r>
                  <w:r>
                    <w:rPr>
                      <w:rFonts w:hint="default" w:ascii="Times New Roman" w:hAnsi="Times New Roman" w:cs="Times New Roman" w:eastAsiaTheme="minorEastAsia"/>
                      <w:color w:val="auto"/>
                      <w:sz w:val="18"/>
                      <w:szCs w:val="18"/>
                      <w:lang w:val="zh-CN"/>
                    </w:rPr>
                    <w:t>在现有厂区内进行</w:t>
                  </w:r>
                  <w:r>
                    <w:rPr>
                      <w:rFonts w:hint="eastAsia" w:cs="Times New Roman" w:eastAsiaTheme="minorEastAsia"/>
                      <w:color w:val="auto"/>
                      <w:sz w:val="18"/>
                      <w:szCs w:val="18"/>
                      <w:lang w:val="en-US" w:eastAsia="zh-CN"/>
                    </w:rPr>
                    <w:t>建设</w:t>
                  </w:r>
                  <w:r>
                    <w:rPr>
                      <w:rFonts w:hint="default" w:ascii="Times New Roman" w:hAnsi="Times New Roman" w:cs="Times New Roman" w:eastAsiaTheme="minorEastAsia"/>
                      <w:color w:val="auto"/>
                      <w:sz w:val="18"/>
                      <w:szCs w:val="18"/>
                      <w:lang w:val="zh-CN"/>
                    </w:rPr>
                    <w:t>，不新增占地。</w:t>
                  </w:r>
                </w:p>
              </w:tc>
              <w:tc>
                <w:tcPr>
                  <w:tcW w:w="355" w:type="pct"/>
                  <w:tcBorders>
                    <w:top w:val="single" w:color="auto" w:sz="4" w:space="0"/>
                    <w:left w:val="single" w:color="auto" w:sz="4" w:space="0"/>
                    <w:bottom w:val="single" w:color="auto" w:sz="4" w:space="0"/>
                    <w:right w:val="single" w:color="auto" w:sz="4" w:space="0"/>
                  </w:tcBorders>
                  <w:vAlign w:val="center"/>
                </w:tcPr>
                <w:p w14:paraId="01948A5B">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r w14:paraId="68E4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3" w:type="pct"/>
                  <w:vMerge w:val="continue"/>
                  <w:tcBorders>
                    <w:top w:val="single" w:color="auto" w:sz="4" w:space="0"/>
                    <w:left w:val="single" w:color="auto" w:sz="4" w:space="0"/>
                    <w:bottom w:val="single" w:color="auto" w:sz="4" w:space="0"/>
                    <w:right w:val="single" w:color="auto" w:sz="4" w:space="0"/>
                  </w:tcBorders>
                </w:tcPr>
                <w:p w14:paraId="488C3616">
                  <w:pPr>
                    <w:jc w:val="center"/>
                    <w:rPr>
                      <w:rFonts w:hint="default" w:ascii="Times New Roman" w:hAnsi="Times New Roman" w:cs="Times New Roman" w:eastAsiaTheme="minorEastAsia"/>
                      <w:color w:val="auto"/>
                      <w:sz w:val="18"/>
                      <w:szCs w:val="18"/>
                      <w:lang w:val="zh-CN"/>
                    </w:rPr>
                  </w:pPr>
                </w:p>
              </w:tc>
              <w:tc>
                <w:tcPr>
                  <w:tcW w:w="201" w:type="pct"/>
                  <w:vMerge w:val="continue"/>
                  <w:tcBorders>
                    <w:left w:val="single" w:color="auto" w:sz="4" w:space="0"/>
                    <w:right w:val="single" w:color="auto" w:sz="4" w:space="0"/>
                  </w:tcBorders>
                  <w:vAlign w:val="center"/>
                </w:tcPr>
                <w:p w14:paraId="72D57CC5">
                  <w:pPr>
                    <w:jc w:val="center"/>
                    <w:rPr>
                      <w:rFonts w:hint="default" w:ascii="Times New Roman" w:hAnsi="Times New Roman" w:cs="Times New Roman" w:eastAsiaTheme="minorEastAsia"/>
                      <w:color w:val="auto"/>
                      <w:sz w:val="18"/>
                      <w:szCs w:val="18"/>
                      <w:lang w:val="zh-CN"/>
                    </w:rPr>
                  </w:pPr>
                </w:p>
              </w:tc>
              <w:tc>
                <w:tcPr>
                  <w:tcW w:w="2393" w:type="pct"/>
                  <w:tcBorders>
                    <w:top w:val="single" w:color="auto" w:sz="4" w:space="0"/>
                    <w:left w:val="single" w:color="auto" w:sz="4" w:space="0"/>
                    <w:bottom w:val="single" w:color="auto" w:sz="4" w:space="0"/>
                    <w:right w:val="single" w:color="auto" w:sz="4" w:space="0"/>
                  </w:tcBorders>
                  <w:vAlign w:val="center"/>
                </w:tcPr>
                <w:p w14:paraId="02881A73">
                  <w:pP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5.</w:t>
                  </w:r>
                  <w:r>
                    <w:rPr>
                      <w:rFonts w:hint="default" w:ascii="Times New Roman" w:hAnsi="Times New Roman" w:cs="Times New Roman" w:eastAsiaTheme="minorEastAsia"/>
                      <w:color w:val="auto"/>
                      <w:kern w:val="0"/>
                      <w:sz w:val="18"/>
                      <w:szCs w:val="18"/>
                      <w:lang w:val="en-US" w:eastAsia="zh-CN"/>
                    </w:rPr>
                    <w:t>按照《土壤污染防治行动计划》要求，严格控制在优先保护类耕地集中区域新建有色金属冶炼、石油加工、化工、焦化、电镀、制革等行业企业。对永久基本农田实行严格保护，确保其面积不减少、土壤环境质量不下降，除法律规定的重点建设项目选址确实无法避让外，其他任何建设不得占用</w:t>
                  </w:r>
                  <w:r>
                    <w:rPr>
                      <w:rFonts w:hint="default" w:ascii="Times New Roman" w:hAnsi="Times New Roman" w:cs="Times New Roman" w:eastAsiaTheme="minorEastAsia"/>
                      <w:color w:val="auto"/>
                      <w:kern w:val="0"/>
                      <w:sz w:val="18"/>
                      <w:szCs w:val="18"/>
                    </w:rPr>
                    <w:t>。</w:t>
                  </w:r>
                </w:p>
              </w:tc>
              <w:tc>
                <w:tcPr>
                  <w:tcW w:w="1698" w:type="pct"/>
                  <w:tcBorders>
                    <w:top w:val="single" w:color="auto" w:sz="4" w:space="0"/>
                    <w:left w:val="single" w:color="auto" w:sz="4" w:space="0"/>
                    <w:bottom w:val="single" w:color="auto" w:sz="4" w:space="0"/>
                    <w:right w:val="single" w:color="auto" w:sz="4" w:space="0"/>
                  </w:tcBorders>
                  <w:vAlign w:val="center"/>
                </w:tcPr>
                <w:p w14:paraId="11B3AE52">
                  <w:pP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根据</w:t>
                  </w:r>
                  <w:r>
                    <w:rPr>
                      <w:rFonts w:hint="eastAsia" w:cs="Times New Roman" w:eastAsiaTheme="minorEastAsia"/>
                      <w:color w:val="auto"/>
                      <w:sz w:val="18"/>
                      <w:szCs w:val="18"/>
                      <w:lang w:val="zh-CN"/>
                    </w:rPr>
                    <w:t>淄博市国土空间总体规划（2021-2035年）</w:t>
                  </w:r>
                  <w:r>
                    <w:rPr>
                      <w:rFonts w:hint="default" w:ascii="Times New Roman" w:hAnsi="Times New Roman" w:cs="Times New Roman" w:eastAsiaTheme="minorEastAsia"/>
                      <w:color w:val="auto"/>
                      <w:sz w:val="18"/>
                      <w:szCs w:val="18"/>
                      <w:lang w:val="zh-CN"/>
                    </w:rPr>
                    <w:t>，</w:t>
                  </w:r>
                  <w:r>
                    <w:rPr>
                      <w:rFonts w:hint="eastAsia" w:cs="Times New Roman" w:eastAsiaTheme="minorEastAsia"/>
                      <w:color w:val="auto"/>
                      <w:sz w:val="18"/>
                      <w:szCs w:val="18"/>
                      <w:lang w:val="zh-CN"/>
                    </w:rPr>
                    <w:t>本项目</w:t>
                  </w:r>
                  <w:r>
                    <w:rPr>
                      <w:rFonts w:hint="default" w:ascii="Times New Roman" w:hAnsi="Times New Roman" w:cs="Times New Roman" w:eastAsiaTheme="minorEastAsia"/>
                      <w:color w:val="auto"/>
                      <w:sz w:val="18"/>
                      <w:szCs w:val="18"/>
                      <w:lang w:val="zh-CN"/>
                    </w:rPr>
                    <w:t>不位于基本农田范围内。</w:t>
                  </w:r>
                  <w:r>
                    <w:rPr>
                      <w:rFonts w:hint="eastAsia" w:cs="Times New Roman" w:eastAsiaTheme="minorEastAsia"/>
                      <w:color w:val="auto"/>
                      <w:sz w:val="18"/>
                      <w:szCs w:val="18"/>
                      <w:lang w:val="zh-CN"/>
                    </w:rPr>
                    <w:t>本项目</w:t>
                  </w:r>
                  <w:r>
                    <w:rPr>
                      <w:rFonts w:hint="default" w:ascii="Times New Roman" w:hAnsi="Times New Roman" w:cs="Times New Roman" w:eastAsiaTheme="minorEastAsia"/>
                      <w:color w:val="auto"/>
                      <w:sz w:val="18"/>
                      <w:szCs w:val="18"/>
                      <w:lang w:val="zh-CN"/>
                    </w:rPr>
                    <w:t>不属于上述重点行业且在现有厂区内进行</w:t>
                  </w:r>
                  <w:r>
                    <w:rPr>
                      <w:rFonts w:hint="eastAsia" w:cs="Times New Roman" w:eastAsiaTheme="minorEastAsia"/>
                      <w:color w:val="auto"/>
                      <w:sz w:val="18"/>
                      <w:szCs w:val="18"/>
                      <w:lang w:val="en-US" w:eastAsia="zh-CN"/>
                    </w:rPr>
                    <w:t>建设</w:t>
                  </w:r>
                  <w:r>
                    <w:rPr>
                      <w:rFonts w:hint="default" w:ascii="Times New Roman" w:hAnsi="Times New Roman" w:cs="Times New Roman" w:eastAsiaTheme="minorEastAsia"/>
                      <w:color w:val="auto"/>
                      <w:sz w:val="18"/>
                      <w:szCs w:val="18"/>
                      <w:lang w:val="zh-CN"/>
                    </w:rPr>
                    <w:t>，不新征土地。</w:t>
                  </w:r>
                </w:p>
              </w:tc>
              <w:tc>
                <w:tcPr>
                  <w:tcW w:w="355" w:type="pct"/>
                  <w:tcBorders>
                    <w:top w:val="single" w:color="auto" w:sz="4" w:space="0"/>
                    <w:left w:val="single" w:color="auto" w:sz="4" w:space="0"/>
                    <w:bottom w:val="single" w:color="auto" w:sz="4" w:space="0"/>
                    <w:right w:val="single" w:color="auto" w:sz="4" w:space="0"/>
                  </w:tcBorders>
                  <w:vAlign w:val="center"/>
                </w:tcPr>
                <w:p w14:paraId="56A8B665">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r w14:paraId="1667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3" w:type="pct"/>
                  <w:vMerge w:val="continue"/>
                  <w:tcBorders>
                    <w:top w:val="single" w:color="auto" w:sz="4" w:space="0"/>
                    <w:left w:val="single" w:color="auto" w:sz="4" w:space="0"/>
                    <w:bottom w:val="single" w:color="auto" w:sz="4" w:space="0"/>
                    <w:right w:val="single" w:color="auto" w:sz="4" w:space="0"/>
                  </w:tcBorders>
                </w:tcPr>
                <w:p w14:paraId="1720B19C">
                  <w:pPr>
                    <w:jc w:val="center"/>
                    <w:rPr>
                      <w:rFonts w:hint="default" w:ascii="Times New Roman" w:hAnsi="Times New Roman" w:cs="Times New Roman" w:eastAsiaTheme="minorEastAsia"/>
                      <w:color w:val="auto"/>
                      <w:sz w:val="18"/>
                      <w:szCs w:val="18"/>
                      <w:lang w:val="zh-CN"/>
                    </w:rPr>
                  </w:pPr>
                </w:p>
              </w:tc>
              <w:tc>
                <w:tcPr>
                  <w:tcW w:w="201" w:type="pct"/>
                  <w:vMerge w:val="continue"/>
                  <w:tcBorders>
                    <w:left w:val="single" w:color="auto" w:sz="4" w:space="0"/>
                    <w:right w:val="single" w:color="auto" w:sz="4" w:space="0"/>
                  </w:tcBorders>
                  <w:vAlign w:val="center"/>
                </w:tcPr>
                <w:p w14:paraId="07681689">
                  <w:pPr>
                    <w:jc w:val="center"/>
                    <w:rPr>
                      <w:rFonts w:hint="default" w:ascii="Times New Roman" w:hAnsi="Times New Roman" w:cs="Times New Roman" w:eastAsiaTheme="minorEastAsia"/>
                      <w:color w:val="auto"/>
                      <w:sz w:val="18"/>
                      <w:szCs w:val="18"/>
                      <w:lang w:val="zh-CN"/>
                    </w:rPr>
                  </w:pPr>
                </w:p>
              </w:tc>
              <w:tc>
                <w:tcPr>
                  <w:tcW w:w="2393" w:type="pct"/>
                  <w:tcBorders>
                    <w:top w:val="single" w:color="auto" w:sz="4" w:space="0"/>
                    <w:left w:val="single" w:color="auto" w:sz="4" w:space="0"/>
                    <w:bottom w:val="single" w:color="auto" w:sz="4" w:space="0"/>
                    <w:right w:val="single" w:color="auto" w:sz="4" w:space="0"/>
                  </w:tcBorders>
                  <w:vAlign w:val="center"/>
                </w:tcPr>
                <w:p w14:paraId="5ED6E7DC">
                  <w:pP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6.污水处理设施不健全、未正常运行或污水管网未覆盖的地区，未配套污水处理设施的项目不得建设。</w:t>
                  </w:r>
                </w:p>
              </w:tc>
              <w:tc>
                <w:tcPr>
                  <w:tcW w:w="1698" w:type="pct"/>
                  <w:tcBorders>
                    <w:top w:val="single" w:color="auto" w:sz="4" w:space="0"/>
                    <w:left w:val="single" w:color="auto" w:sz="4" w:space="0"/>
                    <w:bottom w:val="single" w:color="auto" w:sz="4" w:space="0"/>
                    <w:right w:val="single" w:color="auto" w:sz="4" w:space="0"/>
                  </w:tcBorders>
                  <w:vAlign w:val="center"/>
                </w:tcPr>
                <w:p w14:paraId="700C244B">
                  <w:pPr>
                    <w:rPr>
                      <w:rFonts w:hint="default" w:ascii="Times New Roman" w:hAnsi="Times New Roman" w:cs="Times New Roman" w:eastAsiaTheme="minorEastAsia"/>
                      <w:color w:val="auto"/>
                      <w:sz w:val="18"/>
                      <w:szCs w:val="18"/>
                    </w:rPr>
                  </w:pPr>
                  <w:r>
                    <w:rPr>
                      <w:rFonts w:hint="eastAsia" w:cs="Times New Roman" w:eastAsiaTheme="minorEastAsia"/>
                      <w:color w:val="auto"/>
                      <w:sz w:val="18"/>
                      <w:szCs w:val="18"/>
                      <w:lang w:eastAsia="zh-CN"/>
                    </w:rPr>
                    <w:t>本项目</w:t>
                  </w:r>
                  <w:r>
                    <w:rPr>
                      <w:rFonts w:hint="default" w:ascii="Times New Roman" w:hAnsi="Times New Roman" w:cs="Times New Roman" w:eastAsiaTheme="minorEastAsia"/>
                      <w:color w:val="auto"/>
                      <w:sz w:val="18"/>
                      <w:szCs w:val="18"/>
                    </w:rPr>
                    <w:t>区域内未覆盖污水管网，</w:t>
                  </w:r>
                  <w:r>
                    <w:rPr>
                      <w:rFonts w:hint="eastAsia" w:cs="Times New Roman" w:eastAsiaTheme="minorEastAsia"/>
                      <w:color w:val="auto"/>
                      <w:sz w:val="18"/>
                      <w:szCs w:val="18"/>
                      <w:lang w:eastAsia="zh-CN"/>
                    </w:rPr>
                    <w:t>本项目</w:t>
                  </w:r>
                  <w:r>
                    <w:rPr>
                      <w:rFonts w:hint="default" w:ascii="Times New Roman" w:hAnsi="Times New Roman" w:cs="Times New Roman" w:eastAsiaTheme="minorEastAsia"/>
                      <w:color w:val="auto"/>
                      <w:sz w:val="18"/>
                      <w:szCs w:val="18"/>
                    </w:rPr>
                    <w:t>生产无废水产生，</w:t>
                  </w:r>
                  <w:r>
                    <w:rPr>
                      <w:rFonts w:hint="eastAsia" w:cs="Times New Roman" w:eastAsiaTheme="minorEastAsia"/>
                      <w:color w:val="auto"/>
                      <w:sz w:val="18"/>
                      <w:szCs w:val="18"/>
                      <w:lang w:eastAsia="zh-CN"/>
                    </w:rPr>
                    <w:t>生活污水经化粪池处理后由环卫部门定期清运</w:t>
                  </w:r>
                  <w:r>
                    <w:rPr>
                      <w:rFonts w:hint="default" w:ascii="Times New Roman" w:hAnsi="Times New Roman" w:cs="Times New Roman" w:eastAsiaTheme="minorEastAsia"/>
                      <w:color w:val="auto"/>
                      <w:sz w:val="18"/>
                      <w:szCs w:val="18"/>
                    </w:rPr>
                    <w:t>。</w:t>
                  </w:r>
                </w:p>
              </w:tc>
              <w:tc>
                <w:tcPr>
                  <w:tcW w:w="355" w:type="pct"/>
                  <w:tcBorders>
                    <w:top w:val="single" w:color="auto" w:sz="4" w:space="0"/>
                    <w:left w:val="single" w:color="auto" w:sz="4" w:space="0"/>
                    <w:bottom w:val="single" w:color="auto" w:sz="4" w:space="0"/>
                    <w:right w:val="single" w:color="auto" w:sz="4" w:space="0"/>
                  </w:tcBorders>
                  <w:vAlign w:val="center"/>
                </w:tcPr>
                <w:p w14:paraId="0F33F3B4">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r w14:paraId="1649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3" w:type="pct"/>
                  <w:vMerge w:val="continue"/>
                  <w:tcBorders>
                    <w:top w:val="single" w:color="auto" w:sz="4" w:space="0"/>
                    <w:left w:val="single" w:color="auto" w:sz="4" w:space="0"/>
                    <w:bottom w:val="single" w:color="auto" w:sz="4" w:space="0"/>
                    <w:right w:val="single" w:color="auto" w:sz="4" w:space="0"/>
                  </w:tcBorders>
                </w:tcPr>
                <w:p w14:paraId="694C6B3D">
                  <w:pPr>
                    <w:jc w:val="center"/>
                    <w:rPr>
                      <w:rFonts w:hint="default" w:ascii="Times New Roman" w:hAnsi="Times New Roman" w:cs="Times New Roman" w:eastAsiaTheme="minorEastAsia"/>
                      <w:color w:val="auto"/>
                      <w:sz w:val="18"/>
                      <w:szCs w:val="18"/>
                      <w:lang w:val="zh-CN"/>
                    </w:rPr>
                  </w:pPr>
                </w:p>
              </w:tc>
              <w:tc>
                <w:tcPr>
                  <w:tcW w:w="201" w:type="pct"/>
                  <w:vMerge w:val="continue"/>
                  <w:tcBorders>
                    <w:left w:val="single" w:color="auto" w:sz="4" w:space="0"/>
                    <w:right w:val="single" w:color="auto" w:sz="4" w:space="0"/>
                  </w:tcBorders>
                  <w:vAlign w:val="center"/>
                </w:tcPr>
                <w:p w14:paraId="3C05712E">
                  <w:pPr>
                    <w:jc w:val="center"/>
                    <w:rPr>
                      <w:rFonts w:hint="default" w:ascii="Times New Roman" w:hAnsi="Times New Roman" w:cs="Times New Roman" w:eastAsiaTheme="minorEastAsia"/>
                      <w:color w:val="auto"/>
                      <w:sz w:val="18"/>
                      <w:szCs w:val="18"/>
                      <w:lang w:val="zh-CN"/>
                    </w:rPr>
                  </w:pPr>
                </w:p>
              </w:tc>
              <w:tc>
                <w:tcPr>
                  <w:tcW w:w="2393" w:type="pct"/>
                  <w:tcBorders>
                    <w:top w:val="single" w:color="auto" w:sz="4" w:space="0"/>
                    <w:left w:val="single" w:color="auto" w:sz="4" w:space="0"/>
                    <w:bottom w:val="single" w:color="auto" w:sz="4" w:space="0"/>
                    <w:right w:val="single" w:color="auto" w:sz="4" w:space="0"/>
                  </w:tcBorders>
                  <w:vAlign w:val="center"/>
                </w:tcPr>
                <w:p w14:paraId="05823518">
                  <w:pP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7.新建有污染物排放的工业项目，除在安全生产等方面有特殊要求的以外，应当进入工业园区或工业聚集区。</w:t>
                  </w:r>
                </w:p>
              </w:tc>
              <w:tc>
                <w:tcPr>
                  <w:tcW w:w="1698" w:type="pct"/>
                  <w:tcBorders>
                    <w:top w:val="single" w:color="auto" w:sz="4" w:space="0"/>
                    <w:left w:val="single" w:color="auto" w:sz="4" w:space="0"/>
                    <w:bottom w:val="single" w:color="auto" w:sz="4" w:space="0"/>
                    <w:right w:val="single" w:color="auto" w:sz="4" w:space="0"/>
                  </w:tcBorders>
                  <w:vAlign w:val="center"/>
                </w:tcPr>
                <w:p w14:paraId="69D43B96">
                  <w:pPr>
                    <w:rPr>
                      <w:rFonts w:hint="default" w:ascii="Times New Roman" w:hAnsi="Times New Roman" w:cs="Times New Roman" w:eastAsiaTheme="minorEastAsia"/>
                      <w:color w:val="auto"/>
                      <w:sz w:val="18"/>
                      <w:szCs w:val="18"/>
                    </w:rPr>
                  </w:pPr>
                  <w:r>
                    <w:rPr>
                      <w:rFonts w:hint="eastAsia" w:cs="Times New Roman" w:eastAsiaTheme="minorEastAsia"/>
                      <w:color w:val="auto"/>
                      <w:sz w:val="18"/>
                      <w:szCs w:val="18"/>
                      <w:lang w:eastAsia="zh-CN"/>
                    </w:rPr>
                    <w:t>本项目</w:t>
                  </w:r>
                  <w:r>
                    <w:rPr>
                      <w:rFonts w:hint="default" w:ascii="Times New Roman" w:hAnsi="Times New Roman" w:cs="Times New Roman" w:eastAsiaTheme="minorEastAsia"/>
                      <w:color w:val="auto"/>
                      <w:sz w:val="18"/>
                      <w:szCs w:val="18"/>
                    </w:rPr>
                    <w:t>属于</w:t>
                  </w:r>
                  <w:r>
                    <w:rPr>
                      <w:rFonts w:hint="eastAsia" w:cs="Times New Roman" w:eastAsiaTheme="minorEastAsia"/>
                      <w:color w:val="auto"/>
                      <w:sz w:val="18"/>
                      <w:szCs w:val="18"/>
                      <w:lang w:val="en-US" w:eastAsia="zh-CN"/>
                    </w:rPr>
                    <w:t>改扩建项目</w:t>
                  </w:r>
                  <w:r>
                    <w:rPr>
                      <w:rFonts w:hint="default" w:ascii="Times New Roman" w:hAnsi="Times New Roman" w:cs="Times New Roman" w:eastAsiaTheme="minorEastAsia"/>
                      <w:color w:val="auto"/>
                      <w:sz w:val="18"/>
                      <w:szCs w:val="18"/>
                    </w:rPr>
                    <w:t>，非新建项目</w:t>
                  </w:r>
                </w:p>
              </w:tc>
              <w:tc>
                <w:tcPr>
                  <w:tcW w:w="355" w:type="pct"/>
                  <w:tcBorders>
                    <w:top w:val="single" w:color="auto" w:sz="4" w:space="0"/>
                    <w:left w:val="single" w:color="auto" w:sz="4" w:space="0"/>
                    <w:bottom w:val="single" w:color="auto" w:sz="4" w:space="0"/>
                    <w:right w:val="single" w:color="auto" w:sz="4" w:space="0"/>
                  </w:tcBorders>
                  <w:vAlign w:val="center"/>
                </w:tcPr>
                <w:p w14:paraId="3F31B862">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r w14:paraId="4E4D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3" w:type="pct"/>
                  <w:vMerge w:val="continue"/>
                  <w:tcBorders>
                    <w:top w:val="single" w:color="auto" w:sz="4" w:space="0"/>
                    <w:left w:val="single" w:color="auto" w:sz="4" w:space="0"/>
                    <w:bottom w:val="single" w:color="auto" w:sz="4" w:space="0"/>
                    <w:right w:val="single" w:color="auto" w:sz="4" w:space="0"/>
                  </w:tcBorders>
                </w:tcPr>
                <w:p w14:paraId="62A063FF">
                  <w:pPr>
                    <w:jc w:val="center"/>
                    <w:rPr>
                      <w:rFonts w:hint="default" w:ascii="Times New Roman" w:hAnsi="Times New Roman" w:cs="Times New Roman" w:eastAsiaTheme="minorEastAsia"/>
                      <w:color w:val="auto"/>
                      <w:sz w:val="18"/>
                      <w:szCs w:val="18"/>
                      <w:lang w:val="zh-CN"/>
                    </w:rPr>
                  </w:pPr>
                </w:p>
              </w:tc>
              <w:tc>
                <w:tcPr>
                  <w:tcW w:w="201" w:type="pct"/>
                  <w:vMerge w:val="continue"/>
                  <w:tcBorders>
                    <w:left w:val="single" w:color="auto" w:sz="4" w:space="0"/>
                    <w:bottom w:val="single" w:color="auto" w:sz="4" w:space="0"/>
                    <w:right w:val="single" w:color="auto" w:sz="4" w:space="0"/>
                  </w:tcBorders>
                  <w:vAlign w:val="center"/>
                </w:tcPr>
                <w:p w14:paraId="5D8CFA6A">
                  <w:pPr>
                    <w:jc w:val="center"/>
                    <w:rPr>
                      <w:rFonts w:hint="default" w:ascii="Times New Roman" w:hAnsi="Times New Roman" w:cs="Times New Roman" w:eastAsiaTheme="minorEastAsia"/>
                      <w:color w:val="auto"/>
                      <w:sz w:val="18"/>
                      <w:szCs w:val="18"/>
                      <w:lang w:val="zh-CN"/>
                    </w:rPr>
                  </w:pPr>
                </w:p>
              </w:tc>
              <w:tc>
                <w:tcPr>
                  <w:tcW w:w="2393" w:type="pct"/>
                  <w:tcBorders>
                    <w:top w:val="single" w:color="auto" w:sz="4" w:space="0"/>
                    <w:left w:val="single" w:color="auto" w:sz="4" w:space="0"/>
                    <w:bottom w:val="single" w:color="auto" w:sz="4" w:space="0"/>
                    <w:right w:val="single" w:color="auto" w:sz="4" w:space="0"/>
                  </w:tcBorders>
                  <w:vAlign w:val="center"/>
                </w:tcPr>
                <w:p w14:paraId="23C96518">
                  <w:pPr>
                    <w:rPr>
                      <w:rFonts w:hint="default" w:ascii="Times New Roman" w:hAnsi="Times New Roman" w:cs="Times New Roman" w:eastAsiaTheme="minorEastAsia"/>
                      <w:color w:val="auto"/>
                      <w:kern w:val="0"/>
                      <w:sz w:val="18"/>
                      <w:szCs w:val="18"/>
                    </w:rPr>
                  </w:pPr>
                  <w:r>
                    <w:rPr>
                      <w:rFonts w:hint="default" w:ascii="Times New Roman" w:hAnsi="Times New Roman" w:cs="Times New Roman" w:eastAsiaTheme="minorEastAsia"/>
                      <w:color w:val="auto"/>
                      <w:kern w:val="0"/>
                      <w:sz w:val="18"/>
                      <w:szCs w:val="18"/>
                    </w:rPr>
                    <w:t>8.按照省市要求，严格控制“两高”项目，新建“两高”项目实行“五个减量替代”。</w:t>
                  </w:r>
                </w:p>
              </w:tc>
              <w:tc>
                <w:tcPr>
                  <w:tcW w:w="1698" w:type="pct"/>
                  <w:tcBorders>
                    <w:top w:val="single" w:color="auto" w:sz="4" w:space="0"/>
                    <w:left w:val="single" w:color="auto" w:sz="4" w:space="0"/>
                    <w:bottom w:val="single" w:color="auto" w:sz="4" w:space="0"/>
                    <w:right w:val="single" w:color="auto" w:sz="4" w:space="0"/>
                  </w:tcBorders>
                  <w:vAlign w:val="center"/>
                </w:tcPr>
                <w:p w14:paraId="0A31BCF3">
                  <w:pPr>
                    <w:rPr>
                      <w:rFonts w:hint="default" w:ascii="Times New Roman" w:hAnsi="Times New Roman" w:cs="Times New Roman" w:eastAsiaTheme="minorEastAsia"/>
                      <w:color w:val="auto"/>
                      <w:sz w:val="18"/>
                      <w:szCs w:val="18"/>
                      <w:lang w:val="zh-CN"/>
                    </w:rPr>
                  </w:pPr>
                  <w:r>
                    <w:rPr>
                      <w:rFonts w:hint="eastAsia" w:cs="Times New Roman" w:eastAsiaTheme="minorEastAsia"/>
                      <w:color w:val="auto"/>
                      <w:sz w:val="18"/>
                      <w:szCs w:val="18"/>
                      <w:lang w:val="zh-CN"/>
                    </w:rPr>
                    <w:t>本项目</w:t>
                  </w:r>
                  <w:r>
                    <w:rPr>
                      <w:rFonts w:hint="default" w:ascii="Times New Roman" w:hAnsi="Times New Roman" w:cs="Times New Roman" w:eastAsiaTheme="minorEastAsia"/>
                      <w:color w:val="auto"/>
                      <w:sz w:val="18"/>
                      <w:szCs w:val="18"/>
                      <w:lang w:val="zh-CN"/>
                    </w:rPr>
                    <w:t>不属于“两高”项目</w:t>
                  </w:r>
                </w:p>
              </w:tc>
              <w:tc>
                <w:tcPr>
                  <w:tcW w:w="355" w:type="pct"/>
                  <w:tcBorders>
                    <w:top w:val="single" w:color="auto" w:sz="4" w:space="0"/>
                    <w:left w:val="single" w:color="auto" w:sz="4" w:space="0"/>
                    <w:bottom w:val="single" w:color="auto" w:sz="4" w:space="0"/>
                    <w:right w:val="single" w:color="auto" w:sz="4" w:space="0"/>
                  </w:tcBorders>
                  <w:vAlign w:val="center"/>
                </w:tcPr>
                <w:p w14:paraId="5C356C32">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r w14:paraId="49D5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3" w:type="pct"/>
                  <w:vMerge w:val="continue"/>
                  <w:tcBorders>
                    <w:top w:val="single" w:color="auto" w:sz="4" w:space="0"/>
                    <w:left w:val="single" w:color="auto" w:sz="4" w:space="0"/>
                    <w:bottom w:val="single" w:color="auto" w:sz="4" w:space="0"/>
                    <w:right w:val="single" w:color="auto" w:sz="4" w:space="0"/>
                  </w:tcBorders>
                </w:tcPr>
                <w:p w14:paraId="2AEAB195">
                  <w:pPr>
                    <w:jc w:val="center"/>
                    <w:rPr>
                      <w:rFonts w:hint="default" w:ascii="Times New Roman" w:hAnsi="Times New Roman" w:cs="Times New Roman" w:eastAsiaTheme="minorEastAsia"/>
                      <w:color w:val="auto"/>
                      <w:sz w:val="18"/>
                      <w:szCs w:val="18"/>
                      <w:lang w:val="zh-CN"/>
                    </w:rPr>
                  </w:pPr>
                </w:p>
              </w:tc>
              <w:tc>
                <w:tcPr>
                  <w:tcW w:w="201" w:type="pct"/>
                  <w:vMerge w:val="restart"/>
                  <w:tcBorders>
                    <w:top w:val="single" w:color="auto" w:sz="4" w:space="0"/>
                    <w:left w:val="single" w:color="auto" w:sz="4" w:space="0"/>
                    <w:bottom w:val="single" w:color="auto" w:sz="4" w:space="0"/>
                    <w:right w:val="single" w:color="auto" w:sz="4" w:space="0"/>
                  </w:tcBorders>
                  <w:vAlign w:val="center"/>
                </w:tcPr>
                <w:p w14:paraId="66F3DBED">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污染物排放管控</w:t>
                  </w:r>
                </w:p>
              </w:tc>
              <w:tc>
                <w:tcPr>
                  <w:tcW w:w="2393" w:type="pct"/>
                  <w:tcBorders>
                    <w:top w:val="single" w:color="auto" w:sz="4" w:space="0"/>
                    <w:left w:val="single" w:color="auto" w:sz="4" w:space="0"/>
                    <w:bottom w:val="single" w:color="auto" w:sz="4" w:space="0"/>
                    <w:right w:val="single" w:color="auto" w:sz="4" w:space="0"/>
                  </w:tcBorders>
                  <w:vAlign w:val="center"/>
                </w:tcPr>
                <w:p w14:paraId="4C938797">
                  <w:pP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kern w:val="0"/>
                      <w:sz w:val="18"/>
                      <w:szCs w:val="18"/>
                    </w:rPr>
                    <w:t>1.</w:t>
                  </w:r>
                  <w:r>
                    <w:rPr>
                      <w:rFonts w:hint="default" w:ascii="Times New Roman" w:hAnsi="Times New Roman" w:cs="Times New Roman" w:eastAsiaTheme="minorEastAsia"/>
                      <w:color w:val="auto"/>
                      <w:kern w:val="0"/>
                      <w:sz w:val="18"/>
                      <w:szCs w:val="18"/>
                      <w:lang w:bidi="ar"/>
                    </w:rPr>
                    <w:t>涉“两高”项目企业应当积极实施节能改造提升，提高能源使用效率，推进节能减排。</w:t>
                  </w:r>
                </w:p>
              </w:tc>
              <w:tc>
                <w:tcPr>
                  <w:tcW w:w="1698" w:type="pct"/>
                  <w:tcBorders>
                    <w:top w:val="single" w:color="auto" w:sz="4" w:space="0"/>
                    <w:left w:val="single" w:color="auto" w:sz="4" w:space="0"/>
                    <w:bottom w:val="single" w:color="auto" w:sz="4" w:space="0"/>
                    <w:right w:val="single" w:color="auto" w:sz="4" w:space="0"/>
                  </w:tcBorders>
                  <w:vAlign w:val="center"/>
                </w:tcPr>
                <w:p w14:paraId="5E6055BD">
                  <w:pP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本项目不属于</w:t>
                  </w:r>
                  <w:r>
                    <w:rPr>
                      <w:rFonts w:hint="default" w:ascii="Times New Roman" w:hAnsi="Times New Roman" w:cs="Times New Roman" w:eastAsiaTheme="minorEastAsia"/>
                      <w:color w:val="auto"/>
                      <w:kern w:val="0"/>
                      <w:sz w:val="18"/>
                      <w:szCs w:val="18"/>
                    </w:rPr>
                    <w:t>“两高”项目</w:t>
                  </w:r>
                </w:p>
              </w:tc>
              <w:tc>
                <w:tcPr>
                  <w:tcW w:w="355" w:type="pct"/>
                  <w:tcBorders>
                    <w:top w:val="single" w:color="auto" w:sz="4" w:space="0"/>
                    <w:left w:val="single" w:color="auto" w:sz="4" w:space="0"/>
                    <w:bottom w:val="single" w:color="auto" w:sz="4" w:space="0"/>
                    <w:right w:val="single" w:color="auto" w:sz="4" w:space="0"/>
                  </w:tcBorders>
                  <w:vAlign w:val="center"/>
                </w:tcPr>
                <w:p w14:paraId="0A37F4BE">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r w14:paraId="050D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3" w:type="pct"/>
                  <w:vMerge w:val="continue"/>
                  <w:tcBorders>
                    <w:top w:val="single" w:color="auto" w:sz="4" w:space="0"/>
                    <w:left w:val="single" w:color="auto" w:sz="4" w:space="0"/>
                    <w:bottom w:val="single" w:color="auto" w:sz="4" w:space="0"/>
                    <w:right w:val="single" w:color="auto" w:sz="4" w:space="0"/>
                  </w:tcBorders>
                </w:tcPr>
                <w:p w14:paraId="212FDAC7">
                  <w:pPr>
                    <w:jc w:val="center"/>
                    <w:rPr>
                      <w:rFonts w:hint="default" w:ascii="Times New Roman" w:hAnsi="Times New Roman" w:cs="Times New Roman" w:eastAsiaTheme="minorEastAsia"/>
                      <w:color w:val="auto"/>
                      <w:sz w:val="18"/>
                      <w:szCs w:val="18"/>
                      <w:lang w:val="zh-CN"/>
                    </w:rPr>
                  </w:pPr>
                </w:p>
              </w:tc>
              <w:tc>
                <w:tcPr>
                  <w:tcW w:w="201" w:type="pct"/>
                  <w:vMerge w:val="continue"/>
                  <w:tcBorders>
                    <w:top w:val="single" w:color="auto" w:sz="4" w:space="0"/>
                    <w:left w:val="single" w:color="auto" w:sz="4" w:space="0"/>
                    <w:bottom w:val="single" w:color="auto" w:sz="4" w:space="0"/>
                    <w:right w:val="single" w:color="auto" w:sz="4" w:space="0"/>
                  </w:tcBorders>
                  <w:vAlign w:val="center"/>
                </w:tcPr>
                <w:p w14:paraId="0C171712">
                  <w:pPr>
                    <w:jc w:val="center"/>
                    <w:rPr>
                      <w:rFonts w:hint="default" w:ascii="Times New Roman" w:hAnsi="Times New Roman" w:cs="Times New Roman" w:eastAsiaTheme="minorEastAsia"/>
                      <w:color w:val="auto"/>
                      <w:sz w:val="18"/>
                      <w:szCs w:val="18"/>
                      <w:lang w:val="zh-CN"/>
                    </w:rPr>
                  </w:pPr>
                </w:p>
              </w:tc>
              <w:tc>
                <w:tcPr>
                  <w:tcW w:w="2393" w:type="pct"/>
                  <w:tcBorders>
                    <w:top w:val="single" w:color="auto" w:sz="4" w:space="0"/>
                    <w:left w:val="single" w:color="auto" w:sz="4" w:space="0"/>
                    <w:bottom w:val="single" w:color="auto" w:sz="4" w:space="0"/>
                    <w:right w:val="single" w:color="auto" w:sz="4" w:space="0"/>
                  </w:tcBorders>
                  <w:vAlign w:val="center"/>
                </w:tcPr>
                <w:p w14:paraId="54E410F0">
                  <w:pP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kern w:val="0"/>
                      <w:sz w:val="18"/>
                      <w:szCs w:val="18"/>
                    </w:rPr>
                    <w:t>2.</w:t>
                  </w:r>
                  <w:r>
                    <w:rPr>
                      <w:rFonts w:hint="default" w:ascii="Times New Roman" w:hAnsi="Times New Roman" w:cs="Times New Roman" w:eastAsiaTheme="minorEastAsia"/>
                      <w:color w:val="auto"/>
                      <w:kern w:val="0"/>
                      <w:sz w:val="18"/>
                      <w:szCs w:val="18"/>
                      <w:lang w:bidi="ar"/>
                    </w:rPr>
                    <w:t>落实主要污染物总量替代要求，按照山东省生态环境厅《关于印发山东省建设项目主要大气污染物排放总量替代指标核算及管理办法的通知》，实施动态管控替代。</w:t>
                  </w:r>
                </w:p>
              </w:tc>
              <w:tc>
                <w:tcPr>
                  <w:tcW w:w="1698" w:type="pct"/>
                  <w:tcBorders>
                    <w:top w:val="single" w:color="auto" w:sz="4" w:space="0"/>
                    <w:left w:val="single" w:color="auto" w:sz="4" w:space="0"/>
                    <w:bottom w:val="single" w:color="auto" w:sz="4" w:space="0"/>
                    <w:right w:val="single" w:color="auto" w:sz="4" w:space="0"/>
                  </w:tcBorders>
                  <w:vAlign w:val="center"/>
                </w:tcPr>
                <w:p w14:paraId="4279BA04">
                  <w:pP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val="zh-CN"/>
                    </w:rPr>
                    <w:t>本项目在竣工验收、开始实质性排污之前须</w:t>
                  </w:r>
                  <w:r>
                    <w:rPr>
                      <w:rFonts w:hint="eastAsia" w:cs="Times New Roman" w:eastAsiaTheme="minorEastAsia"/>
                      <w:color w:val="auto"/>
                      <w:sz w:val="18"/>
                      <w:szCs w:val="18"/>
                      <w:lang w:val="en-US" w:eastAsia="zh-CN"/>
                    </w:rPr>
                    <w:t>重新申请</w:t>
                  </w:r>
                  <w:r>
                    <w:rPr>
                      <w:rFonts w:hint="default" w:ascii="Times New Roman" w:hAnsi="Times New Roman" w:cs="Times New Roman" w:eastAsiaTheme="minorEastAsia"/>
                      <w:color w:val="auto"/>
                      <w:sz w:val="18"/>
                      <w:szCs w:val="18"/>
                      <w:lang w:val="zh-CN"/>
                    </w:rPr>
                    <w:t>排污许可</w:t>
                  </w:r>
                  <w:r>
                    <w:rPr>
                      <w:rFonts w:hint="eastAsia" w:cs="Times New Roman" w:eastAsiaTheme="minorEastAsia"/>
                      <w:color w:val="auto"/>
                      <w:sz w:val="18"/>
                      <w:szCs w:val="18"/>
                      <w:lang w:val="en-US" w:eastAsia="zh-CN"/>
                    </w:rPr>
                    <w:t>证</w:t>
                  </w:r>
                  <w:r>
                    <w:rPr>
                      <w:rFonts w:hint="default" w:ascii="Times New Roman" w:hAnsi="Times New Roman" w:cs="Times New Roman" w:eastAsiaTheme="minorEastAsia"/>
                      <w:color w:val="auto"/>
                      <w:sz w:val="18"/>
                      <w:szCs w:val="18"/>
                      <w:lang w:val="zh-CN"/>
                    </w:rPr>
                    <w:t>；本项目采用自动化控制程度较高</w:t>
                  </w:r>
                  <w:r>
                    <w:rPr>
                      <w:rFonts w:hint="default" w:ascii="Times New Roman" w:hAnsi="Times New Roman" w:cs="Times New Roman" w:eastAsiaTheme="minorEastAsia"/>
                      <w:color w:val="auto"/>
                      <w:sz w:val="18"/>
                      <w:szCs w:val="18"/>
                      <w:lang w:val="en-US" w:eastAsia="zh-CN"/>
                    </w:rPr>
                    <w:t>的</w:t>
                  </w:r>
                  <w:r>
                    <w:rPr>
                      <w:rFonts w:hint="default" w:ascii="Times New Roman" w:hAnsi="Times New Roman" w:cs="Times New Roman" w:eastAsiaTheme="minorEastAsia"/>
                      <w:color w:val="auto"/>
                      <w:sz w:val="18"/>
                      <w:szCs w:val="18"/>
                      <w:lang w:val="zh-CN"/>
                    </w:rPr>
                    <w:t>生产线，主要污染物治理将达到国内同行业先进水平，</w:t>
                  </w:r>
                  <w:r>
                    <w:rPr>
                      <w:rFonts w:hint="default" w:ascii="Times New Roman" w:hAnsi="Times New Roman" w:cs="Times New Roman" w:eastAsiaTheme="minorEastAsia"/>
                      <w:color w:val="auto"/>
                      <w:sz w:val="18"/>
                      <w:szCs w:val="18"/>
                      <w:lang w:val="en-US" w:eastAsia="zh-CN"/>
                    </w:rPr>
                    <w:t>本项目</w:t>
                  </w:r>
                  <w:r>
                    <w:rPr>
                      <w:rFonts w:hint="eastAsia" w:cs="Times New Roman" w:eastAsiaTheme="minorEastAsia"/>
                      <w:color w:val="auto"/>
                      <w:sz w:val="18"/>
                      <w:szCs w:val="18"/>
                      <w:lang w:val="en-US" w:eastAsia="zh-CN"/>
                    </w:rPr>
                    <w:t>无需申请总量</w:t>
                  </w:r>
                  <w:r>
                    <w:rPr>
                      <w:rFonts w:hint="default" w:ascii="Times New Roman" w:hAnsi="Times New Roman" w:cs="Times New Roman" w:eastAsiaTheme="minorEastAsia"/>
                      <w:color w:val="auto"/>
                      <w:sz w:val="18"/>
                      <w:szCs w:val="18"/>
                      <w:lang w:val="en-US" w:eastAsia="zh-CN"/>
                    </w:rPr>
                    <w:t>，无需进行</w:t>
                  </w:r>
                  <w:r>
                    <w:rPr>
                      <w:rFonts w:hint="default" w:ascii="Times New Roman" w:hAnsi="Times New Roman" w:cs="Times New Roman" w:eastAsiaTheme="minorEastAsia"/>
                      <w:color w:val="auto"/>
                      <w:sz w:val="18"/>
                      <w:szCs w:val="18"/>
                    </w:rPr>
                    <w:t>倍量替代。</w:t>
                  </w:r>
                </w:p>
              </w:tc>
              <w:tc>
                <w:tcPr>
                  <w:tcW w:w="355" w:type="pct"/>
                  <w:tcBorders>
                    <w:top w:val="single" w:color="auto" w:sz="4" w:space="0"/>
                    <w:left w:val="single" w:color="auto" w:sz="4" w:space="0"/>
                    <w:bottom w:val="single" w:color="auto" w:sz="4" w:space="0"/>
                    <w:right w:val="single" w:color="auto" w:sz="4" w:space="0"/>
                  </w:tcBorders>
                  <w:vAlign w:val="center"/>
                </w:tcPr>
                <w:p w14:paraId="4BDA3A22">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r w14:paraId="3933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3" w:type="pct"/>
                  <w:vMerge w:val="continue"/>
                  <w:tcBorders>
                    <w:top w:val="single" w:color="auto" w:sz="4" w:space="0"/>
                    <w:left w:val="single" w:color="auto" w:sz="4" w:space="0"/>
                    <w:bottom w:val="single" w:color="auto" w:sz="4" w:space="0"/>
                    <w:right w:val="single" w:color="auto" w:sz="4" w:space="0"/>
                  </w:tcBorders>
                </w:tcPr>
                <w:p w14:paraId="08D06D56">
                  <w:pPr>
                    <w:jc w:val="center"/>
                    <w:rPr>
                      <w:rFonts w:hint="default" w:ascii="Times New Roman" w:hAnsi="Times New Roman" w:cs="Times New Roman" w:eastAsiaTheme="minorEastAsia"/>
                      <w:color w:val="auto"/>
                      <w:sz w:val="18"/>
                      <w:szCs w:val="18"/>
                      <w:lang w:val="zh-CN"/>
                    </w:rPr>
                  </w:pPr>
                </w:p>
              </w:tc>
              <w:tc>
                <w:tcPr>
                  <w:tcW w:w="201" w:type="pct"/>
                  <w:vMerge w:val="continue"/>
                  <w:tcBorders>
                    <w:top w:val="single" w:color="auto" w:sz="4" w:space="0"/>
                    <w:left w:val="single" w:color="auto" w:sz="4" w:space="0"/>
                    <w:bottom w:val="single" w:color="auto" w:sz="4" w:space="0"/>
                    <w:right w:val="single" w:color="auto" w:sz="4" w:space="0"/>
                  </w:tcBorders>
                  <w:vAlign w:val="center"/>
                </w:tcPr>
                <w:p w14:paraId="1B801DAA">
                  <w:pPr>
                    <w:jc w:val="center"/>
                    <w:rPr>
                      <w:rFonts w:hint="default" w:ascii="Times New Roman" w:hAnsi="Times New Roman" w:cs="Times New Roman" w:eastAsiaTheme="minorEastAsia"/>
                      <w:color w:val="auto"/>
                      <w:sz w:val="18"/>
                      <w:szCs w:val="18"/>
                      <w:lang w:val="zh-CN"/>
                    </w:rPr>
                  </w:pPr>
                </w:p>
              </w:tc>
              <w:tc>
                <w:tcPr>
                  <w:tcW w:w="2393" w:type="pct"/>
                  <w:tcBorders>
                    <w:top w:val="single" w:color="auto" w:sz="4" w:space="0"/>
                    <w:left w:val="single" w:color="auto" w:sz="4" w:space="0"/>
                    <w:bottom w:val="single" w:color="auto" w:sz="4" w:space="0"/>
                    <w:right w:val="single" w:color="auto" w:sz="4" w:space="0"/>
                  </w:tcBorders>
                  <w:vAlign w:val="center"/>
                </w:tcPr>
                <w:p w14:paraId="7AEF8C4D">
                  <w:pP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kern w:val="0"/>
                      <w:sz w:val="18"/>
                      <w:szCs w:val="18"/>
                    </w:rPr>
                    <w:t>3.</w:t>
                  </w:r>
                  <w:r>
                    <w:rPr>
                      <w:rFonts w:hint="default" w:ascii="Times New Roman" w:hAnsi="Times New Roman" w:cs="Times New Roman" w:eastAsiaTheme="minorEastAsia"/>
                      <w:color w:val="auto"/>
                      <w:kern w:val="0"/>
                      <w:sz w:val="18"/>
                      <w:szCs w:val="18"/>
                      <w:lang w:bidi="ar"/>
                    </w:rPr>
                    <w:t>废水应当按照要求进行预处理，达到行业排放标准或是综合排放标准后方可排放。</w:t>
                  </w:r>
                </w:p>
              </w:tc>
              <w:tc>
                <w:tcPr>
                  <w:tcW w:w="1698" w:type="pct"/>
                  <w:tcBorders>
                    <w:top w:val="single" w:color="auto" w:sz="4" w:space="0"/>
                    <w:left w:val="single" w:color="auto" w:sz="4" w:space="0"/>
                    <w:bottom w:val="single" w:color="auto" w:sz="4" w:space="0"/>
                    <w:right w:val="single" w:color="auto" w:sz="4" w:space="0"/>
                  </w:tcBorders>
                  <w:vAlign w:val="center"/>
                </w:tcPr>
                <w:p w14:paraId="504218CC">
                  <w:pPr>
                    <w:rPr>
                      <w:rFonts w:hint="default" w:ascii="Times New Roman" w:hAnsi="Times New Roman" w:cs="Times New Roman" w:eastAsiaTheme="minorEastAsia"/>
                      <w:color w:val="auto"/>
                      <w:sz w:val="18"/>
                      <w:szCs w:val="18"/>
                      <w:lang w:val="zh-CN"/>
                    </w:rPr>
                  </w:pPr>
                  <w:r>
                    <w:rPr>
                      <w:rFonts w:hint="eastAsia" w:cs="Times New Roman" w:eastAsiaTheme="minorEastAsia"/>
                      <w:color w:val="auto"/>
                      <w:sz w:val="18"/>
                      <w:szCs w:val="18"/>
                      <w:lang w:eastAsia="zh-CN"/>
                    </w:rPr>
                    <w:t>本项目</w:t>
                  </w:r>
                  <w:r>
                    <w:rPr>
                      <w:rFonts w:hint="default" w:ascii="Times New Roman" w:hAnsi="Times New Roman" w:cs="Times New Roman" w:eastAsiaTheme="minorEastAsia"/>
                      <w:color w:val="auto"/>
                      <w:sz w:val="18"/>
                      <w:szCs w:val="18"/>
                    </w:rPr>
                    <w:t>生产无废水产生，</w:t>
                  </w:r>
                  <w:r>
                    <w:rPr>
                      <w:rFonts w:hint="eastAsia" w:cs="Times New Roman" w:eastAsiaTheme="minorEastAsia"/>
                      <w:color w:val="auto"/>
                      <w:sz w:val="18"/>
                      <w:szCs w:val="18"/>
                      <w:lang w:eastAsia="zh-CN"/>
                    </w:rPr>
                    <w:t>生活污水经化粪池处理后由环卫部门定期清运</w:t>
                  </w:r>
                  <w:r>
                    <w:rPr>
                      <w:rFonts w:hint="default" w:ascii="Times New Roman" w:hAnsi="Times New Roman" w:cs="Times New Roman" w:eastAsiaTheme="minorEastAsia"/>
                      <w:color w:val="auto"/>
                      <w:sz w:val="18"/>
                      <w:szCs w:val="18"/>
                    </w:rPr>
                    <w:t>。</w:t>
                  </w:r>
                </w:p>
              </w:tc>
              <w:tc>
                <w:tcPr>
                  <w:tcW w:w="355" w:type="pct"/>
                  <w:tcBorders>
                    <w:top w:val="single" w:color="auto" w:sz="4" w:space="0"/>
                    <w:left w:val="single" w:color="auto" w:sz="4" w:space="0"/>
                    <w:bottom w:val="single" w:color="auto" w:sz="4" w:space="0"/>
                    <w:right w:val="single" w:color="auto" w:sz="4" w:space="0"/>
                  </w:tcBorders>
                  <w:vAlign w:val="center"/>
                </w:tcPr>
                <w:p w14:paraId="5877B1BF">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r w14:paraId="7EB3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4" w:hRule="atLeast"/>
                <w:jc w:val="center"/>
              </w:trPr>
              <w:tc>
                <w:tcPr>
                  <w:tcW w:w="353" w:type="pct"/>
                  <w:vMerge w:val="continue"/>
                  <w:tcBorders>
                    <w:top w:val="single" w:color="auto" w:sz="4" w:space="0"/>
                    <w:left w:val="single" w:color="auto" w:sz="4" w:space="0"/>
                    <w:bottom w:val="single" w:color="auto" w:sz="4" w:space="0"/>
                    <w:right w:val="single" w:color="auto" w:sz="4" w:space="0"/>
                  </w:tcBorders>
                </w:tcPr>
                <w:p w14:paraId="2C1B3118">
                  <w:pPr>
                    <w:jc w:val="center"/>
                    <w:rPr>
                      <w:rFonts w:hint="default" w:ascii="Times New Roman" w:hAnsi="Times New Roman" w:cs="Times New Roman" w:eastAsiaTheme="minorEastAsia"/>
                      <w:color w:val="auto"/>
                      <w:sz w:val="18"/>
                      <w:szCs w:val="18"/>
                      <w:lang w:val="zh-CN"/>
                    </w:rPr>
                  </w:pPr>
                </w:p>
              </w:tc>
              <w:tc>
                <w:tcPr>
                  <w:tcW w:w="201" w:type="pct"/>
                  <w:vMerge w:val="continue"/>
                  <w:tcBorders>
                    <w:top w:val="single" w:color="auto" w:sz="4" w:space="0"/>
                    <w:left w:val="single" w:color="auto" w:sz="4" w:space="0"/>
                    <w:bottom w:val="single" w:color="auto" w:sz="4" w:space="0"/>
                    <w:right w:val="single" w:color="auto" w:sz="4" w:space="0"/>
                  </w:tcBorders>
                  <w:vAlign w:val="center"/>
                </w:tcPr>
                <w:p w14:paraId="600CB0CA">
                  <w:pPr>
                    <w:jc w:val="center"/>
                    <w:rPr>
                      <w:rFonts w:hint="default" w:ascii="Times New Roman" w:hAnsi="Times New Roman" w:cs="Times New Roman" w:eastAsiaTheme="minorEastAsia"/>
                      <w:color w:val="auto"/>
                      <w:sz w:val="18"/>
                      <w:szCs w:val="18"/>
                      <w:lang w:val="zh-CN"/>
                    </w:rPr>
                  </w:pPr>
                </w:p>
              </w:tc>
              <w:tc>
                <w:tcPr>
                  <w:tcW w:w="2393" w:type="pct"/>
                  <w:tcBorders>
                    <w:top w:val="single" w:color="auto" w:sz="4" w:space="0"/>
                    <w:left w:val="single" w:color="auto" w:sz="4" w:space="0"/>
                    <w:bottom w:val="single" w:color="auto" w:sz="4" w:space="0"/>
                    <w:right w:val="single" w:color="auto" w:sz="4" w:space="0"/>
                  </w:tcBorders>
                  <w:vAlign w:val="center"/>
                </w:tcPr>
                <w:p w14:paraId="081637DA">
                  <w:pP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kern w:val="0"/>
                      <w:sz w:val="18"/>
                      <w:szCs w:val="18"/>
                    </w:rPr>
                    <w:t>4.</w:t>
                  </w:r>
                  <w:r>
                    <w:rPr>
                      <w:rFonts w:hint="default" w:ascii="Times New Roman" w:hAnsi="Times New Roman" w:cs="Times New Roman" w:eastAsiaTheme="minorEastAsia"/>
                      <w:color w:val="auto"/>
                      <w:kern w:val="0"/>
                      <w:sz w:val="18"/>
                      <w:szCs w:val="18"/>
                      <w:lang w:bidi="ar"/>
                    </w:rPr>
                    <w:t>禁止工业废水和生活污水未经处理直排环境；原则上除工业污水集中处理设施、城镇污水处理厂外不得新建入河排污口。</w:t>
                  </w:r>
                </w:p>
              </w:tc>
              <w:tc>
                <w:tcPr>
                  <w:tcW w:w="1698" w:type="pct"/>
                  <w:tcBorders>
                    <w:top w:val="single" w:color="auto" w:sz="4" w:space="0"/>
                    <w:left w:val="single" w:color="auto" w:sz="4" w:space="0"/>
                    <w:bottom w:val="single" w:color="auto" w:sz="4" w:space="0"/>
                    <w:right w:val="single" w:color="auto" w:sz="4" w:space="0"/>
                  </w:tcBorders>
                  <w:vAlign w:val="center"/>
                </w:tcPr>
                <w:p w14:paraId="5F0660F9">
                  <w:pPr>
                    <w:rPr>
                      <w:rFonts w:hint="default" w:ascii="Times New Roman" w:hAnsi="Times New Roman" w:cs="Times New Roman" w:eastAsiaTheme="minorEastAsia"/>
                      <w:color w:val="auto"/>
                      <w:sz w:val="18"/>
                      <w:szCs w:val="18"/>
                      <w:lang w:val="zh-CN"/>
                    </w:rPr>
                  </w:pPr>
                  <w:r>
                    <w:rPr>
                      <w:rFonts w:hint="eastAsia" w:cs="Times New Roman" w:eastAsiaTheme="minorEastAsia"/>
                      <w:color w:val="auto"/>
                      <w:sz w:val="18"/>
                      <w:szCs w:val="18"/>
                      <w:lang w:eastAsia="zh-CN"/>
                    </w:rPr>
                    <w:t>本项目</w:t>
                  </w:r>
                  <w:r>
                    <w:rPr>
                      <w:rFonts w:hint="default" w:ascii="Times New Roman" w:hAnsi="Times New Roman" w:cs="Times New Roman" w:eastAsiaTheme="minorEastAsia"/>
                      <w:color w:val="auto"/>
                      <w:sz w:val="18"/>
                      <w:szCs w:val="18"/>
                    </w:rPr>
                    <w:t>生产无废水产生，</w:t>
                  </w:r>
                  <w:r>
                    <w:rPr>
                      <w:rFonts w:hint="eastAsia" w:cs="Times New Roman" w:eastAsiaTheme="minorEastAsia"/>
                      <w:color w:val="auto"/>
                      <w:sz w:val="18"/>
                      <w:szCs w:val="18"/>
                      <w:lang w:eastAsia="zh-CN"/>
                    </w:rPr>
                    <w:t>生活污水经化粪池处理后由环卫部门定期清运</w:t>
                  </w:r>
                  <w:r>
                    <w:rPr>
                      <w:rFonts w:hint="default" w:ascii="Times New Roman" w:hAnsi="Times New Roman" w:cs="Times New Roman" w:eastAsiaTheme="minorEastAsia"/>
                      <w:color w:val="auto"/>
                      <w:sz w:val="18"/>
                      <w:szCs w:val="18"/>
                    </w:rPr>
                    <w:t>。</w:t>
                  </w:r>
                </w:p>
              </w:tc>
              <w:tc>
                <w:tcPr>
                  <w:tcW w:w="355" w:type="pct"/>
                  <w:tcBorders>
                    <w:top w:val="single" w:color="auto" w:sz="4" w:space="0"/>
                    <w:left w:val="single" w:color="auto" w:sz="4" w:space="0"/>
                    <w:bottom w:val="single" w:color="auto" w:sz="4" w:space="0"/>
                    <w:right w:val="single" w:color="auto" w:sz="4" w:space="0"/>
                  </w:tcBorders>
                  <w:vAlign w:val="center"/>
                </w:tcPr>
                <w:p w14:paraId="51975FF4">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r w14:paraId="4CE4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3" w:type="pct"/>
                  <w:vMerge w:val="continue"/>
                  <w:tcBorders>
                    <w:top w:val="single" w:color="auto" w:sz="4" w:space="0"/>
                    <w:left w:val="single" w:color="auto" w:sz="4" w:space="0"/>
                    <w:bottom w:val="single" w:color="auto" w:sz="4" w:space="0"/>
                    <w:right w:val="single" w:color="auto" w:sz="4" w:space="0"/>
                  </w:tcBorders>
                </w:tcPr>
                <w:p w14:paraId="0CDBFC25">
                  <w:pPr>
                    <w:jc w:val="center"/>
                    <w:rPr>
                      <w:rFonts w:hint="default" w:ascii="Times New Roman" w:hAnsi="Times New Roman" w:cs="Times New Roman" w:eastAsiaTheme="minorEastAsia"/>
                      <w:color w:val="auto"/>
                      <w:sz w:val="18"/>
                      <w:szCs w:val="18"/>
                      <w:lang w:val="zh-CN"/>
                    </w:rPr>
                  </w:pPr>
                </w:p>
              </w:tc>
              <w:tc>
                <w:tcPr>
                  <w:tcW w:w="201" w:type="pct"/>
                  <w:vMerge w:val="continue"/>
                  <w:tcBorders>
                    <w:top w:val="single" w:color="auto" w:sz="4" w:space="0"/>
                    <w:left w:val="single" w:color="auto" w:sz="4" w:space="0"/>
                    <w:bottom w:val="single" w:color="auto" w:sz="4" w:space="0"/>
                    <w:right w:val="single" w:color="auto" w:sz="4" w:space="0"/>
                  </w:tcBorders>
                  <w:vAlign w:val="center"/>
                </w:tcPr>
                <w:p w14:paraId="43DED2C4">
                  <w:pPr>
                    <w:jc w:val="center"/>
                    <w:rPr>
                      <w:rFonts w:hint="default" w:ascii="Times New Roman" w:hAnsi="Times New Roman" w:cs="Times New Roman" w:eastAsiaTheme="minorEastAsia"/>
                      <w:color w:val="auto"/>
                      <w:sz w:val="18"/>
                      <w:szCs w:val="18"/>
                      <w:lang w:val="zh-CN"/>
                    </w:rPr>
                  </w:pPr>
                </w:p>
              </w:tc>
              <w:tc>
                <w:tcPr>
                  <w:tcW w:w="2393" w:type="pct"/>
                  <w:tcBorders>
                    <w:top w:val="single" w:color="auto" w:sz="4" w:space="0"/>
                    <w:left w:val="single" w:color="auto" w:sz="4" w:space="0"/>
                    <w:bottom w:val="single" w:color="auto" w:sz="4" w:space="0"/>
                    <w:right w:val="single" w:color="auto" w:sz="4" w:space="0"/>
                  </w:tcBorders>
                  <w:vAlign w:val="center"/>
                </w:tcPr>
                <w:p w14:paraId="7031C0E3">
                  <w:pP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kern w:val="0"/>
                      <w:sz w:val="18"/>
                      <w:szCs w:val="18"/>
                    </w:rPr>
                    <w:t>5.</w:t>
                  </w:r>
                  <w:r>
                    <w:rPr>
                      <w:rFonts w:hint="default" w:ascii="Times New Roman" w:hAnsi="Times New Roman" w:cs="Times New Roman" w:eastAsiaTheme="minorEastAsia"/>
                      <w:color w:val="auto"/>
                      <w:kern w:val="0"/>
                      <w:sz w:val="18"/>
                      <w:szCs w:val="18"/>
                      <w:lang w:val="en-US" w:eastAsia="zh-CN"/>
                    </w:rPr>
                    <w:t>涉VOCs排放的行业，严格按照淄博市行业环境管控要求，实施源头替代，建立健全治理设施，确保污染物稳定达标排放，做到持证排污</w:t>
                  </w:r>
                  <w:r>
                    <w:rPr>
                      <w:rFonts w:hint="default" w:ascii="Times New Roman" w:hAnsi="Times New Roman" w:cs="Times New Roman" w:eastAsiaTheme="minorEastAsia"/>
                      <w:color w:val="auto"/>
                      <w:kern w:val="0"/>
                      <w:sz w:val="18"/>
                      <w:szCs w:val="18"/>
                    </w:rPr>
                    <w:t>。</w:t>
                  </w:r>
                </w:p>
              </w:tc>
              <w:tc>
                <w:tcPr>
                  <w:tcW w:w="1698" w:type="pct"/>
                  <w:tcBorders>
                    <w:top w:val="single" w:color="auto" w:sz="4" w:space="0"/>
                    <w:left w:val="single" w:color="auto" w:sz="4" w:space="0"/>
                    <w:bottom w:val="single" w:color="auto" w:sz="4" w:space="0"/>
                    <w:right w:val="single" w:color="auto" w:sz="4" w:space="0"/>
                  </w:tcBorders>
                  <w:vAlign w:val="center"/>
                </w:tcPr>
                <w:p w14:paraId="6F47E090">
                  <w:pPr>
                    <w:rPr>
                      <w:rFonts w:hint="default" w:ascii="Times New Roman" w:hAnsi="Times New Roman" w:cs="Times New Roman" w:eastAsiaTheme="minorEastAsia"/>
                      <w:color w:val="auto"/>
                      <w:sz w:val="18"/>
                      <w:szCs w:val="18"/>
                      <w:lang w:val="zh-CN"/>
                    </w:rPr>
                  </w:pPr>
                  <w:r>
                    <w:rPr>
                      <w:rFonts w:hint="eastAsia" w:cs="Times New Roman" w:eastAsiaTheme="minorEastAsia"/>
                      <w:color w:val="auto"/>
                      <w:sz w:val="18"/>
                      <w:szCs w:val="18"/>
                      <w:lang w:eastAsia="zh-CN"/>
                    </w:rPr>
                    <w:t>本项目</w:t>
                  </w:r>
                  <w:r>
                    <w:rPr>
                      <w:rFonts w:hint="eastAsia" w:cs="Times New Roman" w:eastAsiaTheme="minorEastAsia"/>
                      <w:color w:val="auto"/>
                      <w:sz w:val="18"/>
                      <w:szCs w:val="18"/>
                      <w:lang w:val="en-US" w:eastAsia="zh-CN"/>
                    </w:rPr>
                    <w:t>无新增VOCs</w:t>
                  </w:r>
                  <w:r>
                    <w:rPr>
                      <w:rFonts w:hint="default" w:ascii="Times New Roman" w:hAnsi="Times New Roman" w:cs="Times New Roman" w:eastAsiaTheme="minorEastAsia"/>
                      <w:color w:val="auto"/>
                      <w:sz w:val="18"/>
                      <w:szCs w:val="18"/>
                    </w:rPr>
                    <w:t>，</w:t>
                  </w:r>
                  <w:r>
                    <w:rPr>
                      <w:rFonts w:hint="eastAsia" w:cs="Times New Roman" w:eastAsiaTheme="minorEastAsia"/>
                      <w:color w:val="auto"/>
                      <w:sz w:val="18"/>
                      <w:szCs w:val="18"/>
                      <w:lang w:eastAsia="zh-CN"/>
                    </w:rPr>
                    <w:t>本项目</w:t>
                  </w:r>
                  <w:r>
                    <w:rPr>
                      <w:rFonts w:hint="default" w:ascii="Times New Roman" w:hAnsi="Times New Roman" w:cs="Times New Roman" w:eastAsiaTheme="minorEastAsia"/>
                      <w:color w:val="auto"/>
                      <w:sz w:val="18"/>
                      <w:szCs w:val="18"/>
                    </w:rPr>
                    <w:t>建立健全污染治理设施，确保污染物稳定达标排放，做到持证排污。</w:t>
                  </w:r>
                </w:p>
              </w:tc>
              <w:tc>
                <w:tcPr>
                  <w:tcW w:w="355" w:type="pct"/>
                  <w:tcBorders>
                    <w:top w:val="single" w:color="auto" w:sz="4" w:space="0"/>
                    <w:left w:val="single" w:color="auto" w:sz="4" w:space="0"/>
                    <w:bottom w:val="single" w:color="auto" w:sz="4" w:space="0"/>
                    <w:right w:val="single" w:color="auto" w:sz="4" w:space="0"/>
                  </w:tcBorders>
                  <w:vAlign w:val="center"/>
                </w:tcPr>
                <w:p w14:paraId="5ADFE1D2">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r w14:paraId="0F1C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3" w:type="pct"/>
                  <w:vMerge w:val="continue"/>
                  <w:tcBorders>
                    <w:top w:val="single" w:color="auto" w:sz="4" w:space="0"/>
                    <w:left w:val="single" w:color="auto" w:sz="4" w:space="0"/>
                    <w:bottom w:val="single" w:color="auto" w:sz="4" w:space="0"/>
                    <w:right w:val="single" w:color="auto" w:sz="4" w:space="0"/>
                  </w:tcBorders>
                </w:tcPr>
                <w:p w14:paraId="17856780">
                  <w:pPr>
                    <w:jc w:val="center"/>
                    <w:rPr>
                      <w:rFonts w:hint="default" w:ascii="Times New Roman" w:hAnsi="Times New Roman" w:cs="Times New Roman" w:eastAsiaTheme="minorEastAsia"/>
                      <w:color w:val="auto"/>
                      <w:sz w:val="18"/>
                      <w:szCs w:val="18"/>
                      <w:lang w:val="zh-CN"/>
                    </w:rPr>
                  </w:pPr>
                </w:p>
              </w:tc>
              <w:tc>
                <w:tcPr>
                  <w:tcW w:w="201" w:type="pct"/>
                  <w:vMerge w:val="continue"/>
                  <w:tcBorders>
                    <w:top w:val="single" w:color="auto" w:sz="4" w:space="0"/>
                    <w:left w:val="single" w:color="auto" w:sz="4" w:space="0"/>
                    <w:bottom w:val="single" w:color="auto" w:sz="4" w:space="0"/>
                    <w:right w:val="single" w:color="auto" w:sz="4" w:space="0"/>
                  </w:tcBorders>
                  <w:vAlign w:val="center"/>
                </w:tcPr>
                <w:p w14:paraId="04539CEC">
                  <w:pPr>
                    <w:jc w:val="center"/>
                    <w:rPr>
                      <w:rFonts w:hint="default" w:ascii="Times New Roman" w:hAnsi="Times New Roman" w:cs="Times New Roman" w:eastAsiaTheme="minorEastAsia"/>
                      <w:color w:val="auto"/>
                      <w:sz w:val="18"/>
                      <w:szCs w:val="18"/>
                      <w:lang w:val="zh-CN"/>
                    </w:rPr>
                  </w:pPr>
                </w:p>
              </w:tc>
              <w:tc>
                <w:tcPr>
                  <w:tcW w:w="2393" w:type="pct"/>
                  <w:tcBorders>
                    <w:top w:val="single" w:color="auto" w:sz="4" w:space="0"/>
                    <w:left w:val="single" w:color="auto" w:sz="4" w:space="0"/>
                    <w:bottom w:val="single" w:color="auto" w:sz="4" w:space="0"/>
                    <w:right w:val="single" w:color="auto" w:sz="4" w:space="0"/>
                  </w:tcBorders>
                  <w:vAlign w:val="center"/>
                </w:tcPr>
                <w:p w14:paraId="36CC9F71">
                  <w:pPr>
                    <w:rPr>
                      <w:rFonts w:hint="default" w:ascii="Times New Roman" w:hAnsi="Times New Roman" w:cs="Times New Roman" w:eastAsiaTheme="minorEastAsia"/>
                      <w:color w:val="auto"/>
                      <w:kern w:val="0"/>
                      <w:sz w:val="18"/>
                      <w:szCs w:val="18"/>
                    </w:rPr>
                  </w:pPr>
                  <w:r>
                    <w:rPr>
                      <w:rFonts w:hint="eastAsia" w:cs="Times New Roman" w:eastAsiaTheme="minorEastAsia"/>
                      <w:color w:val="auto"/>
                      <w:kern w:val="0"/>
                      <w:sz w:val="18"/>
                      <w:szCs w:val="18"/>
                      <w:lang w:val="en-US" w:eastAsia="zh-CN"/>
                    </w:rPr>
                    <w:t>6</w:t>
                  </w:r>
                  <w:r>
                    <w:rPr>
                      <w:rFonts w:hint="default" w:ascii="Times New Roman" w:hAnsi="Times New Roman" w:cs="Times New Roman" w:eastAsiaTheme="minorEastAsia"/>
                      <w:color w:val="auto"/>
                      <w:kern w:val="0"/>
                      <w:sz w:val="18"/>
                      <w:szCs w:val="18"/>
                    </w:rPr>
                    <w:t>.</w:t>
                  </w:r>
                  <w:r>
                    <w:rPr>
                      <w:rFonts w:hint="default" w:ascii="Times New Roman" w:hAnsi="Times New Roman" w:cs="Times New Roman" w:eastAsiaTheme="minorEastAsia"/>
                      <w:color w:val="auto"/>
                      <w:kern w:val="0"/>
                      <w:sz w:val="18"/>
                      <w:szCs w:val="18"/>
                      <w:lang w:bidi="ar"/>
                    </w:rPr>
                    <w:t>进一步加强对建设工程施工、建筑物拆除、交通运输、道路保洁、物料运输与堆存、采石取土、养护绿化等活动的扬尘管理。</w:t>
                  </w:r>
                </w:p>
              </w:tc>
              <w:tc>
                <w:tcPr>
                  <w:tcW w:w="1698" w:type="pct"/>
                  <w:tcBorders>
                    <w:top w:val="single" w:color="auto" w:sz="4" w:space="0"/>
                    <w:left w:val="single" w:color="auto" w:sz="4" w:space="0"/>
                    <w:bottom w:val="single" w:color="auto" w:sz="4" w:space="0"/>
                    <w:right w:val="single" w:color="auto" w:sz="4" w:space="0"/>
                  </w:tcBorders>
                  <w:vAlign w:val="center"/>
                </w:tcPr>
                <w:p w14:paraId="0F632870">
                  <w:pP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本项目施工过程严格落实扬尘防治、现场保洁措施。</w:t>
                  </w:r>
                </w:p>
              </w:tc>
              <w:tc>
                <w:tcPr>
                  <w:tcW w:w="355" w:type="pct"/>
                  <w:tcBorders>
                    <w:top w:val="single" w:color="auto" w:sz="4" w:space="0"/>
                    <w:left w:val="single" w:color="auto" w:sz="4" w:space="0"/>
                    <w:bottom w:val="single" w:color="auto" w:sz="4" w:space="0"/>
                    <w:right w:val="single" w:color="auto" w:sz="4" w:space="0"/>
                  </w:tcBorders>
                  <w:vAlign w:val="center"/>
                </w:tcPr>
                <w:p w14:paraId="41629C7D">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r w14:paraId="47C0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353" w:type="pct"/>
                  <w:vMerge w:val="continue"/>
                  <w:tcBorders>
                    <w:top w:val="single" w:color="auto" w:sz="4" w:space="0"/>
                    <w:left w:val="single" w:color="auto" w:sz="4" w:space="0"/>
                    <w:bottom w:val="single" w:color="auto" w:sz="4" w:space="0"/>
                    <w:right w:val="single" w:color="auto" w:sz="4" w:space="0"/>
                  </w:tcBorders>
                </w:tcPr>
                <w:p w14:paraId="77141AF7">
                  <w:pPr>
                    <w:jc w:val="center"/>
                    <w:rPr>
                      <w:rFonts w:hint="default" w:ascii="Times New Roman" w:hAnsi="Times New Roman" w:cs="Times New Roman" w:eastAsiaTheme="minorEastAsia"/>
                      <w:color w:val="auto"/>
                      <w:sz w:val="18"/>
                      <w:szCs w:val="18"/>
                      <w:lang w:val="zh-CN"/>
                    </w:rPr>
                  </w:pPr>
                </w:p>
              </w:tc>
              <w:tc>
                <w:tcPr>
                  <w:tcW w:w="201" w:type="pct"/>
                  <w:vMerge w:val="restart"/>
                  <w:tcBorders>
                    <w:top w:val="single" w:color="auto" w:sz="4" w:space="0"/>
                    <w:left w:val="single" w:color="auto" w:sz="4" w:space="0"/>
                    <w:bottom w:val="single" w:color="auto" w:sz="4" w:space="0"/>
                    <w:right w:val="single" w:color="auto" w:sz="4" w:space="0"/>
                  </w:tcBorders>
                  <w:vAlign w:val="center"/>
                </w:tcPr>
                <w:p w14:paraId="75B7E5AE">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环境风险防控</w:t>
                  </w:r>
                </w:p>
              </w:tc>
              <w:tc>
                <w:tcPr>
                  <w:tcW w:w="2393" w:type="pct"/>
                  <w:tcBorders>
                    <w:top w:val="single" w:color="auto" w:sz="4" w:space="0"/>
                    <w:left w:val="single" w:color="auto" w:sz="4" w:space="0"/>
                    <w:bottom w:val="single" w:color="auto" w:sz="4" w:space="0"/>
                    <w:right w:val="single" w:color="auto" w:sz="4" w:space="0"/>
                  </w:tcBorders>
                  <w:vAlign w:val="center"/>
                </w:tcPr>
                <w:p w14:paraId="597FB242">
                  <w:pPr>
                    <w:widowControl/>
                    <w:snapToGrid w:val="0"/>
                    <w:textAlignment w:val="center"/>
                    <w:rPr>
                      <w:rFonts w:hint="default" w:ascii="Times New Roman" w:hAnsi="Times New Roman" w:cs="Times New Roman" w:eastAsiaTheme="minorEastAsia"/>
                      <w:color w:val="auto"/>
                      <w:sz w:val="18"/>
                      <w:szCs w:val="18"/>
                      <w:highlight w:val="none"/>
                      <w:lang w:val="zh-CN"/>
                    </w:rPr>
                  </w:pPr>
                  <w:r>
                    <w:rPr>
                      <w:rFonts w:hint="default" w:ascii="Times New Roman" w:hAnsi="Times New Roman" w:cs="Times New Roman"/>
                      <w:color w:val="auto"/>
                      <w:kern w:val="0"/>
                      <w:sz w:val="18"/>
                      <w:szCs w:val="18"/>
                      <w:highlight w:val="none"/>
                      <w:lang w:bidi="ar"/>
                    </w:rPr>
                    <w:t>3.紧邻居住、科教、医院等环境敏感点的工业用地，禁止新建环境风险潜势等级高的建设项目；现有项目严格落实环评及批复环境风险防控要求。</w:t>
                  </w:r>
                </w:p>
              </w:tc>
              <w:tc>
                <w:tcPr>
                  <w:tcW w:w="1698" w:type="pct"/>
                  <w:tcBorders>
                    <w:top w:val="single" w:color="auto" w:sz="4" w:space="0"/>
                    <w:left w:val="single" w:color="auto" w:sz="4" w:space="0"/>
                    <w:bottom w:val="single" w:color="auto" w:sz="4" w:space="0"/>
                    <w:right w:val="single" w:color="auto" w:sz="4" w:space="0"/>
                  </w:tcBorders>
                  <w:vAlign w:val="center"/>
                </w:tcPr>
                <w:p w14:paraId="08342F29">
                  <w:pP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lang w:val="zh-CN"/>
                    </w:rPr>
                    <w:t>本项目环境风险</w:t>
                  </w:r>
                  <w:r>
                    <w:rPr>
                      <w:rFonts w:hint="default" w:ascii="Times New Roman" w:hAnsi="Times New Roman" w:cs="Times New Roman" w:eastAsiaTheme="minorEastAsia"/>
                      <w:color w:val="auto"/>
                      <w:kern w:val="0"/>
                      <w:sz w:val="18"/>
                      <w:szCs w:val="18"/>
                      <w:highlight w:val="none"/>
                    </w:rPr>
                    <w:t>潜势等级为I级，</w:t>
                  </w:r>
                  <w:r>
                    <w:rPr>
                      <w:rFonts w:hint="default" w:ascii="Times New Roman" w:hAnsi="Times New Roman" w:cs="Times New Roman" w:eastAsiaTheme="minorEastAsia"/>
                      <w:color w:val="auto"/>
                      <w:sz w:val="18"/>
                      <w:szCs w:val="18"/>
                      <w:highlight w:val="none"/>
                      <w:lang w:val="zh-CN"/>
                    </w:rPr>
                    <w:t>选址位于</w:t>
                  </w:r>
                  <w:r>
                    <w:rPr>
                      <w:rFonts w:hint="eastAsia" w:cs="Times New Roman" w:eastAsiaTheme="minorEastAsia"/>
                      <w:color w:val="auto"/>
                      <w:sz w:val="18"/>
                      <w:szCs w:val="18"/>
                      <w:highlight w:val="none"/>
                      <w:lang w:val="zh-CN"/>
                    </w:rPr>
                    <w:t>淄川区昆仑镇兴隆村</w:t>
                  </w:r>
                  <w:r>
                    <w:rPr>
                      <w:rFonts w:hint="default" w:ascii="Times New Roman" w:hAnsi="Times New Roman" w:cs="Times New Roman" w:eastAsiaTheme="minorEastAsia"/>
                      <w:color w:val="auto"/>
                      <w:sz w:val="18"/>
                      <w:szCs w:val="18"/>
                      <w:highlight w:val="none"/>
                      <w:lang w:val="zh-CN"/>
                    </w:rPr>
                    <w:t>，距离最近敏感目标</w:t>
                  </w:r>
                  <w:r>
                    <w:rPr>
                      <w:rFonts w:hint="default" w:ascii="Times New Roman" w:hAnsi="Times New Roman" w:cs="Times New Roman" w:eastAsiaTheme="minorEastAsia"/>
                      <w:color w:val="auto"/>
                      <w:sz w:val="18"/>
                      <w:szCs w:val="18"/>
                      <w:highlight w:val="none"/>
                    </w:rPr>
                    <w:t>为西</w:t>
                  </w:r>
                  <w:r>
                    <w:rPr>
                      <w:rFonts w:hint="eastAsia" w:cs="Times New Roman" w:eastAsiaTheme="minorEastAsia"/>
                      <w:color w:val="auto"/>
                      <w:sz w:val="18"/>
                      <w:szCs w:val="18"/>
                      <w:highlight w:val="none"/>
                      <w:lang w:val="en-US" w:eastAsia="zh-CN"/>
                    </w:rPr>
                    <w:t>北</w:t>
                  </w:r>
                  <w:r>
                    <w:rPr>
                      <w:rFonts w:hint="default" w:ascii="Times New Roman" w:hAnsi="Times New Roman" w:cs="Times New Roman" w:eastAsiaTheme="minorEastAsia"/>
                      <w:color w:val="auto"/>
                      <w:sz w:val="18"/>
                      <w:szCs w:val="18"/>
                      <w:highlight w:val="none"/>
                    </w:rPr>
                    <w:t>侧</w:t>
                  </w:r>
                  <w:r>
                    <w:rPr>
                      <w:rFonts w:hint="eastAsia" w:cs="Times New Roman" w:eastAsiaTheme="minorEastAsia"/>
                      <w:color w:val="auto"/>
                      <w:sz w:val="18"/>
                      <w:szCs w:val="18"/>
                      <w:highlight w:val="none"/>
                      <w:lang w:val="en-US" w:eastAsia="zh-CN"/>
                    </w:rPr>
                    <w:t>370</w:t>
                  </w:r>
                  <w:r>
                    <w:rPr>
                      <w:rFonts w:hint="default" w:ascii="Times New Roman" w:hAnsi="Times New Roman" w:cs="Times New Roman" w:eastAsiaTheme="minorEastAsia"/>
                      <w:color w:val="auto"/>
                      <w:sz w:val="18"/>
                      <w:szCs w:val="18"/>
                      <w:highlight w:val="none"/>
                    </w:rPr>
                    <w:t>m处的</w:t>
                  </w:r>
                  <w:r>
                    <w:rPr>
                      <w:rFonts w:hint="eastAsia" w:cs="Times New Roman" w:eastAsiaTheme="minorEastAsia"/>
                      <w:color w:val="auto"/>
                      <w:sz w:val="18"/>
                      <w:szCs w:val="18"/>
                      <w:highlight w:val="none"/>
                      <w:lang w:val="en-US" w:eastAsia="zh-CN"/>
                    </w:rPr>
                    <w:t>光正社区</w:t>
                  </w:r>
                  <w:r>
                    <w:rPr>
                      <w:rFonts w:hint="default" w:ascii="Times New Roman" w:hAnsi="Times New Roman" w:cs="Times New Roman" w:eastAsiaTheme="minorEastAsia"/>
                      <w:color w:val="auto"/>
                      <w:sz w:val="18"/>
                      <w:szCs w:val="18"/>
                      <w:highlight w:val="none"/>
                    </w:rPr>
                    <w:t>。</w:t>
                  </w:r>
                </w:p>
              </w:tc>
              <w:tc>
                <w:tcPr>
                  <w:tcW w:w="355" w:type="pct"/>
                  <w:tcBorders>
                    <w:top w:val="single" w:color="auto" w:sz="4" w:space="0"/>
                    <w:left w:val="single" w:color="auto" w:sz="4" w:space="0"/>
                    <w:bottom w:val="single" w:color="auto" w:sz="4" w:space="0"/>
                    <w:right w:val="single" w:color="auto" w:sz="4" w:space="0"/>
                  </w:tcBorders>
                  <w:vAlign w:val="center"/>
                </w:tcPr>
                <w:p w14:paraId="3DA0943D">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r w14:paraId="0399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353" w:type="pct"/>
                  <w:vMerge w:val="continue"/>
                  <w:tcBorders>
                    <w:top w:val="single" w:color="auto" w:sz="4" w:space="0"/>
                    <w:left w:val="single" w:color="auto" w:sz="4" w:space="0"/>
                    <w:bottom w:val="single" w:color="auto" w:sz="4" w:space="0"/>
                    <w:right w:val="single" w:color="auto" w:sz="4" w:space="0"/>
                  </w:tcBorders>
                </w:tcPr>
                <w:p w14:paraId="3A4AAE1A">
                  <w:pPr>
                    <w:jc w:val="center"/>
                    <w:rPr>
                      <w:rFonts w:hint="default" w:ascii="Times New Roman" w:hAnsi="Times New Roman" w:cs="Times New Roman" w:eastAsiaTheme="minorEastAsia"/>
                      <w:color w:val="auto"/>
                      <w:sz w:val="18"/>
                      <w:szCs w:val="18"/>
                      <w:lang w:val="zh-CN"/>
                    </w:rPr>
                  </w:pPr>
                </w:p>
              </w:tc>
              <w:tc>
                <w:tcPr>
                  <w:tcW w:w="201" w:type="pct"/>
                  <w:vMerge w:val="continue"/>
                  <w:tcBorders>
                    <w:top w:val="single" w:color="auto" w:sz="4" w:space="0"/>
                    <w:left w:val="single" w:color="auto" w:sz="4" w:space="0"/>
                    <w:bottom w:val="single" w:color="auto" w:sz="4" w:space="0"/>
                    <w:right w:val="single" w:color="auto" w:sz="4" w:space="0"/>
                  </w:tcBorders>
                  <w:vAlign w:val="center"/>
                </w:tcPr>
                <w:p w14:paraId="2CA594C1">
                  <w:pPr>
                    <w:jc w:val="center"/>
                    <w:rPr>
                      <w:rFonts w:hint="default" w:ascii="Times New Roman" w:hAnsi="Times New Roman" w:cs="Times New Roman" w:eastAsiaTheme="minorEastAsia"/>
                      <w:color w:val="auto"/>
                      <w:sz w:val="18"/>
                      <w:szCs w:val="18"/>
                      <w:lang w:val="zh-CN"/>
                    </w:rPr>
                  </w:pPr>
                </w:p>
              </w:tc>
              <w:tc>
                <w:tcPr>
                  <w:tcW w:w="2393" w:type="pct"/>
                  <w:tcBorders>
                    <w:top w:val="single" w:color="auto" w:sz="4" w:space="0"/>
                    <w:left w:val="single" w:color="auto" w:sz="4" w:space="0"/>
                    <w:bottom w:val="single" w:color="auto" w:sz="4" w:space="0"/>
                    <w:right w:val="single" w:color="auto" w:sz="4" w:space="0"/>
                  </w:tcBorders>
                  <w:vAlign w:val="center"/>
                </w:tcPr>
                <w:p w14:paraId="764BA059">
                  <w:pPr>
                    <w:widowControl/>
                    <w:snapToGrid w:val="0"/>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color w:val="auto"/>
                      <w:kern w:val="0"/>
                      <w:sz w:val="18"/>
                      <w:szCs w:val="18"/>
                      <w:lang w:bidi="ar"/>
                    </w:rPr>
                    <w:t>5.重点企业应采取防腐防渗等有效措施，建立完善三级防护体系，防止因渗漏污染土壤、地下水以及因事故废水直排污染地表水。</w:t>
                  </w:r>
                </w:p>
              </w:tc>
              <w:tc>
                <w:tcPr>
                  <w:tcW w:w="1698" w:type="pct"/>
                  <w:tcBorders>
                    <w:top w:val="single" w:color="auto" w:sz="4" w:space="0"/>
                    <w:left w:val="single" w:color="auto" w:sz="4" w:space="0"/>
                    <w:bottom w:val="single" w:color="auto" w:sz="4" w:space="0"/>
                    <w:right w:val="single" w:color="auto" w:sz="4" w:space="0"/>
                  </w:tcBorders>
                  <w:vAlign w:val="center"/>
                </w:tcPr>
                <w:p w14:paraId="64D3A48F">
                  <w:pP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rPr>
                    <w:t>本项目重点区域采取防腐防渗措施，建立三级防护体系，基本不会对土壤</w:t>
                  </w:r>
                  <w:r>
                    <w:rPr>
                      <w:rFonts w:hint="eastAsia" w:cs="Times New Roman" w:eastAsiaTheme="minorEastAsia"/>
                      <w:color w:val="auto"/>
                      <w:sz w:val="18"/>
                      <w:szCs w:val="18"/>
                      <w:lang w:eastAsia="zh-CN"/>
                    </w:rPr>
                    <w:t>、</w:t>
                  </w:r>
                  <w:r>
                    <w:rPr>
                      <w:rFonts w:hint="default" w:ascii="Times New Roman" w:hAnsi="Times New Roman" w:cs="Times New Roman" w:eastAsiaTheme="minorEastAsia"/>
                      <w:color w:val="auto"/>
                      <w:sz w:val="18"/>
                      <w:szCs w:val="18"/>
                    </w:rPr>
                    <w:t>地下水</w:t>
                  </w:r>
                  <w:r>
                    <w:rPr>
                      <w:rFonts w:hint="eastAsia" w:cs="Times New Roman" w:eastAsiaTheme="minorEastAsia"/>
                      <w:color w:val="auto"/>
                      <w:sz w:val="18"/>
                      <w:szCs w:val="18"/>
                      <w:lang w:eastAsia="zh-CN"/>
                    </w:rPr>
                    <w:t>、</w:t>
                  </w:r>
                  <w:r>
                    <w:rPr>
                      <w:rFonts w:hint="default" w:ascii="Times New Roman" w:hAnsi="Times New Roman" w:cs="Times New Roman" w:eastAsiaTheme="minorEastAsia"/>
                      <w:color w:val="auto"/>
                      <w:sz w:val="18"/>
                      <w:szCs w:val="18"/>
                    </w:rPr>
                    <w:t>地表水造成污染</w:t>
                  </w:r>
                  <w:r>
                    <w:rPr>
                      <w:rFonts w:hint="default" w:ascii="Times New Roman" w:hAnsi="Times New Roman" w:cs="Times New Roman" w:eastAsiaTheme="minorEastAsia"/>
                      <w:color w:val="auto"/>
                      <w:sz w:val="18"/>
                      <w:szCs w:val="18"/>
                      <w:lang w:val="zh-CN"/>
                    </w:rPr>
                    <w:t>。</w:t>
                  </w:r>
                </w:p>
              </w:tc>
              <w:tc>
                <w:tcPr>
                  <w:tcW w:w="355" w:type="pct"/>
                  <w:tcBorders>
                    <w:top w:val="single" w:color="auto" w:sz="4" w:space="0"/>
                    <w:left w:val="single" w:color="auto" w:sz="4" w:space="0"/>
                    <w:bottom w:val="single" w:color="auto" w:sz="4" w:space="0"/>
                    <w:right w:val="single" w:color="auto" w:sz="4" w:space="0"/>
                  </w:tcBorders>
                  <w:vAlign w:val="center"/>
                </w:tcPr>
                <w:p w14:paraId="6F6AF891">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r w14:paraId="41D5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353" w:type="pct"/>
                  <w:vMerge w:val="continue"/>
                  <w:tcBorders>
                    <w:top w:val="single" w:color="auto" w:sz="4" w:space="0"/>
                    <w:left w:val="single" w:color="auto" w:sz="4" w:space="0"/>
                    <w:bottom w:val="single" w:color="auto" w:sz="4" w:space="0"/>
                    <w:right w:val="single" w:color="auto" w:sz="4" w:space="0"/>
                  </w:tcBorders>
                </w:tcPr>
                <w:p w14:paraId="4CA56090">
                  <w:pPr>
                    <w:jc w:val="center"/>
                    <w:rPr>
                      <w:rFonts w:hint="default" w:ascii="Times New Roman" w:hAnsi="Times New Roman" w:cs="Times New Roman" w:eastAsiaTheme="minorEastAsia"/>
                      <w:color w:val="auto"/>
                      <w:sz w:val="18"/>
                      <w:szCs w:val="18"/>
                      <w:lang w:val="zh-CN"/>
                    </w:rPr>
                  </w:pPr>
                </w:p>
              </w:tc>
              <w:tc>
                <w:tcPr>
                  <w:tcW w:w="201" w:type="pct"/>
                  <w:vMerge w:val="continue"/>
                  <w:tcBorders>
                    <w:top w:val="single" w:color="auto" w:sz="4" w:space="0"/>
                    <w:left w:val="single" w:color="auto" w:sz="4" w:space="0"/>
                    <w:bottom w:val="single" w:color="auto" w:sz="4" w:space="0"/>
                    <w:right w:val="single" w:color="auto" w:sz="4" w:space="0"/>
                  </w:tcBorders>
                  <w:vAlign w:val="center"/>
                </w:tcPr>
                <w:p w14:paraId="7D9431B5">
                  <w:pPr>
                    <w:jc w:val="center"/>
                    <w:rPr>
                      <w:rFonts w:hint="default" w:ascii="Times New Roman" w:hAnsi="Times New Roman" w:cs="Times New Roman" w:eastAsiaTheme="minorEastAsia"/>
                      <w:color w:val="auto"/>
                      <w:sz w:val="18"/>
                      <w:szCs w:val="18"/>
                      <w:lang w:val="zh-CN"/>
                    </w:rPr>
                  </w:pPr>
                </w:p>
              </w:tc>
              <w:tc>
                <w:tcPr>
                  <w:tcW w:w="2393" w:type="pct"/>
                  <w:tcBorders>
                    <w:top w:val="single" w:color="auto" w:sz="4" w:space="0"/>
                    <w:left w:val="single" w:color="auto" w:sz="4" w:space="0"/>
                    <w:bottom w:val="single" w:color="auto" w:sz="4" w:space="0"/>
                    <w:right w:val="single" w:color="auto" w:sz="4" w:space="0"/>
                  </w:tcBorders>
                  <w:vAlign w:val="center"/>
                </w:tcPr>
                <w:p w14:paraId="722E2E0D">
                  <w:pPr>
                    <w:widowControl/>
                    <w:snapToGrid w:val="0"/>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color w:val="auto"/>
                      <w:kern w:val="0"/>
                      <w:sz w:val="18"/>
                      <w:szCs w:val="18"/>
                      <w:lang w:bidi="ar"/>
                    </w:rPr>
                    <w:t>6.企业事业单位按照《企业事业单位突发环境事件应急预案备案管理办法（试行）》等要求，依法依规编制环境应急预案并定期开展演练。</w:t>
                  </w:r>
                </w:p>
              </w:tc>
              <w:tc>
                <w:tcPr>
                  <w:tcW w:w="1698" w:type="pct"/>
                  <w:tcBorders>
                    <w:top w:val="single" w:color="auto" w:sz="4" w:space="0"/>
                    <w:left w:val="single" w:color="auto" w:sz="4" w:space="0"/>
                    <w:bottom w:val="single" w:color="auto" w:sz="4" w:space="0"/>
                    <w:right w:val="single" w:color="auto" w:sz="4" w:space="0"/>
                  </w:tcBorders>
                  <w:vAlign w:val="center"/>
                </w:tcPr>
                <w:p w14:paraId="7427E2BF">
                  <w:pP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该建设单位应</w:t>
                  </w:r>
                  <w:r>
                    <w:rPr>
                      <w:rFonts w:hint="default" w:ascii="Times New Roman" w:hAnsi="Times New Roman" w:cs="Times New Roman" w:eastAsiaTheme="minorEastAsia"/>
                      <w:color w:val="auto"/>
                      <w:kern w:val="0"/>
                      <w:sz w:val="18"/>
                      <w:szCs w:val="18"/>
                    </w:rPr>
                    <w:t>按照《企业事业单位突发环境事件应急预案备案管理办法（试行）》</w:t>
                  </w:r>
                  <w:r>
                    <w:rPr>
                      <w:rFonts w:hint="default" w:ascii="Times New Roman" w:hAnsi="Times New Roman" w:cs="Times New Roman" w:eastAsiaTheme="minorEastAsia"/>
                      <w:color w:val="auto"/>
                      <w:sz w:val="18"/>
                      <w:szCs w:val="18"/>
                      <w:lang w:val="zh-CN"/>
                    </w:rPr>
                    <w:t>及当地管理要求，</w:t>
                  </w:r>
                  <w:r>
                    <w:rPr>
                      <w:rFonts w:hint="default" w:ascii="Times New Roman" w:hAnsi="Times New Roman" w:cs="Times New Roman" w:eastAsiaTheme="minorEastAsia"/>
                      <w:color w:val="auto"/>
                      <w:kern w:val="0"/>
                      <w:sz w:val="18"/>
                      <w:szCs w:val="18"/>
                    </w:rPr>
                    <w:t>依法依规编制环境应急预案并定期开展演练。</w:t>
                  </w:r>
                </w:p>
              </w:tc>
              <w:tc>
                <w:tcPr>
                  <w:tcW w:w="355" w:type="pct"/>
                  <w:tcBorders>
                    <w:top w:val="single" w:color="auto" w:sz="4" w:space="0"/>
                    <w:left w:val="single" w:color="auto" w:sz="4" w:space="0"/>
                    <w:bottom w:val="single" w:color="auto" w:sz="4" w:space="0"/>
                    <w:right w:val="single" w:color="auto" w:sz="4" w:space="0"/>
                  </w:tcBorders>
                  <w:vAlign w:val="center"/>
                </w:tcPr>
                <w:p w14:paraId="4DA68D8D">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r w14:paraId="25D3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353" w:type="pct"/>
                  <w:vMerge w:val="continue"/>
                  <w:tcBorders>
                    <w:top w:val="single" w:color="auto" w:sz="4" w:space="0"/>
                    <w:left w:val="single" w:color="auto" w:sz="4" w:space="0"/>
                    <w:bottom w:val="single" w:color="auto" w:sz="4" w:space="0"/>
                    <w:right w:val="single" w:color="auto" w:sz="4" w:space="0"/>
                  </w:tcBorders>
                </w:tcPr>
                <w:p w14:paraId="59AC73A4">
                  <w:pPr>
                    <w:jc w:val="center"/>
                    <w:rPr>
                      <w:rFonts w:hint="default" w:ascii="Times New Roman" w:hAnsi="Times New Roman" w:cs="Times New Roman" w:eastAsiaTheme="minorEastAsia"/>
                      <w:color w:val="auto"/>
                      <w:sz w:val="18"/>
                      <w:szCs w:val="18"/>
                      <w:lang w:val="zh-CN"/>
                    </w:rPr>
                  </w:pPr>
                </w:p>
              </w:tc>
              <w:tc>
                <w:tcPr>
                  <w:tcW w:w="201" w:type="pct"/>
                  <w:vMerge w:val="continue"/>
                  <w:tcBorders>
                    <w:top w:val="single" w:color="auto" w:sz="4" w:space="0"/>
                    <w:left w:val="single" w:color="auto" w:sz="4" w:space="0"/>
                    <w:bottom w:val="single" w:color="auto" w:sz="4" w:space="0"/>
                    <w:right w:val="single" w:color="auto" w:sz="4" w:space="0"/>
                  </w:tcBorders>
                  <w:vAlign w:val="center"/>
                </w:tcPr>
                <w:p w14:paraId="08F9D817">
                  <w:pPr>
                    <w:jc w:val="center"/>
                    <w:rPr>
                      <w:rFonts w:hint="default" w:ascii="Times New Roman" w:hAnsi="Times New Roman" w:cs="Times New Roman" w:eastAsiaTheme="minorEastAsia"/>
                      <w:color w:val="auto"/>
                      <w:sz w:val="18"/>
                      <w:szCs w:val="18"/>
                      <w:lang w:val="zh-CN"/>
                    </w:rPr>
                  </w:pPr>
                </w:p>
              </w:tc>
              <w:tc>
                <w:tcPr>
                  <w:tcW w:w="2393" w:type="pct"/>
                  <w:tcBorders>
                    <w:top w:val="single" w:color="auto" w:sz="4" w:space="0"/>
                    <w:left w:val="single" w:color="auto" w:sz="4" w:space="0"/>
                    <w:bottom w:val="single" w:color="auto" w:sz="4" w:space="0"/>
                    <w:right w:val="single" w:color="auto" w:sz="4" w:space="0"/>
                  </w:tcBorders>
                  <w:vAlign w:val="center"/>
                </w:tcPr>
                <w:p w14:paraId="6E26C2CB">
                  <w:pPr>
                    <w:widowControl/>
                    <w:snapToGrid w:val="0"/>
                    <w:textAlignment w:val="center"/>
                    <w:rPr>
                      <w:rFonts w:hint="default" w:ascii="Times New Roman" w:hAnsi="Times New Roman" w:cs="Times New Roman" w:eastAsiaTheme="minorEastAsia"/>
                      <w:color w:val="auto"/>
                      <w:kern w:val="0"/>
                      <w:sz w:val="18"/>
                      <w:szCs w:val="18"/>
                    </w:rPr>
                  </w:pPr>
                  <w:r>
                    <w:rPr>
                      <w:rFonts w:hint="default" w:ascii="Times New Roman" w:hAnsi="Times New Roman" w:cs="Times New Roman"/>
                      <w:color w:val="auto"/>
                      <w:kern w:val="0"/>
                      <w:sz w:val="18"/>
                      <w:szCs w:val="18"/>
                      <w:lang w:bidi="ar"/>
                    </w:rPr>
                    <w:t>7.建立各企业危险废物的贮存、申报、经营许可（无废城市建设豁免的除外）、转移及处置管理制度，并负责对危废相应活动的全程监管和环境安全保障</w:t>
                  </w:r>
                </w:p>
              </w:tc>
              <w:tc>
                <w:tcPr>
                  <w:tcW w:w="1698" w:type="pct"/>
                  <w:tcBorders>
                    <w:top w:val="single" w:color="auto" w:sz="4" w:space="0"/>
                    <w:left w:val="single" w:color="auto" w:sz="4" w:space="0"/>
                    <w:bottom w:val="single" w:color="auto" w:sz="4" w:space="0"/>
                    <w:right w:val="single" w:color="auto" w:sz="4" w:space="0"/>
                  </w:tcBorders>
                  <w:vAlign w:val="center"/>
                </w:tcPr>
                <w:p w14:paraId="6D2B9C47">
                  <w:pPr>
                    <w:rPr>
                      <w:rFonts w:hint="default" w:ascii="Times New Roman" w:hAnsi="Times New Roman" w:cs="Times New Roman" w:eastAsiaTheme="minorEastAsia"/>
                      <w:color w:val="auto"/>
                      <w:sz w:val="18"/>
                      <w:szCs w:val="18"/>
                      <w:lang w:val="zh-CN"/>
                    </w:rPr>
                  </w:pPr>
                  <w:r>
                    <w:rPr>
                      <w:rFonts w:hint="eastAsia" w:cs="Times New Roman" w:eastAsiaTheme="minorEastAsia"/>
                      <w:color w:val="auto"/>
                      <w:sz w:val="18"/>
                      <w:szCs w:val="18"/>
                      <w:lang w:val="zh-CN"/>
                    </w:rPr>
                    <w:t>本项目</w:t>
                  </w:r>
                  <w:r>
                    <w:rPr>
                      <w:rFonts w:hint="eastAsia" w:cs="Times New Roman" w:eastAsiaTheme="minorEastAsia"/>
                      <w:color w:val="auto"/>
                      <w:sz w:val="18"/>
                      <w:szCs w:val="18"/>
                      <w:lang w:val="en-US" w:eastAsia="zh-CN"/>
                    </w:rPr>
                    <w:t>无新增</w:t>
                  </w:r>
                  <w:r>
                    <w:rPr>
                      <w:rFonts w:hint="default" w:ascii="Times New Roman" w:hAnsi="Times New Roman" w:cs="Times New Roman" w:eastAsiaTheme="minorEastAsia"/>
                      <w:color w:val="auto"/>
                      <w:sz w:val="18"/>
                      <w:szCs w:val="18"/>
                      <w:lang w:val="en-US" w:eastAsia="zh-CN"/>
                    </w:rPr>
                    <w:t>危险废物</w:t>
                  </w:r>
                  <w:r>
                    <w:rPr>
                      <w:rFonts w:hint="eastAsia" w:cs="Times New Roman" w:eastAsiaTheme="minorEastAsia"/>
                      <w:color w:val="auto"/>
                      <w:sz w:val="18"/>
                      <w:szCs w:val="18"/>
                      <w:lang w:val="en-US" w:eastAsia="zh-CN"/>
                    </w:rPr>
                    <w:t>，现有项目产生的废活性炭更换下来后直接委托资质单位进行处理</w:t>
                  </w:r>
                  <w:r>
                    <w:rPr>
                      <w:rFonts w:hint="default" w:ascii="Times New Roman" w:hAnsi="Times New Roman" w:cs="Times New Roman" w:eastAsiaTheme="minorEastAsia"/>
                      <w:color w:val="auto"/>
                      <w:sz w:val="18"/>
                      <w:szCs w:val="18"/>
                      <w:lang w:val="zh-CN"/>
                    </w:rPr>
                    <w:t>。</w:t>
                  </w:r>
                </w:p>
              </w:tc>
              <w:tc>
                <w:tcPr>
                  <w:tcW w:w="355" w:type="pct"/>
                  <w:tcBorders>
                    <w:top w:val="single" w:color="auto" w:sz="4" w:space="0"/>
                    <w:left w:val="single" w:color="auto" w:sz="4" w:space="0"/>
                    <w:bottom w:val="single" w:color="auto" w:sz="4" w:space="0"/>
                    <w:right w:val="single" w:color="auto" w:sz="4" w:space="0"/>
                  </w:tcBorders>
                  <w:vAlign w:val="center"/>
                </w:tcPr>
                <w:p w14:paraId="71DA9D72">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r w14:paraId="7C16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3" w:type="pct"/>
                  <w:vMerge w:val="continue"/>
                  <w:tcBorders>
                    <w:top w:val="single" w:color="auto" w:sz="4" w:space="0"/>
                    <w:left w:val="single" w:color="auto" w:sz="4" w:space="0"/>
                    <w:bottom w:val="single" w:color="auto" w:sz="4" w:space="0"/>
                    <w:right w:val="single" w:color="auto" w:sz="4" w:space="0"/>
                  </w:tcBorders>
                </w:tcPr>
                <w:p w14:paraId="48FB4532">
                  <w:pPr>
                    <w:jc w:val="center"/>
                    <w:rPr>
                      <w:rFonts w:hint="default" w:ascii="Times New Roman" w:hAnsi="Times New Roman" w:cs="Times New Roman" w:eastAsiaTheme="minorEastAsia"/>
                      <w:color w:val="auto"/>
                      <w:sz w:val="18"/>
                      <w:szCs w:val="18"/>
                      <w:lang w:val="zh-CN"/>
                    </w:rPr>
                  </w:pPr>
                </w:p>
              </w:tc>
              <w:tc>
                <w:tcPr>
                  <w:tcW w:w="201" w:type="pct"/>
                  <w:vMerge w:val="continue"/>
                  <w:tcBorders>
                    <w:top w:val="single" w:color="auto" w:sz="4" w:space="0"/>
                    <w:left w:val="single" w:color="auto" w:sz="4" w:space="0"/>
                    <w:bottom w:val="single" w:color="auto" w:sz="4" w:space="0"/>
                    <w:right w:val="single" w:color="auto" w:sz="4" w:space="0"/>
                  </w:tcBorders>
                  <w:vAlign w:val="center"/>
                </w:tcPr>
                <w:p w14:paraId="7AC66827">
                  <w:pPr>
                    <w:jc w:val="center"/>
                    <w:rPr>
                      <w:rFonts w:hint="default" w:ascii="Times New Roman" w:hAnsi="Times New Roman" w:cs="Times New Roman" w:eastAsiaTheme="minorEastAsia"/>
                      <w:color w:val="auto"/>
                      <w:sz w:val="18"/>
                      <w:szCs w:val="18"/>
                      <w:lang w:val="zh-CN"/>
                    </w:rPr>
                  </w:pPr>
                </w:p>
              </w:tc>
              <w:tc>
                <w:tcPr>
                  <w:tcW w:w="2393" w:type="pct"/>
                  <w:tcBorders>
                    <w:top w:val="single" w:color="auto" w:sz="4" w:space="0"/>
                    <w:left w:val="single" w:color="auto" w:sz="4" w:space="0"/>
                    <w:bottom w:val="single" w:color="auto" w:sz="4" w:space="0"/>
                    <w:right w:val="single" w:color="auto" w:sz="4" w:space="0"/>
                  </w:tcBorders>
                  <w:vAlign w:val="center"/>
                </w:tcPr>
                <w:p w14:paraId="5B550977">
                  <w:pPr>
                    <w:rPr>
                      <w:rFonts w:hint="default" w:ascii="Times New Roman" w:hAnsi="Times New Roman" w:cs="Times New Roman" w:eastAsiaTheme="minorEastAsia"/>
                      <w:color w:val="auto"/>
                      <w:sz w:val="18"/>
                      <w:szCs w:val="18"/>
                      <w:lang w:val="zh-CN"/>
                    </w:rPr>
                  </w:pPr>
                  <w:r>
                    <w:rPr>
                      <w:rFonts w:hint="default" w:ascii="Times New Roman" w:hAnsi="Times New Roman" w:cs="Times New Roman"/>
                      <w:color w:val="auto"/>
                      <w:kern w:val="0"/>
                      <w:sz w:val="18"/>
                      <w:szCs w:val="18"/>
                      <w:lang w:bidi="ar"/>
                    </w:rPr>
                    <w:t>9.按照省市要求，做好清洁取暖改造工作。</w:t>
                  </w:r>
                </w:p>
              </w:tc>
              <w:tc>
                <w:tcPr>
                  <w:tcW w:w="1698" w:type="pct"/>
                  <w:tcBorders>
                    <w:top w:val="single" w:color="auto" w:sz="4" w:space="0"/>
                    <w:left w:val="single" w:color="auto" w:sz="4" w:space="0"/>
                    <w:bottom w:val="single" w:color="auto" w:sz="4" w:space="0"/>
                    <w:right w:val="single" w:color="auto" w:sz="4" w:space="0"/>
                  </w:tcBorders>
                  <w:vAlign w:val="center"/>
                </w:tcPr>
                <w:p w14:paraId="4DAB8552">
                  <w:pPr>
                    <w:rPr>
                      <w:rFonts w:hint="default" w:ascii="Times New Roman" w:hAnsi="Times New Roman" w:cs="Times New Roman" w:eastAsiaTheme="minorEastAsia"/>
                      <w:color w:val="auto"/>
                      <w:sz w:val="18"/>
                      <w:szCs w:val="18"/>
                      <w:lang w:val="zh-CN"/>
                    </w:rPr>
                  </w:pPr>
                  <w:r>
                    <w:rPr>
                      <w:rFonts w:hint="eastAsia" w:cs="Times New Roman" w:eastAsiaTheme="minorEastAsia"/>
                      <w:color w:val="auto"/>
                      <w:sz w:val="18"/>
                      <w:szCs w:val="18"/>
                      <w:lang w:val="zh-CN"/>
                    </w:rPr>
                    <w:t>本项目</w:t>
                  </w:r>
                  <w:r>
                    <w:rPr>
                      <w:rFonts w:hint="default" w:ascii="Times New Roman" w:hAnsi="Times New Roman" w:cs="Times New Roman" w:eastAsiaTheme="minorEastAsia"/>
                      <w:color w:val="auto"/>
                      <w:sz w:val="18"/>
                      <w:szCs w:val="18"/>
                      <w:lang w:val="zh-CN"/>
                    </w:rPr>
                    <w:t>办公室取暖采用空调，车间无取暖措施。</w:t>
                  </w:r>
                </w:p>
              </w:tc>
              <w:tc>
                <w:tcPr>
                  <w:tcW w:w="355" w:type="pct"/>
                  <w:tcBorders>
                    <w:top w:val="single" w:color="auto" w:sz="4" w:space="0"/>
                    <w:left w:val="single" w:color="auto" w:sz="4" w:space="0"/>
                    <w:bottom w:val="single" w:color="auto" w:sz="4" w:space="0"/>
                    <w:right w:val="single" w:color="auto" w:sz="4" w:space="0"/>
                  </w:tcBorders>
                  <w:vAlign w:val="center"/>
                </w:tcPr>
                <w:p w14:paraId="43EE31BF">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r w14:paraId="6546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3" w:type="pct"/>
                  <w:vMerge w:val="continue"/>
                  <w:tcBorders>
                    <w:top w:val="single" w:color="auto" w:sz="4" w:space="0"/>
                    <w:left w:val="single" w:color="auto" w:sz="4" w:space="0"/>
                    <w:bottom w:val="single" w:color="auto" w:sz="4" w:space="0"/>
                    <w:right w:val="single" w:color="auto" w:sz="4" w:space="0"/>
                  </w:tcBorders>
                </w:tcPr>
                <w:p w14:paraId="3FD088E6">
                  <w:pPr>
                    <w:jc w:val="center"/>
                    <w:rPr>
                      <w:rFonts w:hint="default" w:ascii="Times New Roman" w:hAnsi="Times New Roman" w:cs="Times New Roman" w:eastAsiaTheme="minorEastAsia"/>
                      <w:color w:val="auto"/>
                      <w:sz w:val="18"/>
                      <w:szCs w:val="18"/>
                      <w:lang w:val="zh-CN"/>
                    </w:rPr>
                  </w:pPr>
                </w:p>
              </w:tc>
              <w:tc>
                <w:tcPr>
                  <w:tcW w:w="201" w:type="pct"/>
                  <w:vMerge w:val="restart"/>
                  <w:tcBorders>
                    <w:top w:val="single" w:color="auto" w:sz="4" w:space="0"/>
                    <w:left w:val="single" w:color="auto" w:sz="4" w:space="0"/>
                    <w:bottom w:val="single" w:color="auto" w:sz="4" w:space="0"/>
                    <w:right w:val="single" w:color="auto" w:sz="4" w:space="0"/>
                  </w:tcBorders>
                  <w:vAlign w:val="center"/>
                </w:tcPr>
                <w:p w14:paraId="13D3B0FA">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资源开放效率要求</w:t>
                  </w:r>
                </w:p>
              </w:tc>
              <w:tc>
                <w:tcPr>
                  <w:tcW w:w="2393" w:type="pct"/>
                  <w:tcBorders>
                    <w:top w:val="single" w:color="auto" w:sz="4" w:space="0"/>
                    <w:left w:val="single" w:color="auto" w:sz="4" w:space="0"/>
                    <w:bottom w:val="single" w:color="auto" w:sz="4" w:space="0"/>
                    <w:right w:val="single" w:color="auto" w:sz="4" w:space="0"/>
                  </w:tcBorders>
                  <w:vAlign w:val="center"/>
                </w:tcPr>
                <w:p w14:paraId="4C0826FD">
                  <w:pPr>
                    <w:rPr>
                      <w:rFonts w:hint="default" w:ascii="Times New Roman" w:hAnsi="Times New Roman" w:cs="Times New Roman" w:eastAsiaTheme="minorEastAsia"/>
                      <w:color w:val="auto"/>
                      <w:sz w:val="18"/>
                      <w:szCs w:val="18"/>
                      <w:lang w:val="zh-CN"/>
                    </w:rPr>
                  </w:pPr>
                  <w:r>
                    <w:rPr>
                      <w:rFonts w:hint="default" w:ascii="Times New Roman" w:hAnsi="Times New Roman" w:cs="Times New Roman"/>
                      <w:color w:val="auto"/>
                      <w:kern w:val="0"/>
                      <w:sz w:val="18"/>
                      <w:szCs w:val="18"/>
                      <w:lang w:bidi="ar"/>
                    </w:rPr>
                    <w:t>1.高污染燃料禁燃区内执行淄博市高污染燃料禁燃区划定文件的管控要求</w:t>
                  </w:r>
                </w:p>
              </w:tc>
              <w:tc>
                <w:tcPr>
                  <w:tcW w:w="1698" w:type="pct"/>
                  <w:tcBorders>
                    <w:top w:val="single" w:color="auto" w:sz="4" w:space="0"/>
                    <w:left w:val="single" w:color="auto" w:sz="4" w:space="0"/>
                    <w:bottom w:val="single" w:color="auto" w:sz="4" w:space="0"/>
                    <w:right w:val="single" w:color="auto" w:sz="4" w:space="0"/>
                  </w:tcBorders>
                  <w:vAlign w:val="center"/>
                </w:tcPr>
                <w:p w14:paraId="568B1177">
                  <w:pPr>
                    <w:rPr>
                      <w:rFonts w:hint="default" w:ascii="Times New Roman" w:hAnsi="Times New Roman" w:cs="Times New Roman" w:eastAsiaTheme="minorEastAsia"/>
                      <w:color w:val="auto"/>
                      <w:sz w:val="18"/>
                      <w:szCs w:val="18"/>
                      <w:lang w:val="zh-CN"/>
                    </w:rPr>
                  </w:pPr>
                  <w:r>
                    <w:rPr>
                      <w:rFonts w:hint="eastAsia" w:cs="Times New Roman" w:eastAsiaTheme="minorEastAsia"/>
                      <w:color w:val="auto"/>
                      <w:sz w:val="18"/>
                      <w:szCs w:val="18"/>
                      <w:lang w:val="zh-CN"/>
                    </w:rPr>
                    <w:t>本项目</w:t>
                  </w:r>
                  <w:r>
                    <w:rPr>
                      <w:rFonts w:hint="default" w:ascii="Times New Roman" w:hAnsi="Times New Roman" w:cs="Times New Roman" w:eastAsiaTheme="minorEastAsia"/>
                      <w:color w:val="auto"/>
                      <w:sz w:val="18"/>
                      <w:szCs w:val="18"/>
                      <w:lang w:val="en-US" w:eastAsia="zh-CN"/>
                    </w:rPr>
                    <w:t>不涉及燃料，使用清洁能源电</w:t>
                  </w:r>
                  <w:r>
                    <w:rPr>
                      <w:rFonts w:hint="default" w:ascii="Times New Roman" w:hAnsi="Times New Roman" w:cs="Times New Roman" w:eastAsiaTheme="minorEastAsia"/>
                      <w:color w:val="auto"/>
                      <w:sz w:val="18"/>
                      <w:szCs w:val="18"/>
                      <w:lang w:val="zh-CN"/>
                    </w:rPr>
                    <w:t>。</w:t>
                  </w:r>
                </w:p>
              </w:tc>
              <w:tc>
                <w:tcPr>
                  <w:tcW w:w="355" w:type="pct"/>
                  <w:tcBorders>
                    <w:top w:val="single" w:color="auto" w:sz="4" w:space="0"/>
                    <w:left w:val="single" w:color="auto" w:sz="4" w:space="0"/>
                    <w:bottom w:val="single" w:color="auto" w:sz="4" w:space="0"/>
                    <w:right w:val="single" w:color="auto" w:sz="4" w:space="0"/>
                  </w:tcBorders>
                  <w:vAlign w:val="center"/>
                </w:tcPr>
                <w:p w14:paraId="2F0A40D6">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r w14:paraId="2982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3" w:type="pct"/>
                  <w:vMerge w:val="continue"/>
                  <w:tcBorders>
                    <w:top w:val="single" w:color="auto" w:sz="4" w:space="0"/>
                    <w:left w:val="single" w:color="auto" w:sz="4" w:space="0"/>
                    <w:bottom w:val="single" w:color="auto" w:sz="4" w:space="0"/>
                    <w:right w:val="single" w:color="auto" w:sz="4" w:space="0"/>
                  </w:tcBorders>
                </w:tcPr>
                <w:p w14:paraId="514B497E">
                  <w:pPr>
                    <w:jc w:val="center"/>
                    <w:rPr>
                      <w:rFonts w:hint="default" w:ascii="Times New Roman" w:hAnsi="Times New Roman" w:cs="Times New Roman" w:eastAsiaTheme="minorEastAsia"/>
                      <w:color w:val="auto"/>
                      <w:sz w:val="18"/>
                      <w:szCs w:val="18"/>
                      <w:lang w:val="zh-CN"/>
                    </w:rPr>
                  </w:pPr>
                </w:p>
              </w:tc>
              <w:tc>
                <w:tcPr>
                  <w:tcW w:w="201" w:type="pct"/>
                  <w:vMerge w:val="continue"/>
                  <w:tcBorders>
                    <w:top w:val="single" w:color="auto" w:sz="4" w:space="0"/>
                    <w:left w:val="single" w:color="auto" w:sz="4" w:space="0"/>
                    <w:bottom w:val="single" w:color="auto" w:sz="4" w:space="0"/>
                    <w:right w:val="single" w:color="auto" w:sz="4" w:space="0"/>
                  </w:tcBorders>
                  <w:vAlign w:val="center"/>
                </w:tcPr>
                <w:p w14:paraId="200EC9DA">
                  <w:pPr>
                    <w:jc w:val="center"/>
                    <w:rPr>
                      <w:rFonts w:hint="default" w:ascii="Times New Roman" w:hAnsi="Times New Roman" w:cs="Times New Roman" w:eastAsiaTheme="minorEastAsia"/>
                      <w:color w:val="auto"/>
                      <w:sz w:val="18"/>
                      <w:szCs w:val="18"/>
                      <w:lang w:val="zh-CN"/>
                    </w:rPr>
                  </w:pPr>
                </w:p>
              </w:tc>
              <w:tc>
                <w:tcPr>
                  <w:tcW w:w="2393" w:type="pct"/>
                  <w:tcBorders>
                    <w:top w:val="single" w:color="auto" w:sz="4" w:space="0"/>
                    <w:left w:val="single" w:color="auto" w:sz="4" w:space="0"/>
                    <w:bottom w:val="single" w:color="auto" w:sz="4" w:space="0"/>
                    <w:right w:val="single" w:color="auto" w:sz="4" w:space="0"/>
                  </w:tcBorders>
                  <w:vAlign w:val="center"/>
                </w:tcPr>
                <w:p w14:paraId="3D7203EF">
                  <w:pPr>
                    <w:rPr>
                      <w:rFonts w:hint="default" w:ascii="Times New Roman" w:hAnsi="Times New Roman" w:cs="Times New Roman" w:eastAsiaTheme="minorEastAsia"/>
                      <w:color w:val="auto"/>
                      <w:sz w:val="18"/>
                      <w:szCs w:val="18"/>
                      <w:lang w:val="zh-CN"/>
                    </w:rPr>
                  </w:pPr>
                  <w:r>
                    <w:rPr>
                      <w:rFonts w:hint="default" w:ascii="Times New Roman" w:hAnsi="Times New Roman" w:cs="Times New Roman"/>
                      <w:color w:val="auto"/>
                      <w:kern w:val="0"/>
                      <w:sz w:val="18"/>
                      <w:szCs w:val="18"/>
                      <w:lang w:bidi="ar"/>
                    </w:rPr>
                    <w:t>2.强化节水措施，提高水资源使用效率。</w:t>
                  </w:r>
                </w:p>
              </w:tc>
              <w:tc>
                <w:tcPr>
                  <w:tcW w:w="1698" w:type="pct"/>
                  <w:tcBorders>
                    <w:top w:val="single" w:color="auto" w:sz="4" w:space="0"/>
                    <w:left w:val="single" w:color="auto" w:sz="4" w:space="0"/>
                    <w:bottom w:val="single" w:color="auto" w:sz="4" w:space="0"/>
                    <w:right w:val="single" w:color="auto" w:sz="4" w:space="0"/>
                  </w:tcBorders>
                  <w:vAlign w:val="center"/>
                </w:tcPr>
                <w:p w14:paraId="2F09787F">
                  <w:pPr>
                    <w:rPr>
                      <w:rFonts w:hint="default" w:ascii="Times New Roman" w:hAnsi="Times New Roman" w:cs="Times New Roman" w:eastAsiaTheme="minorEastAsia"/>
                      <w:color w:val="auto"/>
                      <w:sz w:val="18"/>
                      <w:szCs w:val="18"/>
                      <w:lang w:val="zh-CN"/>
                    </w:rPr>
                  </w:pPr>
                  <w:r>
                    <w:rPr>
                      <w:rFonts w:hint="eastAsia" w:cs="Times New Roman" w:eastAsiaTheme="minorEastAsia"/>
                      <w:color w:val="auto"/>
                      <w:sz w:val="18"/>
                      <w:szCs w:val="18"/>
                      <w:lang w:val="zh-CN"/>
                    </w:rPr>
                    <w:t>本项目</w:t>
                  </w:r>
                  <w:r>
                    <w:rPr>
                      <w:rFonts w:hint="default" w:ascii="Times New Roman" w:hAnsi="Times New Roman" w:cs="Times New Roman" w:eastAsiaTheme="minorEastAsia"/>
                      <w:color w:val="auto"/>
                      <w:sz w:val="18"/>
                      <w:szCs w:val="18"/>
                      <w:lang w:val="zh-CN"/>
                    </w:rPr>
                    <w:t>生产不新增用水。</w:t>
                  </w:r>
                </w:p>
              </w:tc>
              <w:tc>
                <w:tcPr>
                  <w:tcW w:w="355" w:type="pct"/>
                  <w:tcBorders>
                    <w:top w:val="single" w:color="auto" w:sz="4" w:space="0"/>
                    <w:left w:val="single" w:color="auto" w:sz="4" w:space="0"/>
                    <w:bottom w:val="single" w:color="auto" w:sz="4" w:space="0"/>
                    <w:right w:val="single" w:color="auto" w:sz="4" w:space="0"/>
                  </w:tcBorders>
                  <w:vAlign w:val="center"/>
                </w:tcPr>
                <w:p w14:paraId="3FD3A8A8">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r w14:paraId="6F62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3" w:type="pct"/>
                  <w:vMerge w:val="continue"/>
                  <w:tcBorders>
                    <w:top w:val="single" w:color="auto" w:sz="4" w:space="0"/>
                    <w:left w:val="single" w:color="auto" w:sz="4" w:space="0"/>
                    <w:bottom w:val="single" w:color="auto" w:sz="4" w:space="0"/>
                    <w:right w:val="single" w:color="auto" w:sz="4" w:space="0"/>
                  </w:tcBorders>
                </w:tcPr>
                <w:p w14:paraId="392B928F">
                  <w:pPr>
                    <w:jc w:val="center"/>
                    <w:rPr>
                      <w:rFonts w:hint="default" w:ascii="Times New Roman" w:hAnsi="Times New Roman" w:cs="Times New Roman" w:eastAsiaTheme="minorEastAsia"/>
                      <w:color w:val="auto"/>
                      <w:sz w:val="18"/>
                      <w:szCs w:val="18"/>
                      <w:lang w:val="zh-CN"/>
                    </w:rPr>
                  </w:pPr>
                </w:p>
              </w:tc>
              <w:tc>
                <w:tcPr>
                  <w:tcW w:w="201" w:type="pct"/>
                  <w:vMerge w:val="continue"/>
                  <w:tcBorders>
                    <w:top w:val="single" w:color="auto" w:sz="4" w:space="0"/>
                    <w:left w:val="single" w:color="auto" w:sz="4" w:space="0"/>
                    <w:bottom w:val="single" w:color="auto" w:sz="4" w:space="0"/>
                    <w:right w:val="single" w:color="auto" w:sz="4" w:space="0"/>
                  </w:tcBorders>
                  <w:vAlign w:val="center"/>
                </w:tcPr>
                <w:p w14:paraId="36EC185B">
                  <w:pPr>
                    <w:jc w:val="center"/>
                    <w:rPr>
                      <w:rFonts w:hint="default" w:ascii="Times New Roman" w:hAnsi="Times New Roman" w:cs="Times New Roman" w:eastAsiaTheme="minorEastAsia"/>
                      <w:color w:val="auto"/>
                      <w:sz w:val="18"/>
                      <w:szCs w:val="18"/>
                      <w:lang w:val="zh-CN"/>
                    </w:rPr>
                  </w:pPr>
                </w:p>
              </w:tc>
              <w:tc>
                <w:tcPr>
                  <w:tcW w:w="2393" w:type="pct"/>
                  <w:tcBorders>
                    <w:top w:val="single" w:color="auto" w:sz="4" w:space="0"/>
                    <w:left w:val="single" w:color="auto" w:sz="4" w:space="0"/>
                    <w:bottom w:val="single" w:color="auto" w:sz="4" w:space="0"/>
                    <w:right w:val="single" w:color="auto" w:sz="4" w:space="0"/>
                  </w:tcBorders>
                  <w:vAlign w:val="center"/>
                </w:tcPr>
                <w:p w14:paraId="3C043CB3">
                  <w:pPr>
                    <w:rPr>
                      <w:rFonts w:hint="default" w:ascii="Times New Roman" w:hAnsi="Times New Roman" w:cs="Times New Roman" w:eastAsiaTheme="minorEastAsia"/>
                      <w:color w:val="auto"/>
                      <w:sz w:val="18"/>
                      <w:szCs w:val="18"/>
                      <w:lang w:val="zh-CN"/>
                    </w:rPr>
                  </w:pPr>
                  <w:r>
                    <w:rPr>
                      <w:rFonts w:hint="default" w:ascii="Times New Roman" w:hAnsi="Times New Roman" w:cs="Times New Roman"/>
                      <w:color w:val="auto"/>
                      <w:kern w:val="0"/>
                      <w:sz w:val="18"/>
                      <w:szCs w:val="18"/>
                      <w:lang w:bidi="ar"/>
                    </w:rPr>
                    <w:t>3.提升土地集约化水平</w:t>
                  </w:r>
                </w:p>
              </w:tc>
              <w:tc>
                <w:tcPr>
                  <w:tcW w:w="1698" w:type="pct"/>
                  <w:tcBorders>
                    <w:top w:val="single" w:color="auto" w:sz="4" w:space="0"/>
                    <w:left w:val="single" w:color="auto" w:sz="4" w:space="0"/>
                    <w:bottom w:val="single" w:color="auto" w:sz="4" w:space="0"/>
                    <w:right w:val="single" w:color="auto" w:sz="4" w:space="0"/>
                  </w:tcBorders>
                  <w:vAlign w:val="center"/>
                </w:tcPr>
                <w:p w14:paraId="672933BC">
                  <w:pPr>
                    <w:rPr>
                      <w:rFonts w:hint="default" w:ascii="Times New Roman" w:hAnsi="Times New Roman" w:cs="Times New Roman" w:eastAsiaTheme="minorEastAsia"/>
                      <w:color w:val="auto"/>
                      <w:sz w:val="18"/>
                      <w:szCs w:val="18"/>
                      <w:lang w:val="zh-CN"/>
                    </w:rPr>
                  </w:pPr>
                  <w:r>
                    <w:rPr>
                      <w:rFonts w:hint="eastAsia" w:cs="Times New Roman" w:eastAsiaTheme="minorEastAsia"/>
                      <w:color w:val="auto"/>
                      <w:sz w:val="18"/>
                      <w:szCs w:val="18"/>
                      <w:lang w:val="zh-CN"/>
                    </w:rPr>
                    <w:t>本项目</w:t>
                  </w:r>
                  <w:r>
                    <w:rPr>
                      <w:rFonts w:hint="default" w:ascii="Times New Roman" w:hAnsi="Times New Roman" w:cs="Times New Roman" w:eastAsiaTheme="minorEastAsia"/>
                      <w:color w:val="auto"/>
                      <w:sz w:val="18"/>
                      <w:szCs w:val="18"/>
                      <w:lang w:val="zh-CN"/>
                    </w:rPr>
                    <w:t>在现有车间内</w:t>
                  </w:r>
                  <w:r>
                    <w:rPr>
                      <w:rFonts w:hint="eastAsia" w:cs="Times New Roman" w:eastAsiaTheme="minorEastAsia"/>
                      <w:color w:val="auto"/>
                      <w:sz w:val="18"/>
                      <w:szCs w:val="18"/>
                      <w:lang w:val="en-US" w:eastAsia="zh-CN"/>
                    </w:rPr>
                    <w:t>建设</w:t>
                  </w:r>
                  <w:r>
                    <w:rPr>
                      <w:rFonts w:hint="default" w:ascii="Times New Roman" w:hAnsi="Times New Roman" w:cs="Times New Roman" w:eastAsiaTheme="minorEastAsia"/>
                      <w:color w:val="auto"/>
                      <w:sz w:val="18"/>
                      <w:szCs w:val="18"/>
                      <w:lang w:val="zh-CN"/>
                    </w:rPr>
                    <w:t>，不新增用地。</w:t>
                  </w:r>
                </w:p>
              </w:tc>
              <w:tc>
                <w:tcPr>
                  <w:tcW w:w="355" w:type="pct"/>
                  <w:tcBorders>
                    <w:top w:val="single" w:color="auto" w:sz="4" w:space="0"/>
                    <w:left w:val="single" w:color="auto" w:sz="4" w:space="0"/>
                    <w:bottom w:val="single" w:color="auto" w:sz="4" w:space="0"/>
                    <w:right w:val="single" w:color="auto" w:sz="4" w:space="0"/>
                  </w:tcBorders>
                  <w:vAlign w:val="center"/>
                </w:tcPr>
                <w:p w14:paraId="08C7029D">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r w14:paraId="28D0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3" w:type="pct"/>
                  <w:vMerge w:val="continue"/>
                  <w:tcBorders>
                    <w:top w:val="single" w:color="auto" w:sz="4" w:space="0"/>
                    <w:left w:val="single" w:color="auto" w:sz="4" w:space="0"/>
                    <w:bottom w:val="single" w:color="auto" w:sz="4" w:space="0"/>
                    <w:right w:val="single" w:color="auto" w:sz="4" w:space="0"/>
                  </w:tcBorders>
                </w:tcPr>
                <w:p w14:paraId="6387858B">
                  <w:pPr>
                    <w:jc w:val="center"/>
                    <w:rPr>
                      <w:rFonts w:hint="default" w:ascii="Times New Roman" w:hAnsi="Times New Roman" w:cs="Times New Roman" w:eastAsiaTheme="minorEastAsia"/>
                      <w:color w:val="auto"/>
                      <w:sz w:val="18"/>
                      <w:szCs w:val="18"/>
                      <w:lang w:val="zh-CN"/>
                    </w:rPr>
                  </w:pPr>
                </w:p>
              </w:tc>
              <w:tc>
                <w:tcPr>
                  <w:tcW w:w="201" w:type="pct"/>
                  <w:vMerge w:val="continue"/>
                  <w:tcBorders>
                    <w:top w:val="single" w:color="auto" w:sz="4" w:space="0"/>
                    <w:left w:val="single" w:color="auto" w:sz="4" w:space="0"/>
                    <w:bottom w:val="single" w:color="auto" w:sz="4" w:space="0"/>
                    <w:right w:val="single" w:color="auto" w:sz="4" w:space="0"/>
                  </w:tcBorders>
                  <w:vAlign w:val="center"/>
                </w:tcPr>
                <w:p w14:paraId="28F28CD4">
                  <w:pPr>
                    <w:jc w:val="center"/>
                    <w:rPr>
                      <w:rFonts w:hint="default" w:ascii="Times New Roman" w:hAnsi="Times New Roman" w:cs="Times New Roman" w:eastAsiaTheme="minorEastAsia"/>
                      <w:color w:val="auto"/>
                      <w:sz w:val="18"/>
                      <w:szCs w:val="18"/>
                      <w:lang w:val="zh-CN"/>
                    </w:rPr>
                  </w:pPr>
                </w:p>
              </w:tc>
              <w:tc>
                <w:tcPr>
                  <w:tcW w:w="2393" w:type="pct"/>
                  <w:tcBorders>
                    <w:top w:val="single" w:color="auto" w:sz="4" w:space="0"/>
                    <w:left w:val="single" w:color="auto" w:sz="4" w:space="0"/>
                    <w:bottom w:val="single" w:color="auto" w:sz="4" w:space="0"/>
                    <w:right w:val="single" w:color="auto" w:sz="4" w:space="0"/>
                  </w:tcBorders>
                  <w:vAlign w:val="center"/>
                </w:tcPr>
                <w:p w14:paraId="4EF66A0C">
                  <w:pPr>
                    <w:rPr>
                      <w:rFonts w:hint="default" w:ascii="Times New Roman" w:hAnsi="Times New Roman" w:cs="Times New Roman" w:eastAsiaTheme="minorEastAsia"/>
                      <w:color w:val="auto"/>
                      <w:kern w:val="0"/>
                      <w:sz w:val="18"/>
                      <w:szCs w:val="18"/>
                    </w:rPr>
                  </w:pPr>
                  <w:r>
                    <w:rPr>
                      <w:rFonts w:hint="default" w:ascii="Times New Roman" w:hAnsi="Times New Roman" w:cs="Times New Roman"/>
                      <w:color w:val="auto"/>
                      <w:kern w:val="0"/>
                      <w:sz w:val="18"/>
                      <w:szCs w:val="18"/>
                      <w:lang w:bidi="ar"/>
                    </w:rPr>
                    <w:t>4.优化调整能源利用结构，控制煤炭消费量，实现减量化，鼓励使用清洁能源、新能源和可再生能源</w:t>
                  </w:r>
                </w:p>
              </w:tc>
              <w:tc>
                <w:tcPr>
                  <w:tcW w:w="1698" w:type="pct"/>
                  <w:tcBorders>
                    <w:top w:val="single" w:color="auto" w:sz="4" w:space="0"/>
                    <w:left w:val="single" w:color="auto" w:sz="4" w:space="0"/>
                    <w:bottom w:val="single" w:color="auto" w:sz="4" w:space="0"/>
                    <w:right w:val="single" w:color="auto" w:sz="4" w:space="0"/>
                  </w:tcBorders>
                  <w:vAlign w:val="center"/>
                </w:tcPr>
                <w:p w14:paraId="50751CEF">
                  <w:pPr>
                    <w:rPr>
                      <w:rFonts w:hint="default" w:ascii="Times New Roman" w:hAnsi="Times New Roman" w:cs="Times New Roman" w:eastAsiaTheme="minorEastAsia"/>
                      <w:color w:val="auto"/>
                      <w:sz w:val="18"/>
                      <w:szCs w:val="18"/>
                      <w:lang w:val="zh-CN"/>
                    </w:rPr>
                  </w:pPr>
                  <w:r>
                    <w:rPr>
                      <w:rFonts w:hint="eastAsia" w:cs="Times New Roman" w:eastAsiaTheme="minorEastAsia"/>
                      <w:color w:val="auto"/>
                      <w:sz w:val="18"/>
                      <w:szCs w:val="18"/>
                      <w:lang w:val="zh-CN"/>
                    </w:rPr>
                    <w:t>本项目</w:t>
                  </w:r>
                  <w:r>
                    <w:rPr>
                      <w:rFonts w:hint="default" w:ascii="Times New Roman" w:hAnsi="Times New Roman" w:cs="Times New Roman" w:eastAsiaTheme="minorEastAsia"/>
                      <w:color w:val="auto"/>
                      <w:sz w:val="18"/>
                      <w:szCs w:val="18"/>
                      <w:lang w:val="zh-CN"/>
                    </w:rPr>
                    <w:t>使用清洁能源电。</w:t>
                  </w:r>
                </w:p>
              </w:tc>
              <w:tc>
                <w:tcPr>
                  <w:tcW w:w="355" w:type="pct"/>
                  <w:tcBorders>
                    <w:top w:val="single" w:color="auto" w:sz="4" w:space="0"/>
                    <w:left w:val="single" w:color="auto" w:sz="4" w:space="0"/>
                    <w:bottom w:val="single" w:color="auto" w:sz="4" w:space="0"/>
                    <w:right w:val="single" w:color="auto" w:sz="4" w:space="0"/>
                  </w:tcBorders>
                  <w:vAlign w:val="center"/>
                </w:tcPr>
                <w:p w14:paraId="3900E054">
                  <w:pPr>
                    <w:jc w:val="center"/>
                    <w:rPr>
                      <w:rFonts w:hint="default" w:ascii="Times New Roman" w:hAnsi="Times New Roman" w:cs="Times New Roman" w:eastAsiaTheme="minorEastAsia"/>
                      <w:color w:val="auto"/>
                      <w:sz w:val="18"/>
                      <w:szCs w:val="18"/>
                      <w:lang w:val="zh-CN"/>
                    </w:rPr>
                  </w:pPr>
                  <w:r>
                    <w:rPr>
                      <w:rFonts w:hint="default" w:ascii="Times New Roman" w:hAnsi="Times New Roman" w:cs="Times New Roman" w:eastAsiaTheme="minorEastAsia"/>
                      <w:color w:val="auto"/>
                      <w:sz w:val="18"/>
                      <w:szCs w:val="18"/>
                      <w:lang w:val="zh-CN"/>
                    </w:rPr>
                    <w:t>符合</w:t>
                  </w:r>
                </w:p>
              </w:tc>
            </w:tr>
          </w:tbl>
          <w:p w14:paraId="589CECA1">
            <w:pPr>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综上，本项目符合</w:t>
            </w:r>
            <w:r>
              <w:rPr>
                <w:rFonts w:hint="default" w:ascii="Times New Roman" w:hAnsi="Times New Roman" w:cs="Times New Roman"/>
                <w:color w:val="auto"/>
                <w:szCs w:val="21"/>
                <w:lang w:val="zh-CN"/>
              </w:rPr>
              <w:t>淄博市生态环境准入清单管理要求。</w:t>
            </w:r>
          </w:p>
          <w:p w14:paraId="0C31CB27">
            <w:pPr>
              <w:pStyle w:val="85"/>
              <w:spacing w:after="0" w:line="360" w:lineRule="auto"/>
              <w:ind w:left="0" w:leftChars="0"/>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kern w:val="0"/>
                <w:szCs w:val="21"/>
              </w:rPr>
              <w:t>二、</w:t>
            </w:r>
            <w:r>
              <w:rPr>
                <w:rFonts w:hint="default" w:ascii="Times New Roman" w:hAnsi="Times New Roman" w:eastAsia="黑体" w:cs="Times New Roman"/>
                <w:bCs/>
                <w:color w:val="auto"/>
                <w:szCs w:val="21"/>
              </w:rPr>
              <w:t>项目政策符合性分析</w:t>
            </w:r>
          </w:p>
          <w:p w14:paraId="1ED0984E">
            <w:pPr>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1、产业政策符合性</w:t>
            </w:r>
          </w:p>
          <w:p w14:paraId="450AB0A0">
            <w:pPr>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项目的规模、产品、工艺以及采用的生产设备均不属于</w:t>
            </w:r>
            <w:r>
              <w:rPr>
                <w:rFonts w:hint="default" w:ascii="Times New Roman" w:hAnsi="Times New Roman" w:cs="Times New Roman"/>
                <w:color w:val="auto"/>
                <w:szCs w:val="21"/>
                <w:lang w:eastAsia="zh-CN"/>
              </w:rPr>
              <w:t>《产业结构调整指导目录（2024年本）》</w:t>
            </w:r>
            <w:r>
              <w:rPr>
                <w:rFonts w:hint="default" w:ascii="Times New Roman" w:hAnsi="Times New Roman" w:cs="Times New Roman"/>
                <w:color w:val="auto"/>
                <w:szCs w:val="21"/>
              </w:rPr>
              <w:t>中的限制类和淘汰类项目，符合国家产业政策。</w:t>
            </w:r>
          </w:p>
          <w:p w14:paraId="3E7957D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rPr>
              <w:t>2、选址符合性</w:t>
            </w:r>
          </w:p>
          <w:p w14:paraId="1BFD2BD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cs="Times New Roman"/>
                <w:color w:val="auto"/>
                <w:szCs w:val="21"/>
                <w:highlight w:val="none"/>
                <w:lang w:eastAsia="zh-CN"/>
              </w:rPr>
              <w:t>淄博宝路保温材料有限公司</w:t>
            </w:r>
            <w:r>
              <w:rPr>
                <w:rFonts w:hint="default" w:ascii="Times New Roman" w:hAnsi="Times New Roman" w:cs="Times New Roman"/>
                <w:color w:val="auto"/>
                <w:szCs w:val="21"/>
                <w:highlight w:val="none"/>
              </w:rPr>
              <w:t>租用</w:t>
            </w:r>
            <w:r>
              <w:rPr>
                <w:rFonts w:hint="eastAsia" w:cs="Times New Roman"/>
                <w:color w:val="auto"/>
                <w:szCs w:val="21"/>
                <w:highlight w:val="none"/>
                <w:lang w:eastAsia="zh-CN"/>
              </w:rPr>
              <w:t>淄川区昆仑镇兴隆村</w:t>
            </w:r>
            <w:r>
              <w:rPr>
                <w:rFonts w:hint="default" w:ascii="Times New Roman" w:hAnsi="Times New Roman" w:cs="Times New Roman"/>
                <w:color w:val="auto"/>
                <w:szCs w:val="21"/>
                <w:highlight w:val="none"/>
              </w:rPr>
              <w:t>土地。根据</w:t>
            </w:r>
            <w:r>
              <w:rPr>
                <w:rFonts w:hint="eastAsia" w:cs="Times New Roman"/>
                <w:color w:val="auto"/>
                <w:szCs w:val="21"/>
                <w:highlight w:val="none"/>
                <w:lang w:eastAsia="zh-CN"/>
              </w:rPr>
              <w:t>淄博市国土空间总体规划（2021-2035年）本项目</w:t>
            </w:r>
            <w:r>
              <w:rPr>
                <w:rFonts w:hint="default" w:ascii="Times New Roman" w:hAnsi="Times New Roman" w:cs="Times New Roman"/>
                <w:color w:val="auto"/>
                <w:szCs w:val="21"/>
                <w:highlight w:val="none"/>
              </w:rPr>
              <w:t>厂址不位于生态红线和基本农田保护区范围内，</w:t>
            </w:r>
            <w:r>
              <w:rPr>
                <w:rFonts w:hint="default" w:ascii="Times New Roman" w:hAnsi="Times New Roman" w:cs="Times New Roman"/>
                <w:color w:val="auto"/>
                <w:highlight w:val="none"/>
              </w:rPr>
              <w:t>根据《淄博市</w:t>
            </w:r>
            <w:r>
              <w:rPr>
                <w:rFonts w:hint="eastAsia" w:cs="Times New Roman"/>
                <w:color w:val="auto"/>
                <w:highlight w:val="none"/>
                <w:lang w:eastAsia="zh-CN"/>
              </w:rPr>
              <w:t>淄川区昆仑镇国土空间规划</w:t>
            </w:r>
            <w:r>
              <w:rPr>
                <w:rFonts w:hint="default" w:ascii="Times New Roman" w:hAnsi="Times New Roman" w:cs="Times New Roman"/>
                <w:color w:val="auto"/>
                <w:highlight w:val="none"/>
              </w:rPr>
              <w:t>（202</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-2035年）》，项目区用地为工</w:t>
            </w:r>
            <w:r>
              <w:rPr>
                <w:rFonts w:hint="default" w:ascii="Times New Roman" w:hAnsi="Times New Roman" w:cs="Times New Roman"/>
                <w:color w:val="auto"/>
                <w:highlight w:val="none"/>
                <w:lang w:val="en-US" w:eastAsia="zh-CN"/>
              </w:rPr>
              <w:t>矿</w:t>
            </w:r>
            <w:r>
              <w:rPr>
                <w:rFonts w:hint="default" w:ascii="Times New Roman" w:hAnsi="Times New Roman" w:cs="Times New Roman"/>
                <w:color w:val="auto"/>
                <w:highlight w:val="none"/>
              </w:rPr>
              <w:t>用地。《淄博市</w:t>
            </w:r>
            <w:r>
              <w:rPr>
                <w:rFonts w:hint="eastAsia" w:cs="Times New Roman"/>
                <w:color w:val="auto"/>
                <w:highlight w:val="none"/>
                <w:lang w:eastAsia="zh-CN"/>
              </w:rPr>
              <w:t>淄川区昆仑镇国土空间规划</w:t>
            </w:r>
            <w:r>
              <w:rPr>
                <w:rFonts w:hint="default" w:ascii="Times New Roman" w:hAnsi="Times New Roman" w:cs="Times New Roman"/>
                <w:color w:val="auto"/>
                <w:highlight w:val="none"/>
              </w:rPr>
              <w:t>（202</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-2035年）》（国土空间</w:t>
            </w:r>
            <w:r>
              <w:rPr>
                <w:rFonts w:hint="default" w:ascii="Times New Roman" w:hAnsi="Times New Roman" w:cs="Times New Roman"/>
                <w:color w:val="auto"/>
                <w:highlight w:val="none"/>
                <w:lang w:eastAsia="zh-CN"/>
              </w:rPr>
              <w:t>用地用海</w:t>
            </w:r>
            <w:r>
              <w:rPr>
                <w:rFonts w:hint="default" w:ascii="Times New Roman" w:hAnsi="Times New Roman" w:cs="Times New Roman"/>
                <w:color w:val="auto"/>
                <w:highlight w:val="none"/>
              </w:rPr>
              <w:t>规范图）详见附图</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szCs w:val="21"/>
                <w:highlight w:val="none"/>
              </w:rPr>
              <w:t>。</w:t>
            </w:r>
          </w:p>
          <w:p w14:paraId="229CF494">
            <w:pPr>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highlight w:val="none"/>
              </w:rPr>
              <w:t>（2）对照《限制用地项目</w:t>
            </w:r>
            <w:r>
              <w:rPr>
                <w:rFonts w:hint="default" w:ascii="Times New Roman" w:hAnsi="Times New Roman" w:cs="Times New Roman"/>
                <w:color w:val="auto"/>
                <w:szCs w:val="21"/>
              </w:rPr>
              <w:t>目录（2012年本）》和《禁止用地项目目录（2012年本）》，本项目不属于其规定的限制用地和禁止用地项目范畴，可视为允许类项目。</w:t>
            </w:r>
          </w:p>
          <w:p w14:paraId="774275E0">
            <w:pPr>
              <w:pStyle w:val="80"/>
              <w:adjustRightInd w:val="0"/>
              <w:snapToGrid w:val="0"/>
              <w:spacing w:before="0" w:beforeAutospacing="0" w:after="0" w:afterAutospacing="0" w:line="360" w:lineRule="auto"/>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3、环保政策符合性分析</w:t>
            </w:r>
          </w:p>
          <w:p w14:paraId="2E9F1D86">
            <w:pPr>
              <w:pStyle w:val="8"/>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（1）与《山东省大气污染防治条例》的相关符合性分析</w:t>
            </w:r>
          </w:p>
          <w:p w14:paraId="45BD4653">
            <w:pPr>
              <w:pStyle w:val="8"/>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该项目与《</w:t>
            </w:r>
            <w:bookmarkStart w:id="5" w:name="_Hlk521137800"/>
            <w:r>
              <w:rPr>
                <w:rFonts w:hint="default" w:ascii="Times New Roman" w:hAnsi="Times New Roman" w:cs="Times New Roman"/>
                <w:color w:val="auto"/>
                <w:sz w:val="21"/>
                <w:szCs w:val="21"/>
              </w:rPr>
              <w:t>山东省大气污染防治条例</w:t>
            </w:r>
            <w:bookmarkEnd w:id="5"/>
            <w:r>
              <w:rPr>
                <w:rFonts w:hint="default" w:ascii="Times New Roman" w:hAnsi="Times New Roman" w:cs="Times New Roman"/>
                <w:color w:val="auto"/>
                <w:sz w:val="21"/>
                <w:szCs w:val="21"/>
              </w:rPr>
              <w:t>》的符合性见下表：</w:t>
            </w:r>
          </w:p>
          <w:p w14:paraId="121CCD80">
            <w:pPr>
              <w:pStyle w:val="637"/>
              <w:snapToGrid w:val="0"/>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表1-</w:t>
            </w:r>
            <w:r>
              <w:rPr>
                <w:rFonts w:hint="default" w:ascii="Times New Roman" w:hAnsi="Times New Roman" w:eastAsia="黑体" w:cs="Times New Roman"/>
                <w:color w:val="auto"/>
                <w:sz w:val="21"/>
                <w:szCs w:val="21"/>
                <w:lang w:val="en-US" w:eastAsia="zh-CN"/>
              </w:rPr>
              <w:t>3</w:t>
            </w:r>
            <w:r>
              <w:rPr>
                <w:rFonts w:hint="default" w:ascii="Times New Roman" w:hAnsi="Times New Roman" w:eastAsia="黑体" w:cs="Times New Roman"/>
                <w:color w:val="auto"/>
                <w:sz w:val="21"/>
                <w:szCs w:val="21"/>
              </w:rPr>
              <w:t>项目与山东省大气污染防治条例符合情况分析</w:t>
            </w:r>
          </w:p>
          <w:tbl>
            <w:tblPr>
              <w:tblStyle w:val="86"/>
              <w:tblW w:w="499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84"/>
              <w:gridCol w:w="4287"/>
              <w:gridCol w:w="3146"/>
            </w:tblGrid>
            <w:tr w14:paraId="07F5EF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55" w:hRule="exact"/>
                <w:jc w:val="center"/>
              </w:trPr>
              <w:tc>
                <w:tcPr>
                  <w:tcW w:w="581" w:type="dxa"/>
                  <w:tcBorders>
                    <w:top w:val="single" w:color="auto" w:sz="2" w:space="0"/>
                    <w:left w:val="single" w:color="auto" w:sz="2" w:space="0"/>
                    <w:bottom w:val="single" w:color="auto" w:sz="2" w:space="0"/>
                    <w:right w:val="single" w:color="auto" w:sz="2" w:space="0"/>
                  </w:tcBorders>
                  <w:vAlign w:val="center"/>
                </w:tcPr>
                <w:p w14:paraId="48BFDCE0">
                  <w:pPr>
                    <w:pStyle w:val="199"/>
                    <w:spacing w:beforeLines="0" w:afterLines="0" w:line="240" w:lineRule="auto"/>
                    <w:rPr>
                      <w:rFonts w:hint="default" w:ascii="Times New Roman" w:hAnsi="Times New Roman" w:cs="Times New Roman" w:eastAsiaTheme="minorEastAsia"/>
                      <w:b/>
                      <w:bCs/>
                      <w:color w:val="auto"/>
                      <w:sz w:val="18"/>
                      <w:szCs w:val="16"/>
                    </w:rPr>
                  </w:pPr>
                  <w:r>
                    <w:rPr>
                      <w:rFonts w:hint="default" w:ascii="Times New Roman" w:hAnsi="Times New Roman" w:cs="Times New Roman" w:eastAsiaTheme="minorEastAsia"/>
                      <w:b/>
                      <w:bCs/>
                      <w:color w:val="auto"/>
                      <w:sz w:val="18"/>
                      <w:szCs w:val="16"/>
                    </w:rPr>
                    <w:t>序号</w:t>
                  </w:r>
                </w:p>
              </w:tc>
              <w:tc>
                <w:tcPr>
                  <w:tcW w:w="4267" w:type="dxa"/>
                  <w:tcBorders>
                    <w:top w:val="single" w:color="auto" w:sz="2" w:space="0"/>
                    <w:left w:val="single" w:color="auto" w:sz="2" w:space="0"/>
                    <w:bottom w:val="single" w:color="auto" w:sz="2" w:space="0"/>
                    <w:right w:val="single" w:color="auto" w:sz="2" w:space="0"/>
                  </w:tcBorders>
                  <w:vAlign w:val="center"/>
                </w:tcPr>
                <w:p w14:paraId="25DD1E4E">
                  <w:pPr>
                    <w:pStyle w:val="199"/>
                    <w:spacing w:beforeLines="0" w:afterLines="0" w:line="240" w:lineRule="auto"/>
                    <w:rPr>
                      <w:rFonts w:hint="default" w:ascii="Times New Roman" w:hAnsi="Times New Roman" w:cs="Times New Roman" w:eastAsiaTheme="minorEastAsia"/>
                      <w:b/>
                      <w:bCs/>
                      <w:color w:val="auto"/>
                      <w:sz w:val="18"/>
                      <w:szCs w:val="16"/>
                    </w:rPr>
                  </w:pPr>
                  <w:r>
                    <w:rPr>
                      <w:rFonts w:hint="default" w:ascii="Times New Roman" w:hAnsi="Times New Roman" w:cs="Times New Roman" w:eastAsiaTheme="minorEastAsia"/>
                      <w:b/>
                      <w:bCs/>
                      <w:color w:val="auto"/>
                      <w:sz w:val="18"/>
                      <w:szCs w:val="16"/>
                    </w:rPr>
                    <w:t xml:space="preserve">规划要求 </w:t>
                  </w:r>
                </w:p>
              </w:tc>
              <w:tc>
                <w:tcPr>
                  <w:tcW w:w="3130" w:type="dxa"/>
                  <w:tcBorders>
                    <w:top w:val="single" w:color="auto" w:sz="2" w:space="0"/>
                    <w:left w:val="single" w:color="auto" w:sz="2" w:space="0"/>
                    <w:bottom w:val="single" w:color="auto" w:sz="2" w:space="0"/>
                    <w:right w:val="single" w:color="auto" w:sz="2" w:space="0"/>
                  </w:tcBorders>
                  <w:vAlign w:val="center"/>
                </w:tcPr>
                <w:p w14:paraId="590BA0D8">
                  <w:pPr>
                    <w:pStyle w:val="199"/>
                    <w:spacing w:beforeLines="0" w:afterLines="0" w:line="240" w:lineRule="auto"/>
                    <w:rPr>
                      <w:rFonts w:hint="default" w:ascii="Times New Roman" w:hAnsi="Times New Roman" w:cs="Times New Roman" w:eastAsiaTheme="minorEastAsia"/>
                      <w:b/>
                      <w:bCs/>
                      <w:color w:val="auto"/>
                      <w:sz w:val="18"/>
                      <w:szCs w:val="16"/>
                    </w:rPr>
                  </w:pPr>
                  <w:r>
                    <w:rPr>
                      <w:rFonts w:hint="default" w:ascii="Times New Roman" w:hAnsi="Times New Roman" w:cs="Times New Roman" w:eastAsiaTheme="minorEastAsia"/>
                      <w:b/>
                      <w:bCs/>
                      <w:color w:val="auto"/>
                      <w:sz w:val="18"/>
                      <w:szCs w:val="16"/>
                    </w:rPr>
                    <w:t>项目符合性</w:t>
                  </w:r>
                </w:p>
              </w:tc>
            </w:tr>
            <w:tr w14:paraId="206974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5" w:hRule="atLeast"/>
                <w:jc w:val="center"/>
              </w:trPr>
              <w:tc>
                <w:tcPr>
                  <w:tcW w:w="581" w:type="dxa"/>
                  <w:tcBorders>
                    <w:top w:val="single" w:color="auto" w:sz="2" w:space="0"/>
                    <w:left w:val="single" w:color="auto" w:sz="2" w:space="0"/>
                    <w:bottom w:val="single" w:color="auto" w:sz="2" w:space="0"/>
                    <w:right w:val="single" w:color="auto" w:sz="2" w:space="0"/>
                  </w:tcBorders>
                  <w:vAlign w:val="center"/>
                </w:tcPr>
                <w:p w14:paraId="3BABFBA0">
                  <w:pPr>
                    <w:pStyle w:val="199"/>
                    <w:spacing w:beforeLines="0" w:afterLines="0" w:line="240" w:lineRule="auto"/>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1</w:t>
                  </w:r>
                </w:p>
              </w:tc>
              <w:tc>
                <w:tcPr>
                  <w:tcW w:w="4267" w:type="dxa"/>
                  <w:tcBorders>
                    <w:top w:val="single" w:color="auto" w:sz="2" w:space="0"/>
                    <w:left w:val="single" w:color="auto" w:sz="2" w:space="0"/>
                    <w:bottom w:val="single" w:color="auto" w:sz="2" w:space="0"/>
                    <w:right w:val="single" w:color="auto" w:sz="2" w:space="0"/>
                  </w:tcBorders>
                  <w:vAlign w:val="center"/>
                </w:tcPr>
                <w:p w14:paraId="0DA0F85A">
                  <w:pPr>
                    <w:pStyle w:val="199"/>
                    <w:spacing w:beforeLines="0" w:afterLines="0" w:line="240" w:lineRule="auto"/>
                    <w:jc w:val="both"/>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设区的市、县（市、区）人民政府应当制定本行政区域锅炉整治计划，按照国家和省有关规定要求淘汰、拆除燃煤小锅炉、分散燃煤锅炉和不能达标排放的其他燃煤锅炉，并对现有的燃煤锅炉进行超低排放改造。除国家和省另有规定外，在城市建成区、开发区、工业园区内不得新建额定蒸发量二十吨以下的直接燃煤、重油、渣油锅炉以及直接燃用生物质的锅炉。</w:t>
                  </w:r>
                </w:p>
              </w:tc>
              <w:tc>
                <w:tcPr>
                  <w:tcW w:w="3130" w:type="dxa"/>
                  <w:tcBorders>
                    <w:top w:val="single" w:color="auto" w:sz="2" w:space="0"/>
                    <w:left w:val="single" w:color="auto" w:sz="2" w:space="0"/>
                    <w:bottom w:val="single" w:color="auto" w:sz="2" w:space="0"/>
                    <w:right w:val="single" w:color="auto" w:sz="2" w:space="0"/>
                  </w:tcBorders>
                  <w:vAlign w:val="center"/>
                </w:tcPr>
                <w:p w14:paraId="4BC9A0B9">
                  <w:pPr>
                    <w:pStyle w:val="199"/>
                    <w:spacing w:beforeLines="0" w:afterLines="0" w:line="240" w:lineRule="auto"/>
                    <w:jc w:val="both"/>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本项目不涉及锅炉。</w:t>
                  </w:r>
                </w:p>
              </w:tc>
            </w:tr>
            <w:tr w14:paraId="6E102E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6" w:hRule="atLeast"/>
                <w:jc w:val="center"/>
              </w:trPr>
              <w:tc>
                <w:tcPr>
                  <w:tcW w:w="581" w:type="dxa"/>
                  <w:tcBorders>
                    <w:top w:val="single" w:color="auto" w:sz="2" w:space="0"/>
                    <w:left w:val="single" w:color="auto" w:sz="2" w:space="0"/>
                    <w:bottom w:val="single" w:color="auto" w:sz="2" w:space="0"/>
                    <w:right w:val="single" w:color="auto" w:sz="2" w:space="0"/>
                  </w:tcBorders>
                  <w:vAlign w:val="center"/>
                </w:tcPr>
                <w:p w14:paraId="4469FA9C">
                  <w:pPr>
                    <w:pStyle w:val="199"/>
                    <w:spacing w:beforeLines="0" w:afterLines="0" w:line="240" w:lineRule="auto"/>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2</w:t>
                  </w:r>
                </w:p>
              </w:tc>
              <w:tc>
                <w:tcPr>
                  <w:tcW w:w="4267" w:type="dxa"/>
                  <w:tcBorders>
                    <w:top w:val="single" w:color="auto" w:sz="2" w:space="0"/>
                    <w:left w:val="single" w:color="auto" w:sz="2" w:space="0"/>
                    <w:bottom w:val="single" w:color="auto" w:sz="2" w:space="0"/>
                    <w:right w:val="single" w:color="auto" w:sz="2" w:space="0"/>
                  </w:tcBorders>
                  <w:vAlign w:val="center"/>
                </w:tcPr>
                <w:p w14:paraId="57762D9C">
                  <w:pPr>
                    <w:pStyle w:val="199"/>
                    <w:spacing w:beforeLines="0" w:afterLines="0" w:line="240" w:lineRule="auto"/>
                    <w:jc w:val="both"/>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县级以上人民政府供热主管部门应当组织编制供热专项规划，发展分布式能源，统筹热源和管网建设，逐步扩大城乡集中供热范围。在集中供热管网覆盖区域内，禁止新建、扩建分散燃煤供热锅炉；已建成的分散燃煤供热锅炉应当在县级以上人民政府环境保护主管部门规定的期限内停止使用。</w:t>
                  </w:r>
                </w:p>
              </w:tc>
              <w:tc>
                <w:tcPr>
                  <w:tcW w:w="3130" w:type="dxa"/>
                  <w:tcBorders>
                    <w:top w:val="single" w:color="auto" w:sz="2" w:space="0"/>
                    <w:left w:val="single" w:color="auto" w:sz="2" w:space="0"/>
                    <w:bottom w:val="single" w:color="auto" w:sz="2" w:space="0"/>
                    <w:right w:val="single" w:color="auto" w:sz="2" w:space="0"/>
                  </w:tcBorders>
                  <w:vAlign w:val="center"/>
                </w:tcPr>
                <w:p w14:paraId="7118AD44">
                  <w:pPr>
                    <w:pStyle w:val="199"/>
                    <w:spacing w:beforeLines="0" w:afterLines="0" w:line="240" w:lineRule="auto"/>
                    <w:jc w:val="both"/>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企业办公用热使用空调供热，厂内不进行供热锅炉的建设。</w:t>
                  </w:r>
                </w:p>
              </w:tc>
            </w:tr>
            <w:tr w14:paraId="5DB8BC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1" w:hRule="atLeast"/>
                <w:jc w:val="center"/>
              </w:trPr>
              <w:tc>
                <w:tcPr>
                  <w:tcW w:w="581" w:type="dxa"/>
                  <w:tcBorders>
                    <w:top w:val="single" w:color="auto" w:sz="2" w:space="0"/>
                    <w:left w:val="single" w:color="auto" w:sz="2" w:space="0"/>
                    <w:bottom w:val="single" w:color="auto" w:sz="2" w:space="0"/>
                    <w:right w:val="single" w:color="auto" w:sz="2" w:space="0"/>
                  </w:tcBorders>
                  <w:vAlign w:val="center"/>
                </w:tcPr>
                <w:p w14:paraId="379B10B2">
                  <w:pPr>
                    <w:pStyle w:val="199"/>
                    <w:spacing w:beforeLines="0" w:afterLines="0" w:line="240" w:lineRule="auto"/>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3</w:t>
                  </w:r>
                </w:p>
              </w:tc>
              <w:tc>
                <w:tcPr>
                  <w:tcW w:w="4267" w:type="dxa"/>
                  <w:tcBorders>
                    <w:top w:val="single" w:color="auto" w:sz="2" w:space="0"/>
                    <w:left w:val="single" w:color="auto" w:sz="2" w:space="0"/>
                    <w:bottom w:val="single" w:color="auto" w:sz="2" w:space="0"/>
                    <w:right w:val="single" w:color="auto" w:sz="2" w:space="0"/>
                  </w:tcBorders>
                  <w:vAlign w:val="center"/>
                </w:tcPr>
                <w:p w14:paraId="4FC93D19">
                  <w:pPr>
                    <w:pStyle w:val="199"/>
                    <w:spacing w:beforeLines="0" w:afterLines="0" w:line="240" w:lineRule="auto"/>
                    <w:jc w:val="both"/>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燃煤机组应当实现超低排放，使大气污染物排放浓度符合规定限值。</w:t>
                  </w:r>
                </w:p>
              </w:tc>
              <w:tc>
                <w:tcPr>
                  <w:tcW w:w="3130" w:type="dxa"/>
                  <w:tcBorders>
                    <w:top w:val="single" w:color="auto" w:sz="2" w:space="0"/>
                    <w:left w:val="single" w:color="auto" w:sz="2" w:space="0"/>
                    <w:bottom w:val="single" w:color="auto" w:sz="2" w:space="0"/>
                    <w:right w:val="single" w:color="auto" w:sz="2" w:space="0"/>
                  </w:tcBorders>
                  <w:vAlign w:val="center"/>
                </w:tcPr>
                <w:p w14:paraId="5439072F">
                  <w:pPr>
                    <w:pStyle w:val="199"/>
                    <w:spacing w:beforeLines="0" w:afterLines="0" w:line="240" w:lineRule="auto"/>
                    <w:jc w:val="both"/>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项目不涉及燃煤机组。</w:t>
                  </w:r>
                </w:p>
              </w:tc>
            </w:tr>
            <w:tr w14:paraId="6283A8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6" w:hRule="atLeast"/>
                <w:jc w:val="center"/>
              </w:trPr>
              <w:tc>
                <w:tcPr>
                  <w:tcW w:w="581" w:type="dxa"/>
                  <w:tcBorders>
                    <w:top w:val="single" w:color="auto" w:sz="2" w:space="0"/>
                    <w:left w:val="single" w:color="auto" w:sz="2" w:space="0"/>
                    <w:bottom w:val="single" w:color="auto" w:sz="2" w:space="0"/>
                    <w:right w:val="single" w:color="auto" w:sz="2" w:space="0"/>
                  </w:tcBorders>
                  <w:vAlign w:val="center"/>
                </w:tcPr>
                <w:p w14:paraId="1F8903E9">
                  <w:pPr>
                    <w:pStyle w:val="199"/>
                    <w:spacing w:beforeLines="0" w:afterLines="0" w:line="240" w:lineRule="auto"/>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4</w:t>
                  </w:r>
                </w:p>
              </w:tc>
              <w:tc>
                <w:tcPr>
                  <w:tcW w:w="4267" w:type="dxa"/>
                  <w:tcBorders>
                    <w:top w:val="single" w:color="auto" w:sz="2" w:space="0"/>
                    <w:left w:val="single" w:color="auto" w:sz="2" w:space="0"/>
                    <w:bottom w:val="single" w:color="auto" w:sz="2" w:space="0"/>
                    <w:right w:val="single" w:color="auto" w:sz="2" w:space="0"/>
                  </w:tcBorders>
                  <w:vAlign w:val="center"/>
                </w:tcPr>
                <w:p w14:paraId="117E34C7">
                  <w:pPr>
                    <w:pStyle w:val="199"/>
                    <w:spacing w:beforeLines="0" w:afterLines="0" w:line="240" w:lineRule="auto"/>
                    <w:jc w:val="both"/>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使用燃煤炉窑、煤气发生炉等设施的单位应当采用清洁生产工艺，配套建设除尘、脱硫、脱硝等装置，或者采取技术改造等其他控制大气污染物排放的措施。</w:t>
                  </w:r>
                </w:p>
              </w:tc>
              <w:tc>
                <w:tcPr>
                  <w:tcW w:w="3130" w:type="dxa"/>
                  <w:tcBorders>
                    <w:top w:val="single" w:color="auto" w:sz="2" w:space="0"/>
                    <w:left w:val="single" w:color="auto" w:sz="2" w:space="0"/>
                    <w:bottom w:val="single" w:color="auto" w:sz="2" w:space="0"/>
                    <w:right w:val="single" w:color="auto" w:sz="2" w:space="0"/>
                  </w:tcBorders>
                  <w:vAlign w:val="center"/>
                </w:tcPr>
                <w:p w14:paraId="70F5C87F">
                  <w:pPr>
                    <w:pStyle w:val="199"/>
                    <w:spacing w:beforeLines="0" w:afterLines="0" w:line="240" w:lineRule="auto"/>
                    <w:jc w:val="both"/>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项目不涉及燃煤炉窑、煤气发生炉。</w:t>
                  </w:r>
                </w:p>
              </w:tc>
            </w:tr>
            <w:tr w14:paraId="3A6B3C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65" w:hRule="atLeast"/>
                <w:jc w:val="center"/>
              </w:trPr>
              <w:tc>
                <w:tcPr>
                  <w:tcW w:w="581" w:type="dxa"/>
                  <w:tcBorders>
                    <w:top w:val="single" w:color="auto" w:sz="2" w:space="0"/>
                    <w:left w:val="single" w:color="auto" w:sz="2" w:space="0"/>
                    <w:bottom w:val="single" w:color="auto" w:sz="2" w:space="0"/>
                    <w:right w:val="single" w:color="auto" w:sz="2" w:space="0"/>
                  </w:tcBorders>
                  <w:vAlign w:val="center"/>
                </w:tcPr>
                <w:p w14:paraId="6272923B">
                  <w:pPr>
                    <w:pStyle w:val="199"/>
                    <w:spacing w:beforeLines="0" w:afterLines="0" w:line="240" w:lineRule="auto"/>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5</w:t>
                  </w:r>
                </w:p>
              </w:tc>
              <w:tc>
                <w:tcPr>
                  <w:tcW w:w="4267" w:type="dxa"/>
                  <w:tcBorders>
                    <w:top w:val="single" w:color="auto" w:sz="2" w:space="0"/>
                    <w:left w:val="single" w:color="auto" w:sz="2" w:space="0"/>
                    <w:bottom w:val="single" w:color="auto" w:sz="2" w:space="0"/>
                    <w:right w:val="single" w:color="auto" w:sz="2" w:space="0"/>
                  </w:tcBorders>
                  <w:vAlign w:val="center"/>
                </w:tcPr>
                <w:p w14:paraId="593FC234">
                  <w:pPr>
                    <w:pStyle w:val="199"/>
                    <w:spacing w:beforeLines="0" w:afterLines="0" w:line="240" w:lineRule="auto"/>
                    <w:jc w:val="both"/>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县级以上人民政府应当合理确定产业布局和发展规模，制定产业投资项目负面清单，严格控制新建、扩建钢铁、石化、化工、有色金属冶炼、水泥、平板玻璃、建筑陶瓷等工业项目，鼓励、支持现有的工业企业进行技术升级改造。在城市建成区及其周边的重污染企业，应当逐步进行搬迁改造或者转型退出。</w:t>
                  </w:r>
                </w:p>
              </w:tc>
              <w:tc>
                <w:tcPr>
                  <w:tcW w:w="3130" w:type="dxa"/>
                  <w:tcBorders>
                    <w:top w:val="single" w:color="auto" w:sz="2" w:space="0"/>
                    <w:left w:val="single" w:color="auto" w:sz="2" w:space="0"/>
                    <w:bottom w:val="single" w:color="auto" w:sz="2" w:space="0"/>
                    <w:right w:val="single" w:color="auto" w:sz="2" w:space="0"/>
                  </w:tcBorders>
                  <w:vAlign w:val="center"/>
                </w:tcPr>
                <w:p w14:paraId="0A448184">
                  <w:pPr>
                    <w:pStyle w:val="199"/>
                    <w:spacing w:beforeLines="0" w:afterLines="0" w:line="240" w:lineRule="auto"/>
                    <w:jc w:val="both"/>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本项目属于</w:t>
                  </w:r>
                  <w:r>
                    <w:rPr>
                      <w:rFonts w:hint="eastAsia" w:ascii="Times New Roman" w:cs="Times New Roman" w:eastAsiaTheme="minorEastAsia"/>
                      <w:color w:val="auto"/>
                      <w:sz w:val="18"/>
                      <w:szCs w:val="16"/>
                      <w:lang w:eastAsia="zh-CN"/>
                    </w:rPr>
                    <w:t>C3034隔热和隔音材料制造</w:t>
                  </w:r>
                  <w:r>
                    <w:rPr>
                      <w:rFonts w:hint="default" w:ascii="Times New Roman" w:hAnsi="Times New Roman" w:cs="Times New Roman" w:eastAsiaTheme="minorEastAsia"/>
                      <w:color w:val="auto"/>
                      <w:sz w:val="18"/>
                      <w:szCs w:val="16"/>
                    </w:rPr>
                    <w:t>，不属于上述“两高”行业。本项目不属于重污染企业。</w:t>
                  </w:r>
                </w:p>
              </w:tc>
            </w:tr>
            <w:tr w14:paraId="73ADCC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08" w:hRule="atLeast"/>
                <w:jc w:val="center"/>
              </w:trPr>
              <w:tc>
                <w:tcPr>
                  <w:tcW w:w="581" w:type="dxa"/>
                  <w:tcBorders>
                    <w:top w:val="single" w:color="auto" w:sz="2" w:space="0"/>
                    <w:left w:val="single" w:color="auto" w:sz="2" w:space="0"/>
                    <w:bottom w:val="single" w:color="auto" w:sz="2" w:space="0"/>
                    <w:right w:val="single" w:color="auto" w:sz="2" w:space="0"/>
                  </w:tcBorders>
                  <w:vAlign w:val="center"/>
                </w:tcPr>
                <w:p w14:paraId="6ACCB6CE">
                  <w:pPr>
                    <w:pStyle w:val="199"/>
                    <w:spacing w:beforeLines="0" w:afterLines="0" w:line="240" w:lineRule="auto"/>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6</w:t>
                  </w:r>
                </w:p>
              </w:tc>
              <w:tc>
                <w:tcPr>
                  <w:tcW w:w="4267" w:type="dxa"/>
                  <w:tcBorders>
                    <w:top w:val="single" w:color="auto" w:sz="2" w:space="0"/>
                    <w:left w:val="single" w:color="auto" w:sz="2" w:space="0"/>
                    <w:bottom w:val="single" w:color="auto" w:sz="2" w:space="0"/>
                    <w:right w:val="single" w:color="auto" w:sz="2" w:space="0"/>
                  </w:tcBorders>
                  <w:vAlign w:val="center"/>
                </w:tcPr>
                <w:p w14:paraId="71838AD4">
                  <w:pPr>
                    <w:pStyle w:val="199"/>
                    <w:spacing w:beforeLines="0" w:afterLines="0" w:line="240" w:lineRule="auto"/>
                    <w:jc w:val="both"/>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对不经过排气筒集中排放的大气污染物，排污单位应当采取密闭、封闭、集中收集、吸附、分解等处理措施，严格控制生产过程以及内部物料堆存、传输、装卸等环节产生的颗粒物和气态污染物的排放。</w:t>
                  </w:r>
                </w:p>
              </w:tc>
              <w:tc>
                <w:tcPr>
                  <w:tcW w:w="3130" w:type="dxa"/>
                  <w:tcBorders>
                    <w:top w:val="single" w:color="auto" w:sz="2" w:space="0"/>
                    <w:left w:val="single" w:color="auto" w:sz="2" w:space="0"/>
                    <w:bottom w:val="single" w:color="auto" w:sz="2" w:space="0"/>
                    <w:right w:val="single" w:color="auto" w:sz="2" w:space="0"/>
                  </w:tcBorders>
                  <w:vAlign w:val="center"/>
                </w:tcPr>
                <w:p w14:paraId="762AFC94">
                  <w:pPr>
                    <w:pStyle w:val="199"/>
                    <w:spacing w:beforeLines="0" w:afterLines="0" w:line="240" w:lineRule="auto"/>
                    <w:jc w:val="both"/>
                    <w:rPr>
                      <w:rFonts w:hint="default" w:ascii="Times New Roman" w:hAnsi="Times New Roman" w:cs="Times New Roman"/>
                      <w:color w:val="auto"/>
                      <w:sz w:val="22"/>
                      <w:szCs w:val="22"/>
                    </w:rPr>
                  </w:pPr>
                  <w:r>
                    <w:rPr>
                      <w:rFonts w:hint="eastAsia" w:ascii="Times New Roman" w:cs="Times New Roman" w:eastAsiaTheme="minorEastAsia"/>
                      <w:color w:val="auto"/>
                      <w:sz w:val="18"/>
                      <w:szCs w:val="16"/>
                      <w:lang w:eastAsia="zh-CN"/>
                    </w:rPr>
                    <w:t>本项目</w:t>
                  </w:r>
                  <w:r>
                    <w:rPr>
                      <w:rFonts w:hint="default" w:ascii="Times New Roman" w:hAnsi="Times New Roman" w:cs="Times New Roman" w:eastAsiaTheme="minorEastAsia"/>
                      <w:color w:val="auto"/>
                      <w:sz w:val="18"/>
                      <w:szCs w:val="16"/>
                      <w:lang w:val="en-US" w:eastAsia="zh-CN"/>
                    </w:rPr>
                    <w:t>精加工工序产生的粉尘经集气罩收集，布袋除尘器处理后无组织排放</w:t>
                  </w:r>
                  <w:r>
                    <w:rPr>
                      <w:rFonts w:hint="default" w:ascii="Times New Roman" w:hAnsi="Times New Roman" w:cs="Times New Roman" w:eastAsiaTheme="minorEastAsia"/>
                      <w:color w:val="auto"/>
                      <w:sz w:val="18"/>
                      <w:szCs w:val="16"/>
                    </w:rPr>
                    <w:t>。</w:t>
                  </w:r>
                </w:p>
              </w:tc>
            </w:tr>
            <w:tr w14:paraId="44768E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38" w:hRule="atLeast"/>
                <w:jc w:val="center"/>
              </w:trPr>
              <w:tc>
                <w:tcPr>
                  <w:tcW w:w="581" w:type="dxa"/>
                  <w:tcBorders>
                    <w:top w:val="single" w:color="auto" w:sz="2" w:space="0"/>
                    <w:left w:val="single" w:color="auto" w:sz="2" w:space="0"/>
                    <w:bottom w:val="single" w:color="auto" w:sz="2" w:space="0"/>
                    <w:right w:val="single" w:color="auto" w:sz="2" w:space="0"/>
                  </w:tcBorders>
                  <w:vAlign w:val="center"/>
                </w:tcPr>
                <w:p w14:paraId="5F6B02F8">
                  <w:pPr>
                    <w:pStyle w:val="199"/>
                    <w:spacing w:beforeLines="0" w:afterLines="0" w:line="240" w:lineRule="auto"/>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7</w:t>
                  </w:r>
                </w:p>
              </w:tc>
              <w:tc>
                <w:tcPr>
                  <w:tcW w:w="4267" w:type="dxa"/>
                  <w:tcBorders>
                    <w:top w:val="single" w:color="auto" w:sz="2" w:space="0"/>
                    <w:left w:val="single" w:color="auto" w:sz="2" w:space="0"/>
                    <w:bottom w:val="single" w:color="auto" w:sz="2" w:space="0"/>
                    <w:right w:val="single" w:color="auto" w:sz="2" w:space="0"/>
                  </w:tcBorders>
                  <w:vAlign w:val="center"/>
                </w:tcPr>
                <w:p w14:paraId="6CDF52E0">
                  <w:pPr>
                    <w:pStyle w:val="199"/>
                    <w:spacing w:beforeLines="0" w:afterLines="0" w:line="240" w:lineRule="auto"/>
                    <w:jc w:val="both"/>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石化、重点有机化工等工业企业应当建立泄漏检测与修复体系，对管道、设备等进行日常检修、维护，及时收集处理泄漏物料。</w:t>
                  </w:r>
                </w:p>
              </w:tc>
              <w:tc>
                <w:tcPr>
                  <w:tcW w:w="3130" w:type="dxa"/>
                  <w:tcBorders>
                    <w:top w:val="single" w:color="auto" w:sz="2" w:space="0"/>
                    <w:left w:val="single" w:color="auto" w:sz="2" w:space="0"/>
                    <w:bottom w:val="single" w:color="auto" w:sz="2" w:space="0"/>
                    <w:right w:val="single" w:color="auto" w:sz="2" w:space="0"/>
                  </w:tcBorders>
                  <w:vAlign w:val="center"/>
                </w:tcPr>
                <w:p w14:paraId="04A63BC0">
                  <w:pPr>
                    <w:pStyle w:val="199"/>
                    <w:spacing w:beforeLines="0" w:afterLines="0" w:line="240" w:lineRule="auto"/>
                    <w:jc w:val="both"/>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企业不属于石化、重点有机化工等工业企业。</w:t>
                  </w:r>
                </w:p>
              </w:tc>
            </w:tr>
            <w:tr w14:paraId="614123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634" w:hRule="atLeast"/>
                <w:jc w:val="center"/>
              </w:trPr>
              <w:tc>
                <w:tcPr>
                  <w:tcW w:w="581" w:type="dxa"/>
                  <w:tcBorders>
                    <w:top w:val="single" w:color="auto" w:sz="2" w:space="0"/>
                    <w:left w:val="single" w:color="auto" w:sz="2" w:space="0"/>
                    <w:bottom w:val="single" w:color="auto" w:sz="2" w:space="0"/>
                    <w:right w:val="single" w:color="auto" w:sz="2" w:space="0"/>
                  </w:tcBorders>
                  <w:vAlign w:val="center"/>
                </w:tcPr>
                <w:p w14:paraId="779865D3">
                  <w:pPr>
                    <w:pStyle w:val="199"/>
                    <w:spacing w:beforeLines="0" w:afterLines="0" w:line="240" w:lineRule="auto"/>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8</w:t>
                  </w:r>
                </w:p>
              </w:tc>
              <w:tc>
                <w:tcPr>
                  <w:tcW w:w="4267" w:type="dxa"/>
                  <w:tcBorders>
                    <w:top w:val="single" w:color="auto" w:sz="2" w:space="0"/>
                    <w:left w:val="single" w:color="auto" w:sz="2" w:space="0"/>
                    <w:bottom w:val="single" w:color="auto" w:sz="2" w:space="0"/>
                    <w:right w:val="single" w:color="auto" w:sz="2" w:space="0"/>
                  </w:tcBorders>
                  <w:vAlign w:val="center"/>
                </w:tcPr>
                <w:p w14:paraId="5C25A7F4">
                  <w:pPr>
                    <w:pStyle w:val="199"/>
                    <w:spacing w:beforeLines="0" w:afterLines="0" w:line="240" w:lineRule="auto"/>
                    <w:jc w:val="both"/>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生产、销售、使用含挥发性有机物的原材料和产品的，其挥发性有机物含量应当符合质量标准或者要求。省人民政府质量技术监督部门应当会同环境保护等部门，定期制定、调整低挥发性有机物含量产品目录和高挥发性有机物含量产品目录并向社会公布。列入高挥发性有机物含量产品目录的产品，应当在其包装或者说明中予以标注。</w:t>
                  </w:r>
                </w:p>
              </w:tc>
              <w:tc>
                <w:tcPr>
                  <w:tcW w:w="3130" w:type="dxa"/>
                  <w:tcBorders>
                    <w:top w:val="single" w:color="auto" w:sz="2" w:space="0"/>
                    <w:left w:val="single" w:color="auto" w:sz="2" w:space="0"/>
                    <w:bottom w:val="single" w:color="auto" w:sz="2" w:space="0"/>
                    <w:right w:val="single" w:color="auto" w:sz="2" w:space="0"/>
                  </w:tcBorders>
                  <w:vAlign w:val="center"/>
                </w:tcPr>
                <w:p w14:paraId="73821CD7">
                  <w:pPr>
                    <w:pStyle w:val="199"/>
                    <w:spacing w:beforeLines="0" w:afterLines="0" w:line="240" w:lineRule="auto"/>
                    <w:jc w:val="both"/>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本项目</w:t>
                  </w:r>
                  <w:r>
                    <w:rPr>
                      <w:rFonts w:hint="default" w:ascii="Times New Roman" w:hAnsi="Times New Roman" w:cs="Times New Roman" w:eastAsiaTheme="minorEastAsia"/>
                      <w:color w:val="auto"/>
                      <w:sz w:val="18"/>
                      <w:szCs w:val="16"/>
                      <w:lang w:val="en-US" w:eastAsia="zh-CN"/>
                    </w:rPr>
                    <w:t>不</w:t>
                  </w:r>
                  <w:r>
                    <w:rPr>
                      <w:rFonts w:hint="default" w:ascii="Times New Roman" w:hAnsi="Times New Roman" w:cs="Times New Roman" w:eastAsiaTheme="minorEastAsia"/>
                      <w:color w:val="auto"/>
                      <w:sz w:val="18"/>
                      <w:szCs w:val="16"/>
                    </w:rPr>
                    <w:t>涉及挥发性有机物。</w:t>
                  </w:r>
                </w:p>
              </w:tc>
            </w:tr>
            <w:tr w14:paraId="602DD7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23" w:hRule="atLeast"/>
                <w:jc w:val="center"/>
              </w:trPr>
              <w:tc>
                <w:tcPr>
                  <w:tcW w:w="581" w:type="dxa"/>
                  <w:tcBorders>
                    <w:top w:val="single" w:color="auto" w:sz="2" w:space="0"/>
                    <w:left w:val="single" w:color="auto" w:sz="2" w:space="0"/>
                    <w:bottom w:val="single" w:color="auto" w:sz="2" w:space="0"/>
                    <w:right w:val="single" w:color="auto" w:sz="2" w:space="0"/>
                  </w:tcBorders>
                  <w:vAlign w:val="center"/>
                </w:tcPr>
                <w:p w14:paraId="0617CBDD">
                  <w:pPr>
                    <w:pStyle w:val="199"/>
                    <w:spacing w:beforeLines="0" w:afterLines="0" w:line="240" w:lineRule="auto"/>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9</w:t>
                  </w:r>
                </w:p>
              </w:tc>
              <w:tc>
                <w:tcPr>
                  <w:tcW w:w="4267" w:type="dxa"/>
                  <w:tcBorders>
                    <w:top w:val="single" w:color="auto" w:sz="2" w:space="0"/>
                    <w:left w:val="single" w:color="auto" w:sz="2" w:space="0"/>
                    <w:bottom w:val="single" w:color="auto" w:sz="2" w:space="0"/>
                    <w:right w:val="single" w:color="auto" w:sz="2" w:space="0"/>
                  </w:tcBorders>
                  <w:vAlign w:val="center"/>
                </w:tcPr>
                <w:p w14:paraId="49FCDE6C">
                  <w:pPr>
                    <w:pStyle w:val="199"/>
                    <w:spacing w:beforeLines="0" w:afterLines="0" w:line="240" w:lineRule="auto"/>
                    <w:jc w:val="both"/>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向大气排放恶臭气体的排污单位以及垃圾处置场、污水处理厂，应当按照规定设置合理的防护距离，安装净化装置或者采取其他措施减少恶臭气体排放。</w:t>
                  </w:r>
                </w:p>
              </w:tc>
              <w:tc>
                <w:tcPr>
                  <w:tcW w:w="3130" w:type="dxa"/>
                  <w:tcBorders>
                    <w:top w:val="single" w:color="auto" w:sz="2" w:space="0"/>
                    <w:left w:val="single" w:color="auto" w:sz="2" w:space="0"/>
                    <w:bottom w:val="single" w:color="auto" w:sz="2" w:space="0"/>
                    <w:right w:val="single" w:color="auto" w:sz="2" w:space="0"/>
                  </w:tcBorders>
                  <w:vAlign w:val="center"/>
                </w:tcPr>
                <w:p w14:paraId="5725DB03">
                  <w:pPr>
                    <w:pStyle w:val="199"/>
                    <w:spacing w:beforeLines="0" w:afterLines="0" w:line="240" w:lineRule="auto"/>
                    <w:jc w:val="both"/>
                    <w:rPr>
                      <w:rFonts w:hint="default" w:ascii="Times New Roman" w:hAnsi="Times New Roman" w:cs="Times New Roman" w:eastAsiaTheme="minorEastAsia"/>
                      <w:color w:val="auto"/>
                      <w:sz w:val="18"/>
                      <w:szCs w:val="16"/>
                    </w:rPr>
                  </w:pPr>
                  <w:r>
                    <w:rPr>
                      <w:rFonts w:hint="default" w:ascii="Times New Roman" w:hAnsi="Times New Roman" w:cs="Times New Roman" w:eastAsiaTheme="minorEastAsia"/>
                      <w:color w:val="auto"/>
                      <w:sz w:val="18"/>
                      <w:szCs w:val="16"/>
                    </w:rPr>
                    <w:t>本项目不涉及恶臭气体的排放。</w:t>
                  </w:r>
                </w:p>
              </w:tc>
            </w:tr>
          </w:tbl>
          <w:p w14:paraId="76244AC4">
            <w:pPr>
              <w:tabs>
                <w:tab w:val="left" w:pos="5427"/>
              </w:tabs>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由上表可知，项目符合《山东省大气污染防治条例》的要求。</w:t>
            </w:r>
          </w:p>
          <w:p w14:paraId="35F27E1D">
            <w:pPr>
              <w:spacing w:line="360" w:lineRule="auto"/>
              <w:ind w:firstLine="420" w:firstLineChars="200"/>
              <w:rPr>
                <w:rFonts w:hint="default" w:ascii="Times New Roman" w:hAnsi="Times New Roman" w:cs="Times New Roman"/>
                <w:color w:val="auto"/>
              </w:rPr>
            </w:pPr>
            <w:r>
              <w:rPr>
                <w:rFonts w:hint="default" w:ascii="Times New Roman" w:hAnsi="Times New Roman" w:cs="Times New Roman" w:eastAsiaTheme="minorEastAsia"/>
                <w:color w:val="auto"/>
                <w:szCs w:val="21"/>
              </w:rPr>
              <w:t>（2）与《关于做好环境影响评价制度与排污许可制衔接相关工作的通知》（环办环评[2017]84号）的符合性分析</w:t>
            </w:r>
          </w:p>
          <w:p w14:paraId="269DC33F">
            <w:pPr>
              <w:pStyle w:val="637"/>
              <w:snapToGrid w:val="0"/>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表1-</w:t>
            </w:r>
            <w:r>
              <w:rPr>
                <w:rFonts w:hint="default" w:ascii="Times New Roman" w:hAnsi="Times New Roman" w:eastAsia="黑体" w:cs="Times New Roman"/>
                <w:color w:val="auto"/>
                <w:sz w:val="21"/>
                <w:szCs w:val="21"/>
                <w:lang w:val="en-US" w:eastAsia="zh-CN"/>
              </w:rPr>
              <w:t>4</w:t>
            </w:r>
            <w:r>
              <w:rPr>
                <w:rFonts w:hint="default" w:ascii="Times New Roman" w:hAnsi="Times New Roman" w:eastAsia="黑体" w:cs="Times New Roman"/>
                <w:color w:val="auto"/>
                <w:sz w:val="21"/>
                <w:szCs w:val="21"/>
              </w:rPr>
              <w:t xml:space="preserve">  项目与环办环评[2017]84号文件符合性分析</w:t>
            </w:r>
          </w:p>
          <w:tbl>
            <w:tblPr>
              <w:tblStyle w:val="86"/>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26"/>
              <w:gridCol w:w="1958"/>
              <w:gridCol w:w="599"/>
            </w:tblGrid>
            <w:tr w14:paraId="6858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3399" w:type="pct"/>
                  <w:vAlign w:val="center"/>
                </w:tcPr>
                <w:p w14:paraId="6054C063">
                  <w:pPr>
                    <w:pStyle w:val="199"/>
                    <w:spacing w:beforeLines="0" w:afterLines="0" w:line="240" w:lineRule="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文件要求</w:t>
                  </w:r>
                </w:p>
              </w:tc>
              <w:tc>
                <w:tcPr>
                  <w:tcW w:w="1226" w:type="pct"/>
                  <w:vAlign w:val="center"/>
                </w:tcPr>
                <w:p w14:paraId="12EC79E8">
                  <w:pPr>
                    <w:pStyle w:val="199"/>
                    <w:spacing w:beforeLines="0" w:afterLines="0" w:line="240" w:lineRule="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项目情况</w:t>
                  </w:r>
                </w:p>
              </w:tc>
              <w:tc>
                <w:tcPr>
                  <w:tcW w:w="375" w:type="pct"/>
                  <w:tcMar>
                    <w:left w:w="28" w:type="dxa"/>
                    <w:right w:w="28" w:type="dxa"/>
                  </w:tcMar>
                  <w:vAlign w:val="center"/>
                </w:tcPr>
                <w:p w14:paraId="7204C03D">
                  <w:pPr>
                    <w:pStyle w:val="199"/>
                    <w:spacing w:beforeLines="0" w:afterLines="0" w:line="240" w:lineRule="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结论</w:t>
                  </w:r>
                </w:p>
              </w:tc>
            </w:tr>
            <w:tr w14:paraId="1165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5" w:hRule="atLeast"/>
                <w:jc w:val="center"/>
              </w:trPr>
              <w:tc>
                <w:tcPr>
                  <w:tcW w:w="3399" w:type="pct"/>
                  <w:vAlign w:val="center"/>
                </w:tcPr>
                <w:p w14:paraId="5FFD14EF">
                  <w:pPr>
                    <w:pStyle w:val="199"/>
                    <w:spacing w:beforeLines="0" w:afterLines="0"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环境影响评价审批部门要做好建设项目环境影响报告书</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表</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的审查，结合排污许可证申请与核发技术规范，核定建设项目的产排污环节、污染物种类及污染防治设施和措施等基本信息；依据国家或地方污染物排放标准、环境质量标准和总量控制要求等管理规定，按照污染源源强核算技术指南、环境影响评价要素导则等技术文件，严格核定排放口数量、位置以及每个排放口的污染物种类、允许排放浓度和允许排放量、排放方式、排放去向、自行监测计划等与污染物排放相关的主要内容。</w:t>
                  </w:r>
                </w:p>
                <w:p w14:paraId="1F64B97D">
                  <w:pPr>
                    <w:pStyle w:val="199"/>
                    <w:spacing w:before="24" w:after="24"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建设项目发生实际排污行为之前，排污单位应当按照国家环境保护相关法律法规以及排污许可证申请与核发技术规范要求申请排污许可证，不得无证排污或不按证排污。环境影响报告书（表）2015年1月1日（含）后获得批准的建设项目，其环境影响报告书（表）以及审批文件中与污染物排放相关的主要内容应当纳入排污许可证。建设项目无证排污或不按证排污的，建设单位不得出具该项目验收合格的意见，验收报告中与污染物排放相关的主要内容应当纳入该项目验收完成当年排污许可证执行年报。排污许可证执行报告、台账记录以及自行监测执行情况等应作为开展建设项目环境影响后评价的重要依据。</w:t>
                  </w:r>
                </w:p>
              </w:tc>
              <w:tc>
                <w:tcPr>
                  <w:tcW w:w="1226" w:type="pct"/>
                  <w:vAlign w:val="center"/>
                </w:tcPr>
                <w:p w14:paraId="3BB7E82E">
                  <w:pPr>
                    <w:pStyle w:val="199"/>
                    <w:spacing w:beforeLines="0" w:afterLines="0"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次环评根据环境影响评价要素导则严格核定了产排污环节、污染物种类及污染防治设施和措施、排放口数量、位置以及每个排放口的污染物种类、允许排放浓度和允许排放量、排放方式、排放去向、自行监测计划等与污染物排放相关的主要内容；污染物排放均依据国家相应标准要求的进行核算。本项目正在环评阶段，环评审批后将按照要求</w:t>
                  </w:r>
                  <w:r>
                    <w:rPr>
                      <w:rFonts w:hint="eastAsia" w:ascii="Times New Roman" w:cs="Times New Roman"/>
                      <w:color w:val="auto"/>
                      <w:sz w:val="18"/>
                      <w:szCs w:val="18"/>
                      <w:lang w:val="en-US" w:eastAsia="zh-CN"/>
                    </w:rPr>
                    <w:t>重新申请排污许可证</w:t>
                  </w:r>
                  <w:r>
                    <w:rPr>
                      <w:rFonts w:hint="default" w:ascii="Times New Roman" w:hAnsi="Times New Roman" w:cs="Times New Roman"/>
                      <w:color w:val="auto"/>
                      <w:sz w:val="18"/>
                      <w:szCs w:val="18"/>
                    </w:rPr>
                    <w:t>，并进行环境保护竣工验收。</w:t>
                  </w:r>
                </w:p>
              </w:tc>
              <w:tc>
                <w:tcPr>
                  <w:tcW w:w="375" w:type="pct"/>
                  <w:vAlign w:val="center"/>
                </w:tcPr>
                <w:p w14:paraId="6554901D">
                  <w:pPr>
                    <w:pStyle w:val="199"/>
                    <w:spacing w:beforeLines="0" w:afterLines="0"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符合</w:t>
                  </w:r>
                </w:p>
              </w:tc>
            </w:tr>
          </w:tbl>
          <w:p w14:paraId="6E27E4AB">
            <w:pPr>
              <w:autoSpaceDE w:val="0"/>
              <w:autoSpaceDN w:val="0"/>
              <w:adjustRightInd w:val="0"/>
              <w:spacing w:line="360" w:lineRule="auto"/>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（3）与《山东省“两高”项目管理目录（2023年版）》的符合性分析</w:t>
            </w:r>
          </w:p>
          <w:p w14:paraId="1C043759">
            <w:pPr>
              <w:tabs>
                <w:tab w:val="left" w:pos="5427"/>
              </w:tabs>
              <w:spacing w:line="360" w:lineRule="auto"/>
              <w:ind w:firstLine="420" w:firstLineChars="200"/>
              <w:rPr>
                <w:rFonts w:hint="default" w:ascii="Times New Roman" w:hAnsi="Times New Roman" w:cs="Times New Roman"/>
                <w:bCs/>
                <w:color w:val="auto"/>
              </w:rPr>
            </w:pPr>
            <w:r>
              <w:rPr>
                <w:rFonts w:hint="default" w:ascii="Times New Roman" w:hAnsi="Times New Roman" w:cs="Times New Roman" w:eastAsiaTheme="minorEastAsia"/>
                <w:bCs/>
                <w:color w:val="auto"/>
              </w:rPr>
              <w:t>本项目行业类别为</w:t>
            </w:r>
            <w:r>
              <w:rPr>
                <w:rFonts w:hint="eastAsia" w:cs="Times New Roman" w:eastAsiaTheme="minorEastAsia"/>
                <w:bCs/>
                <w:color w:val="auto"/>
                <w:lang w:eastAsia="zh-CN"/>
              </w:rPr>
              <w:t>C3034隔热和隔音材料制造</w:t>
            </w:r>
            <w:r>
              <w:rPr>
                <w:rFonts w:hint="default" w:ascii="Times New Roman" w:hAnsi="Times New Roman" w:cs="Times New Roman" w:eastAsiaTheme="minorEastAsia"/>
                <w:bCs/>
                <w:color w:val="auto"/>
              </w:rPr>
              <w:t>，不属于《山东省“两高”项目管理目录（2023年版）》</w:t>
            </w:r>
            <w:r>
              <w:rPr>
                <w:rFonts w:hint="eastAsia" w:cs="Times New Roman" w:eastAsiaTheme="minorEastAsia"/>
                <w:bCs/>
                <w:color w:val="auto"/>
                <w:lang w:val="en-US" w:eastAsia="zh-CN"/>
              </w:rPr>
              <w:t>中的</w:t>
            </w:r>
            <w:r>
              <w:rPr>
                <w:rFonts w:hint="default" w:ascii="Times New Roman" w:hAnsi="Times New Roman" w:cs="Times New Roman" w:eastAsiaTheme="minorEastAsia"/>
                <w:bCs/>
                <w:color w:val="auto"/>
              </w:rPr>
              <w:t>“两高”行业</w:t>
            </w:r>
            <w:r>
              <w:rPr>
                <w:rFonts w:hint="default" w:ascii="Times New Roman" w:hAnsi="Times New Roman" w:cs="Times New Roman"/>
                <w:bCs/>
                <w:color w:val="auto"/>
              </w:rPr>
              <w:t>。</w:t>
            </w:r>
          </w:p>
          <w:p w14:paraId="61056805">
            <w:pPr>
              <w:spacing w:line="360" w:lineRule="auto"/>
              <w:ind w:firstLine="420" w:firstLineChars="200"/>
              <w:rPr>
                <w:rFonts w:hint="default" w:ascii="Times New Roman" w:hAnsi="Times New Roman" w:cs="Times New Roman"/>
                <w:bCs/>
                <w:color w:val="auto"/>
              </w:rPr>
            </w:pPr>
            <w:r>
              <w:rPr>
                <w:rFonts w:hint="default" w:ascii="Times New Roman" w:hAnsi="Times New Roman" w:cs="Times New Roman"/>
                <w:bCs/>
                <w:color w:val="auto"/>
              </w:rPr>
              <w:t>（</w:t>
            </w:r>
            <w:r>
              <w:rPr>
                <w:rFonts w:hint="default" w:ascii="Times New Roman" w:hAnsi="Times New Roman" w:cs="Times New Roman"/>
                <w:bCs/>
                <w:color w:val="auto"/>
                <w:lang w:val="en-US" w:eastAsia="zh-CN"/>
              </w:rPr>
              <w:t>4</w:t>
            </w:r>
            <w:r>
              <w:rPr>
                <w:rFonts w:hint="default" w:ascii="Times New Roman" w:hAnsi="Times New Roman" w:cs="Times New Roman"/>
                <w:bCs/>
                <w:color w:val="auto"/>
              </w:rPr>
              <w:t>）与关于印发《全市工业企业大气污染治理品质提升实施方案》的通知（淄环委办[2022]10号）的符合性分析</w:t>
            </w:r>
          </w:p>
          <w:p w14:paraId="6E4F37AF">
            <w:pPr>
              <w:pStyle w:val="637"/>
              <w:snapToGrid w:val="0"/>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表1-</w:t>
            </w:r>
            <w:r>
              <w:rPr>
                <w:rFonts w:hint="eastAsia" w:eastAsia="黑体" w:cs="Times New Roman"/>
                <w:color w:val="auto"/>
                <w:sz w:val="21"/>
                <w:szCs w:val="21"/>
                <w:lang w:val="en-US" w:eastAsia="zh-CN"/>
              </w:rPr>
              <w:t>5</w:t>
            </w:r>
            <w:r>
              <w:rPr>
                <w:rFonts w:hint="default" w:ascii="Times New Roman" w:hAnsi="Times New Roman" w:eastAsia="黑体" w:cs="Times New Roman"/>
                <w:color w:val="auto"/>
                <w:sz w:val="21"/>
                <w:szCs w:val="21"/>
              </w:rPr>
              <w:t>项目与淄环委办[2022]10号的符合性分析</w:t>
            </w:r>
          </w:p>
          <w:tbl>
            <w:tblPr>
              <w:tblStyle w:val="86"/>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9"/>
              <w:gridCol w:w="4355"/>
              <w:gridCol w:w="2592"/>
              <w:gridCol w:w="647"/>
            </w:tblGrid>
            <w:tr w14:paraId="7F39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4744" w:type="dxa"/>
                  <w:gridSpan w:val="2"/>
                  <w:vAlign w:val="center"/>
                </w:tcPr>
                <w:p w14:paraId="49EBE5B4">
                  <w:pPr>
                    <w:pStyle w:val="199"/>
                    <w:spacing w:beforeLines="0" w:afterLines="0" w:line="240" w:lineRule="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文件要求</w:t>
                  </w:r>
                </w:p>
              </w:tc>
              <w:tc>
                <w:tcPr>
                  <w:tcW w:w="2592" w:type="dxa"/>
                  <w:vAlign w:val="center"/>
                </w:tcPr>
                <w:p w14:paraId="69660ED3">
                  <w:pPr>
                    <w:pStyle w:val="199"/>
                    <w:spacing w:beforeLines="0" w:afterLines="0" w:line="240" w:lineRule="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项目情况</w:t>
                  </w:r>
                </w:p>
              </w:tc>
              <w:tc>
                <w:tcPr>
                  <w:tcW w:w="647" w:type="dxa"/>
                  <w:tcMar>
                    <w:left w:w="28" w:type="dxa"/>
                    <w:right w:w="28" w:type="dxa"/>
                  </w:tcMar>
                  <w:vAlign w:val="center"/>
                </w:tcPr>
                <w:p w14:paraId="04AF079D">
                  <w:pPr>
                    <w:pStyle w:val="199"/>
                    <w:spacing w:beforeLines="0" w:afterLines="0" w:line="240" w:lineRule="auto"/>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符合性</w:t>
                  </w:r>
                </w:p>
              </w:tc>
            </w:tr>
            <w:tr w14:paraId="6308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9" w:type="dxa"/>
                  <w:vMerge w:val="restart"/>
                  <w:vAlign w:val="center"/>
                </w:tcPr>
                <w:p w14:paraId="3B1A318C">
                  <w:pPr>
                    <w:pStyle w:val="199"/>
                    <w:spacing w:beforeLines="0" w:afterLines="0"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提升颗粒物治理水平</w:t>
                  </w:r>
                </w:p>
              </w:tc>
              <w:tc>
                <w:tcPr>
                  <w:tcW w:w="4355" w:type="dxa"/>
                  <w:vAlign w:val="center"/>
                </w:tcPr>
                <w:p w14:paraId="6E99F83E">
                  <w:pPr>
                    <w:pStyle w:val="199"/>
                    <w:spacing w:beforeLines="0" w:afterLines="0" w:line="240" w:lineRule="auto"/>
                    <w:rPr>
                      <w:rFonts w:hint="default" w:ascii="Times New Roman" w:hAnsi="Times New Roman" w:cs="Times New Roman"/>
                      <w:color w:val="auto"/>
                      <w:sz w:val="18"/>
                      <w:szCs w:val="18"/>
                      <w:highlight w:val="none"/>
                      <w:shd w:val="clear" w:color="auto" w:fill="FFFFFF"/>
                    </w:rPr>
                  </w:pPr>
                  <w:r>
                    <w:rPr>
                      <w:rFonts w:hint="default" w:ascii="Times New Roman" w:hAnsi="Times New Roman" w:cs="Times New Roman"/>
                      <w:color w:val="auto"/>
                      <w:sz w:val="18"/>
                      <w:szCs w:val="18"/>
                      <w:highlight w:val="none"/>
                      <w:shd w:val="clear" w:color="auto" w:fill="FFFFFF"/>
                    </w:rPr>
                    <w:t>23.粉性原料、物料（含易起尘的粒状）等贮存场所要全密闭。</w:t>
                  </w:r>
                </w:p>
              </w:tc>
              <w:tc>
                <w:tcPr>
                  <w:tcW w:w="2592" w:type="dxa"/>
                  <w:vAlign w:val="center"/>
                </w:tcPr>
                <w:p w14:paraId="653CACBE">
                  <w:pPr>
                    <w:pStyle w:val="199"/>
                    <w:spacing w:beforeLines="0" w:afterLines="0" w:line="240" w:lineRule="auto"/>
                    <w:rPr>
                      <w:rFonts w:hint="default" w:ascii="Times New Roman" w:hAnsi="Times New Roman" w:cs="Times New Roman"/>
                      <w:color w:val="auto"/>
                      <w:sz w:val="18"/>
                      <w:szCs w:val="18"/>
                      <w:highlight w:val="none"/>
                    </w:rPr>
                  </w:pPr>
                  <w:r>
                    <w:rPr>
                      <w:rFonts w:hint="eastAsia" w:ascii="Times New Roman" w:cs="Times New Roman"/>
                      <w:color w:val="auto"/>
                      <w:sz w:val="18"/>
                      <w:szCs w:val="21"/>
                      <w:highlight w:val="none"/>
                      <w:lang w:val="en-US" w:eastAsia="zh-CN"/>
                    </w:rPr>
                    <w:t>本项目原料主要为陶瓷纤维棉、硅溶胶，硅溶胶为液态，桶装密闭纯，纤维棉不属于粉状原料，且位于密闭原料仓库中</w:t>
                  </w:r>
                </w:p>
              </w:tc>
              <w:tc>
                <w:tcPr>
                  <w:tcW w:w="647" w:type="dxa"/>
                  <w:vAlign w:val="center"/>
                </w:tcPr>
                <w:p w14:paraId="148DCCF6">
                  <w:pPr>
                    <w:pStyle w:val="199"/>
                    <w:spacing w:beforeLines="0" w:afterLines="0" w:line="240" w:lineRule="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符合</w:t>
                  </w:r>
                </w:p>
              </w:tc>
            </w:tr>
            <w:tr w14:paraId="5664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9" w:type="dxa"/>
                  <w:vMerge w:val="continue"/>
                  <w:vAlign w:val="center"/>
                </w:tcPr>
                <w:p w14:paraId="11EE7BED">
                  <w:pPr>
                    <w:pStyle w:val="199"/>
                    <w:spacing w:beforeLines="0" w:afterLines="0" w:line="240" w:lineRule="auto"/>
                    <w:rPr>
                      <w:rFonts w:hint="default" w:ascii="Times New Roman" w:hAnsi="Times New Roman" w:cs="Times New Roman"/>
                      <w:color w:val="auto"/>
                      <w:sz w:val="18"/>
                      <w:szCs w:val="18"/>
                    </w:rPr>
                  </w:pPr>
                </w:p>
              </w:tc>
              <w:tc>
                <w:tcPr>
                  <w:tcW w:w="4355" w:type="dxa"/>
                  <w:vAlign w:val="center"/>
                </w:tcPr>
                <w:p w14:paraId="6D72AAAE">
                  <w:pPr>
                    <w:pStyle w:val="199"/>
                    <w:spacing w:beforeLines="0" w:afterLines="0" w:line="240" w:lineRule="auto"/>
                    <w:rPr>
                      <w:rFonts w:hint="default" w:ascii="Times New Roman" w:hAnsi="Times New Roman" w:cs="Times New Roman"/>
                      <w:color w:val="auto"/>
                      <w:sz w:val="18"/>
                      <w:szCs w:val="18"/>
                      <w:highlight w:val="none"/>
                      <w:shd w:val="clear" w:color="auto" w:fill="FFFFFF"/>
                    </w:rPr>
                  </w:pPr>
                  <w:r>
                    <w:rPr>
                      <w:rFonts w:hint="default" w:ascii="Times New Roman" w:hAnsi="Times New Roman" w:cs="Times New Roman"/>
                      <w:color w:val="auto"/>
                      <w:sz w:val="18"/>
                      <w:szCs w:val="18"/>
                      <w:highlight w:val="none"/>
                      <w:shd w:val="clear" w:color="auto" w:fill="FFFFFF"/>
                    </w:rPr>
                    <w:t>厂内道路要全部硬化，地面要硬化或者绿化，不得出现裸露地面。定期对厂内及车间内道路、地面等进行洒扫保洁，原则上每周冲洗不少于1次，每天洒扫不少于2次，地面无积尘。</w:t>
                  </w:r>
                </w:p>
              </w:tc>
              <w:tc>
                <w:tcPr>
                  <w:tcW w:w="2592" w:type="dxa"/>
                  <w:vAlign w:val="center"/>
                </w:tcPr>
                <w:p w14:paraId="48C52866">
                  <w:pPr>
                    <w:pStyle w:val="199"/>
                    <w:spacing w:beforeLines="0" w:afterLines="0" w:line="240" w:lineRule="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本项目车间、道路全部硬化，目前厂区内尚有裸露地面，</w:t>
                  </w:r>
                  <w:r>
                    <w:rPr>
                      <w:rFonts w:hint="eastAsia" w:ascii="Times New Roman" w:cs="Times New Roman"/>
                      <w:color w:val="auto"/>
                      <w:sz w:val="18"/>
                      <w:szCs w:val="18"/>
                      <w:highlight w:val="none"/>
                      <w:lang w:eastAsia="zh-CN"/>
                    </w:rPr>
                    <w:t>本项目</w:t>
                  </w:r>
                  <w:r>
                    <w:rPr>
                      <w:rFonts w:hint="default" w:ascii="Times New Roman" w:hAnsi="Times New Roman" w:cs="Times New Roman"/>
                      <w:color w:val="auto"/>
                      <w:sz w:val="18"/>
                      <w:szCs w:val="18"/>
                      <w:highlight w:val="none"/>
                    </w:rPr>
                    <w:t>建成后将全部进行硬化，消除裸露地面。本项目建成后将按照要求进行保洁，做到地面无积尘。</w:t>
                  </w:r>
                </w:p>
              </w:tc>
              <w:tc>
                <w:tcPr>
                  <w:tcW w:w="647" w:type="dxa"/>
                  <w:vAlign w:val="center"/>
                </w:tcPr>
                <w:p w14:paraId="353C79BF">
                  <w:pPr>
                    <w:pStyle w:val="199"/>
                    <w:spacing w:beforeLines="0" w:afterLines="0" w:line="240" w:lineRule="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符合</w:t>
                  </w:r>
                </w:p>
              </w:tc>
            </w:tr>
            <w:tr w14:paraId="6801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9" w:type="dxa"/>
                  <w:vMerge w:val="restart"/>
                  <w:vAlign w:val="center"/>
                </w:tcPr>
                <w:p w14:paraId="7428A2C9">
                  <w:pPr>
                    <w:pStyle w:val="199"/>
                    <w:spacing w:beforeLines="0" w:afterLines="0"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提升精细化管理水平</w:t>
                  </w:r>
                </w:p>
              </w:tc>
              <w:tc>
                <w:tcPr>
                  <w:tcW w:w="4355" w:type="dxa"/>
                  <w:vAlign w:val="center"/>
                </w:tcPr>
                <w:p w14:paraId="561D8958">
                  <w:pPr>
                    <w:pStyle w:val="199"/>
                    <w:spacing w:beforeLines="0" w:afterLines="0" w:line="240" w:lineRule="auto"/>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shd w:val="clear" w:color="auto" w:fill="FFFFFF"/>
                    </w:rPr>
                    <w:t>28.企业要按照排污许可证相关要求，完整记录和保存生产设施运行、脱硫脱硝剂消费、活性炭等吸附剂更换、原辅料及能源消费、污染设施运行等台账信息，相关台账信息要与DCS记录一致。DCS记录应定期备份，保存时间不少于书面台账。</w:t>
                  </w:r>
                </w:p>
              </w:tc>
              <w:tc>
                <w:tcPr>
                  <w:tcW w:w="2592" w:type="dxa"/>
                  <w:vMerge w:val="restart"/>
                  <w:vAlign w:val="center"/>
                </w:tcPr>
                <w:p w14:paraId="262F0E89">
                  <w:pPr>
                    <w:pStyle w:val="199"/>
                    <w:spacing w:beforeLines="0" w:afterLines="0"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本项目建成后将按照要求进行精细化管理。</w:t>
                  </w:r>
                </w:p>
              </w:tc>
              <w:tc>
                <w:tcPr>
                  <w:tcW w:w="647" w:type="dxa"/>
                  <w:vMerge w:val="restart"/>
                  <w:vAlign w:val="center"/>
                </w:tcPr>
                <w:p w14:paraId="5CEE5792">
                  <w:pPr>
                    <w:pStyle w:val="199"/>
                    <w:spacing w:beforeLines="0" w:afterLines="0"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符合</w:t>
                  </w:r>
                </w:p>
              </w:tc>
            </w:tr>
            <w:tr w14:paraId="19C4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9" w:type="dxa"/>
                  <w:vMerge w:val="continue"/>
                  <w:vAlign w:val="center"/>
                </w:tcPr>
                <w:p w14:paraId="098947BC">
                  <w:pPr>
                    <w:pStyle w:val="199"/>
                    <w:spacing w:beforeLines="0" w:afterLines="0" w:line="240" w:lineRule="auto"/>
                    <w:rPr>
                      <w:rFonts w:hint="default" w:ascii="Times New Roman" w:hAnsi="Times New Roman" w:cs="Times New Roman"/>
                      <w:color w:val="auto"/>
                      <w:sz w:val="18"/>
                      <w:szCs w:val="18"/>
                    </w:rPr>
                  </w:pPr>
                </w:p>
              </w:tc>
              <w:tc>
                <w:tcPr>
                  <w:tcW w:w="4355" w:type="dxa"/>
                  <w:vAlign w:val="center"/>
                </w:tcPr>
                <w:p w14:paraId="154F7DC2">
                  <w:pPr>
                    <w:pStyle w:val="199"/>
                    <w:spacing w:beforeLines="0" w:afterLines="0" w:line="240" w:lineRule="auto"/>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shd w:val="clear" w:color="auto" w:fill="FFFFFF"/>
                    </w:rPr>
                    <w:t>30.废气处理系统应与生产工艺设备“同启同停”，企业要根据处理工艺，在治污设施操作规程中规定要</w:t>
                  </w:r>
                  <w:r>
                    <w:rPr>
                      <w:rFonts w:hint="default" w:ascii="Times New Roman" w:hAnsi="Times New Roman" w:cs="Times New Roman"/>
                      <w:color w:val="auto"/>
                      <w:sz w:val="18"/>
                      <w:szCs w:val="18"/>
                      <w:shd w:val="clear" w:color="auto" w:fill="FFFFFF"/>
                      <w:lang w:val="en-US" w:eastAsia="zh-CN"/>
                    </w:rPr>
                    <w:t>求</w:t>
                  </w:r>
                  <w:r>
                    <w:rPr>
                      <w:rFonts w:hint="default" w:ascii="Times New Roman" w:hAnsi="Times New Roman" w:cs="Times New Roman"/>
                      <w:color w:val="auto"/>
                      <w:sz w:val="18"/>
                      <w:szCs w:val="18"/>
                      <w:shd w:val="clear" w:color="auto" w:fill="FFFFFF"/>
                    </w:rPr>
                    <w:t>操作方法，明确启停时间、温度、压力、烟气量等参数。</w:t>
                  </w:r>
                </w:p>
              </w:tc>
              <w:tc>
                <w:tcPr>
                  <w:tcW w:w="2592" w:type="dxa"/>
                  <w:vMerge w:val="continue"/>
                  <w:vAlign w:val="center"/>
                </w:tcPr>
                <w:p w14:paraId="69EFF104">
                  <w:pPr>
                    <w:pStyle w:val="199"/>
                    <w:spacing w:beforeLines="0" w:afterLines="0" w:line="240" w:lineRule="auto"/>
                    <w:rPr>
                      <w:rFonts w:hint="default" w:ascii="Times New Roman" w:hAnsi="Times New Roman" w:cs="Times New Roman"/>
                      <w:color w:val="FF0000"/>
                      <w:sz w:val="18"/>
                      <w:szCs w:val="18"/>
                    </w:rPr>
                  </w:pPr>
                </w:p>
              </w:tc>
              <w:tc>
                <w:tcPr>
                  <w:tcW w:w="647" w:type="dxa"/>
                  <w:vMerge w:val="continue"/>
                  <w:vAlign w:val="center"/>
                </w:tcPr>
                <w:p w14:paraId="3F5E3006">
                  <w:pPr>
                    <w:pStyle w:val="199"/>
                    <w:spacing w:beforeLines="0" w:afterLines="0" w:line="240" w:lineRule="auto"/>
                    <w:rPr>
                      <w:rFonts w:hint="default" w:ascii="Times New Roman" w:hAnsi="Times New Roman" w:cs="Times New Roman"/>
                      <w:color w:val="FF0000"/>
                      <w:sz w:val="18"/>
                      <w:szCs w:val="18"/>
                    </w:rPr>
                  </w:pPr>
                </w:p>
              </w:tc>
            </w:tr>
            <w:tr w14:paraId="68C4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9" w:type="dxa"/>
                  <w:vMerge w:val="continue"/>
                  <w:vAlign w:val="center"/>
                </w:tcPr>
                <w:p w14:paraId="34C3D861">
                  <w:pPr>
                    <w:pStyle w:val="199"/>
                    <w:spacing w:beforeLines="0" w:afterLines="0" w:line="240" w:lineRule="auto"/>
                    <w:rPr>
                      <w:rFonts w:hint="default" w:ascii="Times New Roman" w:hAnsi="Times New Roman" w:cs="Times New Roman"/>
                      <w:color w:val="auto"/>
                      <w:sz w:val="18"/>
                      <w:szCs w:val="18"/>
                    </w:rPr>
                  </w:pPr>
                </w:p>
              </w:tc>
              <w:tc>
                <w:tcPr>
                  <w:tcW w:w="4355" w:type="dxa"/>
                  <w:vAlign w:val="center"/>
                </w:tcPr>
                <w:p w14:paraId="02042768">
                  <w:pPr>
                    <w:pStyle w:val="199"/>
                    <w:spacing w:beforeLines="0" w:afterLines="0" w:line="240" w:lineRule="auto"/>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shd w:val="clear" w:color="auto" w:fill="FFFFFF"/>
                    </w:rPr>
                    <w:t>企业应建立健全大气污染治理责任制、管理制度和操作规程，定期开展专项培训或综合培训。其中，治污设施操作人员的专项培训，每季度至少开展一次公司级培训，每月至少开展一次车间级培训，考核合格后方可上岗。</w:t>
                  </w:r>
                </w:p>
              </w:tc>
              <w:tc>
                <w:tcPr>
                  <w:tcW w:w="2592" w:type="dxa"/>
                  <w:vMerge w:val="continue"/>
                  <w:vAlign w:val="center"/>
                </w:tcPr>
                <w:p w14:paraId="26117621">
                  <w:pPr>
                    <w:pStyle w:val="199"/>
                    <w:spacing w:beforeLines="0" w:afterLines="0" w:line="240" w:lineRule="auto"/>
                    <w:rPr>
                      <w:rFonts w:hint="default" w:ascii="Times New Roman" w:hAnsi="Times New Roman" w:cs="Times New Roman"/>
                      <w:color w:val="FF0000"/>
                      <w:sz w:val="18"/>
                      <w:szCs w:val="18"/>
                    </w:rPr>
                  </w:pPr>
                </w:p>
              </w:tc>
              <w:tc>
                <w:tcPr>
                  <w:tcW w:w="647" w:type="dxa"/>
                  <w:vMerge w:val="continue"/>
                  <w:vAlign w:val="center"/>
                </w:tcPr>
                <w:p w14:paraId="6889E3A7">
                  <w:pPr>
                    <w:pStyle w:val="199"/>
                    <w:spacing w:beforeLines="0" w:afterLines="0" w:line="240" w:lineRule="auto"/>
                    <w:rPr>
                      <w:rFonts w:hint="default" w:ascii="Times New Roman" w:hAnsi="Times New Roman" w:cs="Times New Roman"/>
                      <w:color w:val="FF0000"/>
                      <w:sz w:val="18"/>
                      <w:szCs w:val="18"/>
                    </w:rPr>
                  </w:pPr>
                </w:p>
              </w:tc>
            </w:tr>
            <w:tr w14:paraId="18B3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89" w:type="dxa"/>
                  <w:vMerge w:val="continue"/>
                  <w:vAlign w:val="center"/>
                </w:tcPr>
                <w:p w14:paraId="7179F6C1">
                  <w:pPr>
                    <w:pStyle w:val="199"/>
                    <w:spacing w:beforeLines="0" w:afterLines="0" w:line="240" w:lineRule="auto"/>
                    <w:rPr>
                      <w:rFonts w:hint="default" w:ascii="Times New Roman" w:hAnsi="Times New Roman" w:cs="Times New Roman"/>
                      <w:color w:val="auto"/>
                      <w:sz w:val="18"/>
                      <w:szCs w:val="18"/>
                    </w:rPr>
                  </w:pPr>
                </w:p>
              </w:tc>
              <w:tc>
                <w:tcPr>
                  <w:tcW w:w="4355" w:type="dxa"/>
                  <w:vAlign w:val="center"/>
                </w:tcPr>
                <w:p w14:paraId="35DDAAFE">
                  <w:pPr>
                    <w:pStyle w:val="199"/>
                    <w:spacing w:beforeLines="0" w:afterLines="0" w:line="240" w:lineRule="auto"/>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shd w:val="clear" w:color="auto" w:fill="FFFFFF"/>
                    </w:rPr>
                    <w:t>企业应建立治污设施运行巡查制度，定期巡查治污设施运行情况，巡查间隔时间不得超过半小时。治污设施运行参数要张贴悬挂于醒目位置，并明确异常问题的处理办法。巡查发现的问题要及时处置，不能整改的启用备用治污设施或有序停产，确保污染物达标排放。</w:t>
                  </w:r>
                </w:p>
              </w:tc>
              <w:tc>
                <w:tcPr>
                  <w:tcW w:w="2592" w:type="dxa"/>
                  <w:vMerge w:val="continue"/>
                  <w:vAlign w:val="center"/>
                </w:tcPr>
                <w:p w14:paraId="57ACD2FD">
                  <w:pPr>
                    <w:pStyle w:val="199"/>
                    <w:spacing w:beforeLines="0" w:afterLines="0" w:line="240" w:lineRule="auto"/>
                    <w:rPr>
                      <w:rFonts w:hint="default" w:ascii="Times New Roman" w:hAnsi="Times New Roman" w:cs="Times New Roman"/>
                      <w:color w:val="FF0000"/>
                      <w:sz w:val="18"/>
                      <w:szCs w:val="18"/>
                    </w:rPr>
                  </w:pPr>
                </w:p>
              </w:tc>
              <w:tc>
                <w:tcPr>
                  <w:tcW w:w="647" w:type="dxa"/>
                  <w:vMerge w:val="continue"/>
                  <w:vAlign w:val="center"/>
                </w:tcPr>
                <w:p w14:paraId="1B216C4B">
                  <w:pPr>
                    <w:pStyle w:val="199"/>
                    <w:spacing w:beforeLines="0" w:afterLines="0" w:line="240" w:lineRule="auto"/>
                    <w:rPr>
                      <w:rFonts w:hint="default" w:ascii="Times New Roman" w:hAnsi="Times New Roman" w:cs="Times New Roman"/>
                      <w:color w:val="FF0000"/>
                      <w:sz w:val="18"/>
                      <w:szCs w:val="18"/>
                    </w:rPr>
                  </w:pPr>
                </w:p>
              </w:tc>
            </w:tr>
            <w:tr w14:paraId="71AC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89" w:type="dxa"/>
                  <w:vAlign w:val="center"/>
                </w:tcPr>
                <w:p w14:paraId="2C1A5921">
                  <w:pPr>
                    <w:pStyle w:val="199"/>
                    <w:spacing w:beforeLines="0" w:afterLines="0"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坚决淘汰落后处理工艺</w:t>
                  </w:r>
                </w:p>
              </w:tc>
              <w:tc>
                <w:tcPr>
                  <w:tcW w:w="4355" w:type="dxa"/>
                  <w:vAlign w:val="center"/>
                </w:tcPr>
                <w:p w14:paraId="1F4D8E3B">
                  <w:pPr>
                    <w:pStyle w:val="199"/>
                    <w:spacing w:beforeLines="0" w:afterLines="0" w:line="240" w:lineRule="auto"/>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shd w:val="clear" w:color="auto" w:fill="FFFFFF"/>
                    </w:rPr>
                    <w:t>全面淘汰除尘脱硫一体化、简易脱硫脱硝一体化、水洗法脱硫、氨法脱硫、生物脱硫以及无法实现精准管控的双碱法等脱硫工艺；全面淘汰微生物法脱硝及难以实现精准有效控制的氧化法脱硝和湿法脱硝工艺；全面淘汰水膜除尘、重力降尘、旋风除尘等单一措施除尘工艺。</w:t>
                  </w:r>
                </w:p>
              </w:tc>
              <w:tc>
                <w:tcPr>
                  <w:tcW w:w="2592" w:type="dxa"/>
                  <w:vAlign w:val="center"/>
                </w:tcPr>
                <w:p w14:paraId="70B5DBD6">
                  <w:pPr>
                    <w:pStyle w:val="199"/>
                    <w:spacing w:beforeLines="0" w:afterLines="0"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本项目不涉及上述环保设施。</w:t>
                  </w:r>
                </w:p>
              </w:tc>
              <w:tc>
                <w:tcPr>
                  <w:tcW w:w="647" w:type="dxa"/>
                  <w:vAlign w:val="center"/>
                </w:tcPr>
                <w:p w14:paraId="23A31183">
                  <w:pPr>
                    <w:pStyle w:val="199"/>
                    <w:spacing w:beforeLines="0" w:afterLines="0"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符合</w:t>
                  </w:r>
                </w:p>
              </w:tc>
            </w:tr>
          </w:tbl>
          <w:p w14:paraId="60973002">
            <w:pPr>
              <w:pStyle w:val="378"/>
              <w:ind w:firstLine="420"/>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18"/>
                <w:lang w:val="en-US"/>
              </w:rPr>
              <w:t>综上分析，本项目符合</w:t>
            </w:r>
            <w:r>
              <w:rPr>
                <w:rFonts w:hint="default" w:ascii="Times New Roman" w:hAnsi="Times New Roman" w:cs="Times New Roman"/>
                <w:color w:val="auto"/>
                <w:sz w:val="21"/>
                <w:szCs w:val="21"/>
              </w:rPr>
              <w:t>《全市工业企业大气污染治理品质提升实施方案》的通知（</w:t>
            </w:r>
            <w:r>
              <w:rPr>
                <w:rFonts w:hint="default" w:ascii="Times New Roman" w:hAnsi="Times New Roman" w:cs="Times New Roman"/>
                <w:color w:val="auto"/>
                <w:kern w:val="0"/>
                <w:sz w:val="21"/>
                <w:szCs w:val="18"/>
                <w:shd w:val="clear" w:color="auto" w:fill="FFFFFF"/>
              </w:rPr>
              <w:t>淄环委办[2022]10号</w:t>
            </w:r>
            <w:r>
              <w:rPr>
                <w:rFonts w:hint="default" w:ascii="Times New Roman" w:hAnsi="Times New Roman" w:cs="Times New Roman"/>
                <w:color w:val="auto"/>
                <w:sz w:val="21"/>
                <w:szCs w:val="21"/>
              </w:rPr>
              <w:t>）中相关要求</w:t>
            </w:r>
            <w:r>
              <w:rPr>
                <w:rFonts w:hint="default" w:ascii="Times New Roman" w:hAnsi="Times New Roman" w:cs="Times New Roman"/>
                <w:color w:val="auto"/>
                <w:sz w:val="21"/>
                <w:szCs w:val="21"/>
                <w:lang w:eastAsia="zh-CN"/>
              </w:rPr>
              <w:t>。</w:t>
            </w:r>
          </w:p>
          <w:p w14:paraId="0A9018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rPr>
              <w:t>（</w:t>
            </w:r>
            <w:r>
              <w:rPr>
                <w:rFonts w:hint="eastAsia" w:cs="Times New Roman"/>
                <w:b w:val="0"/>
                <w:bCs w:val="0"/>
                <w:color w:val="auto"/>
                <w:lang w:val="en-US" w:eastAsia="zh-CN"/>
              </w:rPr>
              <w:t>5</w:t>
            </w:r>
            <w:r>
              <w:rPr>
                <w:rFonts w:hint="default" w:ascii="Times New Roman" w:hAnsi="Times New Roman" w:eastAsia="宋体" w:cs="Times New Roman"/>
                <w:b w:val="0"/>
                <w:bCs w:val="0"/>
                <w:color w:val="auto"/>
              </w:rPr>
              <w:t>）</w:t>
            </w:r>
            <w:r>
              <w:rPr>
                <w:rFonts w:hint="default" w:ascii="Times New Roman" w:hAnsi="Times New Roman" w:eastAsia="宋体" w:cs="Times New Roman"/>
                <w:b w:val="0"/>
                <w:bCs w:val="0"/>
                <w:color w:val="auto"/>
                <w:kern w:val="2"/>
                <w:sz w:val="21"/>
                <w:szCs w:val="21"/>
                <w:lang w:val="en-US" w:eastAsia="zh-CN" w:bidi="ar-SA"/>
              </w:rPr>
              <w:t>与山东省生态环境委员会办公室关于印发《山东省深入打好蓝天保卫战行动计划（2021-2025年）》的符合性</w:t>
            </w:r>
          </w:p>
          <w:p w14:paraId="6A19893A">
            <w:pPr>
              <w:pStyle w:val="637"/>
              <w:snapToGrid w:val="0"/>
              <w:jc w:val="center"/>
              <w:rPr>
                <w:rFonts w:hint="default" w:eastAsia="黑体" w:cs="Times New Roman"/>
                <w:color w:val="auto"/>
                <w:sz w:val="21"/>
                <w:szCs w:val="21"/>
                <w:lang w:val="en-US" w:eastAsia="zh-CN"/>
              </w:rPr>
            </w:pPr>
            <w:r>
              <w:rPr>
                <w:rFonts w:hint="default" w:eastAsia="黑体" w:cs="Times New Roman"/>
                <w:color w:val="auto"/>
                <w:sz w:val="21"/>
                <w:szCs w:val="21"/>
                <w:lang w:val="en-US" w:eastAsia="zh-CN"/>
              </w:rPr>
              <w:t>表1-</w:t>
            </w:r>
            <w:r>
              <w:rPr>
                <w:rFonts w:hint="eastAsia" w:eastAsia="黑体" w:cs="Times New Roman"/>
                <w:color w:val="auto"/>
                <w:sz w:val="21"/>
                <w:szCs w:val="21"/>
                <w:lang w:val="en-US" w:eastAsia="zh-CN"/>
              </w:rPr>
              <w:t>6</w:t>
            </w:r>
            <w:r>
              <w:rPr>
                <w:rFonts w:hint="default" w:eastAsia="黑体" w:cs="Times New Roman"/>
                <w:color w:val="auto"/>
                <w:sz w:val="21"/>
                <w:szCs w:val="21"/>
                <w:lang w:val="en-US" w:eastAsia="zh-CN"/>
              </w:rPr>
              <w:t>与《山东省深入打好蓝天保卫战行动计划（2021-2025年）》的符合性分析</w:t>
            </w:r>
          </w:p>
          <w:tbl>
            <w:tblPr>
              <w:tblStyle w:val="8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4762"/>
              <w:gridCol w:w="2223"/>
            </w:tblGrid>
            <w:tr w14:paraId="367B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14:paraId="54D6A9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bCs/>
                      <w:color w:val="auto"/>
                      <w:sz w:val="18"/>
                      <w:szCs w:val="18"/>
                      <w:vertAlign w:val="baseline"/>
                      <w:lang w:val="en-US" w:eastAsia="zh-CN"/>
                    </w:rPr>
                    <w:t>文件要求</w:t>
                  </w:r>
                </w:p>
              </w:tc>
              <w:tc>
                <w:tcPr>
                  <w:tcW w:w="4762" w:type="dxa"/>
                  <w:noWrap w:val="0"/>
                  <w:vAlign w:val="center"/>
                </w:tcPr>
                <w:p w14:paraId="20EAA0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bCs/>
                      <w:color w:val="auto"/>
                      <w:sz w:val="18"/>
                      <w:szCs w:val="18"/>
                      <w:vertAlign w:val="baseline"/>
                      <w:lang w:val="en-US" w:eastAsia="zh-CN"/>
                    </w:rPr>
                    <w:t>本项目情况</w:t>
                  </w:r>
                </w:p>
              </w:tc>
              <w:tc>
                <w:tcPr>
                  <w:tcW w:w="2223" w:type="dxa"/>
                  <w:noWrap w:val="0"/>
                  <w:vAlign w:val="center"/>
                </w:tcPr>
                <w:p w14:paraId="75D85F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bCs/>
                      <w:color w:val="auto"/>
                      <w:sz w:val="18"/>
                      <w:szCs w:val="18"/>
                      <w:vertAlign w:val="baseline"/>
                      <w:lang w:val="en-US" w:eastAsia="zh-CN"/>
                    </w:rPr>
                    <w:t>符合性</w:t>
                  </w:r>
                </w:p>
              </w:tc>
            </w:tr>
            <w:tr w14:paraId="16F3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14:paraId="4098375F">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zh" w:eastAsia="zh-CN" w:bidi="ar-SA"/>
                    </w:rPr>
                    <w:t>淘汰低效落后产能</w:t>
                  </w:r>
                </w:p>
              </w:tc>
              <w:tc>
                <w:tcPr>
                  <w:tcW w:w="4762" w:type="dxa"/>
                  <w:noWrap w:val="0"/>
                  <w:vAlign w:val="center"/>
                </w:tcPr>
                <w:p w14:paraId="01BC4F90">
                  <w:pPr>
                    <w:keepNext w:val="0"/>
                    <w:keepLines w:val="0"/>
                    <w:pageBreakBefore w:val="0"/>
                    <w:widowControl/>
                    <w:suppressLineNumbers w:val="0"/>
                    <w:kinsoku/>
                    <w:wordWrap/>
                    <w:overflowPunct/>
                    <w:topLinePunct w:val="0"/>
                    <w:bidi w:val="0"/>
                    <w:snapToGrid/>
                    <w:spacing w:line="240" w:lineRule="auto"/>
                    <w:ind w:firstLine="0" w:firstLineChars="0"/>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kern w:val="0"/>
                      <w:sz w:val="18"/>
                      <w:szCs w:val="18"/>
                      <w:lang w:val="en-US" w:eastAsia="zh-CN" w:bidi="ar-SA"/>
                    </w:rPr>
                    <w:t>聚焦钢铁、地炼、焦化、煤电、水泥、轮胎、煤炭、化工8个重点行业，加快淘汰低效落后产能。严格执行质量、环保、能耗、安全等法规标准，按照《产业结构调整指导目录》，对“淘汰类”落后生产工艺装备和落后产品全部淘汰出清。</w:t>
                  </w:r>
                </w:p>
              </w:tc>
              <w:tc>
                <w:tcPr>
                  <w:tcW w:w="2223" w:type="dxa"/>
                  <w:noWrap w:val="0"/>
                  <w:vAlign w:val="center"/>
                </w:tcPr>
                <w:p w14:paraId="625FEA93">
                  <w:pPr>
                    <w:keepNext w:val="0"/>
                    <w:keepLines w:val="0"/>
                    <w:pageBreakBefore w:val="0"/>
                    <w:widowControl/>
                    <w:suppressLineNumbers w:val="0"/>
                    <w:kinsoku/>
                    <w:wordWrap/>
                    <w:overflowPunct/>
                    <w:topLinePunct w:val="0"/>
                    <w:bidi w:val="0"/>
                    <w:snapToGrid/>
                    <w:spacing w:line="240" w:lineRule="auto"/>
                    <w:ind w:firstLine="0" w:firstLineChars="0"/>
                    <w:jc w:val="center"/>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eastAsia="宋体" w:cs="Times New Roman"/>
                      <w:color w:val="auto"/>
                      <w:kern w:val="0"/>
                      <w:sz w:val="18"/>
                      <w:szCs w:val="18"/>
                      <w:lang w:val="en-US" w:eastAsia="zh-CN" w:bidi="ar"/>
                    </w:rPr>
                    <w:t>本项目</w:t>
                  </w:r>
                  <w:r>
                    <w:rPr>
                      <w:rFonts w:hint="default" w:ascii="Times New Roman" w:hAnsi="Times New Roman" w:cs="Times New Roman"/>
                      <w:color w:val="auto"/>
                      <w:kern w:val="0"/>
                      <w:sz w:val="18"/>
                      <w:szCs w:val="18"/>
                      <w:lang w:val="en-US" w:eastAsia="zh-CN" w:bidi="ar"/>
                    </w:rPr>
                    <w:t>属于其他玻璃制品</w:t>
                  </w:r>
                  <w:r>
                    <w:rPr>
                      <w:rFonts w:hint="default" w:ascii="Times New Roman" w:hAnsi="Times New Roman" w:eastAsia="宋体" w:cs="Times New Roman"/>
                      <w:color w:val="auto"/>
                      <w:kern w:val="0"/>
                      <w:sz w:val="18"/>
                      <w:szCs w:val="18"/>
                      <w:lang w:val="en-US" w:eastAsia="zh-CN" w:bidi="ar"/>
                    </w:rPr>
                    <w:t>业，根据《产业结构调整指导目录》</w:t>
                  </w:r>
                  <w:r>
                    <w:rPr>
                      <w:rFonts w:hint="default" w:ascii="Times New Roman" w:hAnsi="Times New Roman" w:cs="Times New Roman"/>
                      <w:color w:val="auto"/>
                      <w:kern w:val="0"/>
                      <w:sz w:val="18"/>
                      <w:szCs w:val="18"/>
                      <w:lang w:val="en-US" w:eastAsia="zh-CN" w:bidi="ar"/>
                    </w:rPr>
                    <w:t>（2024年修订）</w:t>
                  </w:r>
                  <w:r>
                    <w:rPr>
                      <w:rFonts w:hint="default" w:ascii="Times New Roman" w:hAnsi="Times New Roman" w:eastAsia="宋体" w:cs="Times New Roman"/>
                      <w:color w:val="auto"/>
                      <w:kern w:val="0"/>
                      <w:sz w:val="18"/>
                      <w:szCs w:val="18"/>
                      <w:lang w:val="en-US" w:eastAsia="zh-CN" w:bidi="ar"/>
                    </w:rPr>
                    <w:t>，本项目属于允许类项目</w:t>
                  </w:r>
                  <w:r>
                    <w:rPr>
                      <w:rFonts w:hint="default" w:ascii="Times New Roman" w:hAnsi="Times New Roman" w:cs="Times New Roman"/>
                      <w:color w:val="auto"/>
                      <w:kern w:val="0"/>
                      <w:sz w:val="18"/>
                      <w:szCs w:val="18"/>
                      <w:lang w:val="en-US" w:eastAsia="zh-CN" w:bidi="ar"/>
                    </w:rPr>
                    <w:t>。符合要求</w:t>
                  </w:r>
                </w:p>
              </w:tc>
            </w:tr>
            <w:tr w14:paraId="2E69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14:paraId="0C2670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强化工业源NOx深度治理</w:t>
                  </w:r>
                </w:p>
              </w:tc>
              <w:tc>
                <w:tcPr>
                  <w:tcW w:w="4762" w:type="dxa"/>
                  <w:noWrap w:val="0"/>
                  <w:vAlign w:val="center"/>
                </w:tcPr>
                <w:p w14:paraId="390FDD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严格治理设施运行监管，燃煤机组、锅炉、钢铁企业污染排放稳定达到超低排放要求。2023年年底前，完成焦化、水泥行业超低排放改造。实施玻璃、陶瓷、铸造、铁合金、有色等行业污染深度治理，确保各类大气污染物稳定达标排放。重点涉气排放企业取消烟气旁路，确因安全生产等原因无法取消的，应安装有效监控装置纳入监管。引导重点企业在秋冬季安排停产检修、维修，减少污染物排放。（省生态环境厅、省工业和信息化厅牵头）</w:t>
                  </w:r>
                </w:p>
              </w:tc>
              <w:tc>
                <w:tcPr>
                  <w:tcW w:w="2223" w:type="dxa"/>
                  <w:noWrap w:val="0"/>
                  <w:vAlign w:val="center"/>
                </w:tcPr>
                <w:p w14:paraId="51C7DC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本项目使用清洁能源</w:t>
                  </w:r>
                  <w:r>
                    <w:rPr>
                      <w:rFonts w:hint="default" w:ascii="Times New Roman" w:hAnsi="Times New Roman" w:cs="Times New Roman"/>
                      <w:b w:val="0"/>
                      <w:bCs w:val="0"/>
                      <w:color w:val="auto"/>
                      <w:sz w:val="18"/>
                      <w:szCs w:val="18"/>
                      <w:vertAlign w:val="baseline"/>
                      <w:lang w:val="en-US" w:eastAsia="zh-CN"/>
                    </w:rPr>
                    <w:t>电</w:t>
                  </w:r>
                  <w:r>
                    <w:rPr>
                      <w:rFonts w:hint="default" w:ascii="Times New Roman" w:hAnsi="Times New Roman" w:eastAsia="宋体" w:cs="Times New Roman"/>
                      <w:b w:val="0"/>
                      <w:bCs w:val="0"/>
                      <w:color w:val="auto"/>
                      <w:sz w:val="18"/>
                      <w:szCs w:val="18"/>
                      <w:vertAlign w:val="baseline"/>
                      <w:lang w:val="en-US" w:eastAsia="zh-CN"/>
                    </w:rPr>
                    <w:t>，</w:t>
                  </w:r>
                  <w:r>
                    <w:rPr>
                      <w:rFonts w:hint="default" w:ascii="Times New Roman" w:hAnsi="Times New Roman" w:cs="Times New Roman"/>
                      <w:b w:val="0"/>
                      <w:bCs w:val="0"/>
                      <w:color w:val="auto"/>
                      <w:sz w:val="18"/>
                      <w:szCs w:val="18"/>
                      <w:vertAlign w:val="baseline"/>
                      <w:lang w:val="en-US" w:eastAsia="zh-CN"/>
                    </w:rPr>
                    <w:t>根据主要环境影响和保护措施章节计算，本项目废气均</w:t>
                  </w:r>
                  <w:r>
                    <w:rPr>
                      <w:rFonts w:hint="default" w:ascii="Times New Roman" w:hAnsi="Times New Roman" w:eastAsia="宋体" w:cs="Times New Roman"/>
                      <w:b w:val="0"/>
                      <w:bCs w:val="0"/>
                      <w:color w:val="auto"/>
                      <w:sz w:val="18"/>
                      <w:szCs w:val="18"/>
                      <w:vertAlign w:val="baseline"/>
                      <w:lang w:val="en-US" w:eastAsia="zh-CN"/>
                    </w:rPr>
                    <w:t>达标外排。</w:t>
                  </w:r>
                  <w:r>
                    <w:rPr>
                      <w:rFonts w:hint="default" w:ascii="Times New Roman" w:hAnsi="Times New Roman" w:cs="Times New Roman"/>
                      <w:b w:val="0"/>
                      <w:bCs w:val="0"/>
                      <w:color w:val="auto"/>
                      <w:sz w:val="18"/>
                      <w:szCs w:val="18"/>
                      <w:vertAlign w:val="baseline"/>
                      <w:lang w:val="en-US" w:eastAsia="zh-CN"/>
                    </w:rPr>
                    <w:t>不涉及旁路。符合要求</w:t>
                  </w:r>
                </w:p>
              </w:tc>
            </w:tr>
            <w:tr w14:paraId="7D8F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noWrap w:val="0"/>
                  <w:vAlign w:val="center"/>
                </w:tcPr>
                <w:p w14:paraId="33A0D7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严格扬尘污染管控</w:t>
                  </w:r>
                </w:p>
              </w:tc>
              <w:tc>
                <w:tcPr>
                  <w:tcW w:w="4762" w:type="dxa"/>
                  <w:noWrap w:val="0"/>
                  <w:vAlign w:val="center"/>
                </w:tcPr>
                <w:p w14:paraId="082CB8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加强施工扬尘精细化管控，建立并动态更新施工</w:t>
                  </w:r>
                </w:p>
                <w:p w14:paraId="029F43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工地清单</w:t>
                  </w:r>
                </w:p>
              </w:tc>
              <w:tc>
                <w:tcPr>
                  <w:tcW w:w="2223" w:type="dxa"/>
                  <w:noWrap w:val="0"/>
                  <w:vAlign w:val="center"/>
                </w:tcPr>
                <w:p w14:paraId="15AC61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项目施工期</w:t>
                  </w:r>
                  <w:r>
                    <w:rPr>
                      <w:rFonts w:hint="eastAsia" w:ascii="Times New Roman" w:hAnsi="Times New Roman" w:eastAsia="宋体" w:cs="Times New Roman"/>
                      <w:b w:val="0"/>
                      <w:bCs w:val="0"/>
                      <w:color w:val="auto"/>
                      <w:sz w:val="18"/>
                      <w:szCs w:val="18"/>
                      <w:vertAlign w:val="baseline"/>
                      <w:lang w:val="en-US" w:eastAsia="zh-CN"/>
                    </w:rPr>
                    <w:t>主要安装设备，对周边环境影响较小</w:t>
                  </w:r>
                </w:p>
              </w:tc>
            </w:tr>
          </w:tbl>
          <w:p w14:paraId="199377FC">
            <w:pPr>
              <w:tabs>
                <w:tab w:val="left" w:pos="5427"/>
              </w:tabs>
              <w:spacing w:line="360" w:lineRule="auto"/>
              <w:ind w:firstLine="420" w:firstLineChars="20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default" w:ascii="Times New Roman" w:hAnsi="Times New Roman" w:cs="Times New Roman"/>
                <w:bCs/>
                <w:color w:val="auto"/>
                <w:highlight w:val="none"/>
                <w:lang w:val="en-US" w:eastAsia="zh-CN"/>
              </w:rPr>
              <w:t>6</w:t>
            </w:r>
            <w:r>
              <w:rPr>
                <w:rFonts w:hint="default" w:ascii="Times New Roman" w:hAnsi="Times New Roman" w:cs="Times New Roman"/>
                <w:bCs/>
                <w:color w:val="auto"/>
                <w:highlight w:val="none"/>
              </w:rPr>
              <w:t>）《山东省工业企业无组织排放分行业管控指导意见》鲁环发[2020]30 号的符合性分析</w:t>
            </w:r>
          </w:p>
          <w:p w14:paraId="1798DB01">
            <w:pPr>
              <w:tabs>
                <w:tab w:val="left" w:pos="5427"/>
              </w:tabs>
              <w:spacing w:line="360" w:lineRule="auto"/>
              <w:ind w:firstLine="420" w:firstLineChars="20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本项目与鲁环发[2020]30 号的符合性分析见下表。</w:t>
            </w:r>
          </w:p>
          <w:p w14:paraId="79398305">
            <w:pPr>
              <w:pStyle w:val="637"/>
              <w:snapToGrid w:val="0"/>
              <w:jc w:val="center"/>
              <w:rPr>
                <w:rFonts w:hint="default" w:eastAsia="黑体" w:cs="Times New Roman"/>
                <w:color w:val="auto"/>
                <w:sz w:val="21"/>
                <w:szCs w:val="21"/>
                <w:lang w:val="en-US" w:eastAsia="zh"/>
              </w:rPr>
            </w:pPr>
            <w:r>
              <w:rPr>
                <w:rFonts w:hint="default" w:eastAsia="黑体" w:cs="Times New Roman"/>
                <w:color w:val="auto"/>
                <w:sz w:val="21"/>
                <w:szCs w:val="21"/>
                <w:lang w:val="en-US" w:eastAsia="zh-CN"/>
              </w:rPr>
              <w:t>表1-7项目与鲁环发[2020]30 号符合情况分析</w:t>
            </w:r>
          </w:p>
          <w:tbl>
            <w:tblPr>
              <w:tblStyle w:val="86"/>
              <w:tblW w:w="8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6"/>
              <w:gridCol w:w="4453"/>
              <w:gridCol w:w="2515"/>
              <w:gridCol w:w="698"/>
            </w:tblGrid>
            <w:tr w14:paraId="4C3D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86" w:type="dxa"/>
                  <w:vAlign w:val="center"/>
                </w:tcPr>
                <w:p w14:paraId="096E3B8E">
                  <w:pPr>
                    <w:pStyle w:val="1411"/>
                    <w:ind w:right="24"/>
                    <w:jc w:val="center"/>
                    <w:textAlignment w:val="baseline"/>
                    <w:rPr>
                      <w:rFonts w:hint="default" w:ascii="Times New Roman" w:hAnsi="Times New Roman" w:cs="Times New Roman"/>
                      <w:b/>
                      <w:bCs/>
                      <w:color w:val="auto"/>
                      <w:sz w:val="18"/>
                      <w:szCs w:val="21"/>
                      <w:highlight w:val="none"/>
                    </w:rPr>
                  </w:pPr>
                  <w:r>
                    <w:rPr>
                      <w:rFonts w:hint="default" w:ascii="Times New Roman" w:hAnsi="Times New Roman" w:cs="Times New Roman"/>
                      <w:b/>
                      <w:bCs/>
                      <w:color w:val="auto"/>
                      <w:sz w:val="18"/>
                      <w:szCs w:val="21"/>
                      <w:highlight w:val="none"/>
                    </w:rPr>
                    <w:t>分类</w:t>
                  </w:r>
                </w:p>
              </w:tc>
              <w:tc>
                <w:tcPr>
                  <w:tcW w:w="4453" w:type="dxa"/>
                  <w:vAlign w:val="center"/>
                </w:tcPr>
                <w:p w14:paraId="77B88684">
                  <w:pPr>
                    <w:pStyle w:val="1411"/>
                    <w:ind w:left="19"/>
                    <w:jc w:val="center"/>
                    <w:textAlignment w:val="baseline"/>
                    <w:rPr>
                      <w:rFonts w:hint="default" w:ascii="Times New Roman" w:hAnsi="Times New Roman" w:cs="Times New Roman"/>
                      <w:b/>
                      <w:bCs/>
                      <w:color w:val="auto"/>
                      <w:sz w:val="18"/>
                      <w:szCs w:val="21"/>
                      <w:highlight w:val="none"/>
                    </w:rPr>
                  </w:pPr>
                  <w:r>
                    <w:rPr>
                      <w:rFonts w:hint="default" w:ascii="Times New Roman" w:hAnsi="Times New Roman" w:cs="Times New Roman"/>
                      <w:b/>
                      <w:bCs/>
                      <w:color w:val="auto"/>
                      <w:sz w:val="18"/>
                      <w:szCs w:val="21"/>
                      <w:highlight w:val="none"/>
                    </w:rPr>
                    <w:t>文件要求</w:t>
                  </w:r>
                </w:p>
              </w:tc>
              <w:tc>
                <w:tcPr>
                  <w:tcW w:w="2515" w:type="dxa"/>
                  <w:vAlign w:val="center"/>
                </w:tcPr>
                <w:p w14:paraId="6D0D1520">
                  <w:pPr>
                    <w:pStyle w:val="1411"/>
                    <w:ind w:left="19"/>
                    <w:jc w:val="center"/>
                    <w:textAlignment w:val="baseline"/>
                    <w:rPr>
                      <w:rFonts w:hint="default" w:ascii="Times New Roman" w:hAnsi="Times New Roman" w:cs="Times New Roman"/>
                      <w:b/>
                      <w:bCs/>
                      <w:color w:val="auto"/>
                      <w:sz w:val="18"/>
                      <w:szCs w:val="21"/>
                      <w:highlight w:val="none"/>
                    </w:rPr>
                  </w:pPr>
                  <w:r>
                    <w:rPr>
                      <w:rFonts w:hint="default" w:ascii="Times New Roman" w:hAnsi="Times New Roman" w:cs="Times New Roman"/>
                      <w:b/>
                      <w:bCs/>
                      <w:color w:val="auto"/>
                      <w:sz w:val="18"/>
                      <w:szCs w:val="21"/>
                      <w:highlight w:val="none"/>
                    </w:rPr>
                    <w:t>本项目情况</w:t>
                  </w:r>
                </w:p>
              </w:tc>
              <w:tc>
                <w:tcPr>
                  <w:tcW w:w="698" w:type="dxa"/>
                  <w:vAlign w:val="center"/>
                </w:tcPr>
                <w:p w14:paraId="47036674">
                  <w:pPr>
                    <w:pStyle w:val="1411"/>
                    <w:ind w:left="48"/>
                    <w:jc w:val="center"/>
                    <w:textAlignment w:val="baseline"/>
                    <w:rPr>
                      <w:rFonts w:hint="default" w:ascii="Times New Roman" w:hAnsi="Times New Roman" w:cs="Times New Roman"/>
                      <w:b/>
                      <w:bCs/>
                      <w:color w:val="auto"/>
                      <w:sz w:val="18"/>
                      <w:szCs w:val="21"/>
                      <w:highlight w:val="none"/>
                    </w:rPr>
                  </w:pPr>
                  <w:r>
                    <w:rPr>
                      <w:rFonts w:hint="default" w:ascii="Times New Roman" w:hAnsi="Times New Roman" w:cs="Times New Roman"/>
                      <w:b/>
                      <w:bCs/>
                      <w:color w:val="auto"/>
                      <w:sz w:val="18"/>
                      <w:szCs w:val="21"/>
                      <w:highlight w:val="none"/>
                    </w:rPr>
                    <w:t>符合性</w:t>
                  </w:r>
                </w:p>
              </w:tc>
            </w:tr>
            <w:tr w14:paraId="2A54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6" w:type="dxa"/>
                  <w:vMerge w:val="restart"/>
                  <w:vAlign w:val="center"/>
                </w:tcPr>
                <w:p w14:paraId="052B629A">
                  <w:pPr>
                    <w:pStyle w:val="1411"/>
                    <w:jc w:val="center"/>
                    <w:textAlignment w:val="baseline"/>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管控要求</w:t>
                  </w:r>
                </w:p>
              </w:tc>
              <w:tc>
                <w:tcPr>
                  <w:tcW w:w="4453" w:type="dxa"/>
                  <w:shd w:val="clear" w:color="auto" w:fill="auto"/>
                  <w:vAlign w:val="center"/>
                </w:tcPr>
                <w:p w14:paraId="603A0475">
                  <w:pPr>
                    <w:pStyle w:val="1411"/>
                    <w:ind w:left="76" w:leftChars="0"/>
                    <w:jc w:val="center"/>
                    <w:textAlignment w:val="baseline"/>
                    <w:rPr>
                      <w:rFonts w:hint="default" w:ascii="Times New Roman" w:hAnsi="Times New Roman" w:eastAsia="宋体" w:cs="Times New Roman"/>
                      <w:color w:val="auto"/>
                      <w:sz w:val="18"/>
                      <w:szCs w:val="18"/>
                      <w:lang w:val="zh" w:eastAsia="zh-CN" w:bidi="ar-SA"/>
                    </w:rPr>
                  </w:pPr>
                  <w:r>
                    <w:rPr>
                      <w:rFonts w:hint="default" w:ascii="Times New Roman" w:hAnsi="Times New Roman" w:cs="Times New Roman"/>
                      <w:color w:val="auto"/>
                      <w:sz w:val="18"/>
                      <w:szCs w:val="18"/>
                    </w:rPr>
                    <w:t>1、加强物料运输、装卸环节管控。煤粉、粉煤灰、石灰、除尘灰、脱硫灰、原料药等粉状物料采用管状带式输送机、气力输送、真空罐车、密闭车厢等密闭方式运输；砂石、矿石、煤、铁精矿、脱硫石膏等块状、粒状或粘湿物料采用皮带通廊、封闭车厢等封闭方式运输或苫盖严密，防止沿途抛洒和飞扬。料场或厂区出入口配备车辆清洗装置或采取其他控制措施，确保出场车辆清洁、运输不起尘。厂区道路硬化，平整无破损、无积尘，厂区无裸露空地，闲置裸露空地及时绿化或硬化，厂区道路定期洒水清扫。块状、粒状或粘湿物料直接卸落至储存料场，装卸过程配备有效抑尘、集尘除尘设施，粉状物料装卸口配备密封防尘装置且不得直接卸落到地面。挥发性有机液体装车采用顶部浸没式或底部装载，严禁喷溅，运输相关产品的车辆具备油气回收接口。</w:t>
                  </w:r>
                </w:p>
              </w:tc>
              <w:tc>
                <w:tcPr>
                  <w:tcW w:w="2515" w:type="dxa"/>
                  <w:shd w:val="clear" w:color="auto" w:fill="auto"/>
                  <w:vAlign w:val="center"/>
                </w:tcPr>
                <w:p w14:paraId="154E6452">
                  <w:pPr>
                    <w:pStyle w:val="1411"/>
                    <w:ind w:left="72" w:leftChars="0"/>
                    <w:jc w:val="center"/>
                    <w:textAlignment w:val="baseline"/>
                    <w:rPr>
                      <w:rFonts w:hint="default" w:ascii="Times New Roman" w:hAnsi="Times New Roman" w:eastAsia="宋体" w:cs="Times New Roman"/>
                      <w:color w:val="auto"/>
                      <w:sz w:val="18"/>
                      <w:szCs w:val="21"/>
                      <w:highlight w:val="yellow"/>
                      <w:lang w:val="en-US" w:eastAsia="zh-CN" w:bidi="ar-SA"/>
                    </w:rPr>
                  </w:pPr>
                  <w:r>
                    <w:rPr>
                      <w:rFonts w:hint="eastAsia" w:ascii="Times New Roman" w:cs="Times New Roman"/>
                      <w:color w:val="auto"/>
                      <w:sz w:val="18"/>
                      <w:szCs w:val="21"/>
                      <w:highlight w:val="none"/>
                      <w:lang w:val="en-US" w:eastAsia="zh-CN"/>
                    </w:rPr>
                    <w:t>本项目原料主要为陶瓷纤维棉、硅溶胶，硅溶胶为液态，桶装密闭，纤维棉不属于粉状原料，且位于密闭原料仓库中</w:t>
                  </w:r>
                  <w:r>
                    <w:rPr>
                      <w:rFonts w:hint="default" w:ascii="Times New Roman" w:hAnsi="Times New Roman" w:cs="Times New Roman"/>
                      <w:color w:val="auto"/>
                      <w:sz w:val="18"/>
                      <w:szCs w:val="18"/>
                      <w:lang w:eastAsia="zh-CN"/>
                    </w:rPr>
                    <w:t>。</w:t>
                  </w:r>
                </w:p>
              </w:tc>
              <w:tc>
                <w:tcPr>
                  <w:tcW w:w="698" w:type="dxa"/>
                  <w:shd w:val="clear" w:color="auto" w:fill="auto"/>
                  <w:vAlign w:val="center"/>
                </w:tcPr>
                <w:p w14:paraId="30D9B842">
                  <w:pPr>
                    <w:pStyle w:val="1411"/>
                    <w:jc w:val="center"/>
                    <w:textAlignment w:val="baseline"/>
                    <w:rPr>
                      <w:rFonts w:hint="default" w:ascii="Times New Roman" w:hAnsi="Times New Roman" w:eastAsia="宋体" w:cs="Times New Roman"/>
                      <w:color w:val="auto"/>
                      <w:sz w:val="18"/>
                      <w:szCs w:val="21"/>
                      <w:highlight w:val="none"/>
                      <w:lang w:val="zh" w:eastAsia="zh-CN" w:bidi="ar-SA"/>
                    </w:rPr>
                  </w:pPr>
                  <w:r>
                    <w:rPr>
                      <w:rFonts w:hint="default" w:ascii="Times New Roman" w:hAnsi="Times New Roman" w:cs="Times New Roman"/>
                      <w:color w:val="auto"/>
                      <w:sz w:val="18"/>
                      <w:szCs w:val="21"/>
                      <w:highlight w:val="none"/>
                    </w:rPr>
                    <w:t>符合</w:t>
                  </w:r>
                </w:p>
              </w:tc>
            </w:tr>
            <w:tr w14:paraId="423F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6" w:type="dxa"/>
                  <w:vMerge w:val="continue"/>
                  <w:vAlign w:val="center"/>
                </w:tcPr>
                <w:p w14:paraId="5CE47A37">
                  <w:pPr>
                    <w:pStyle w:val="1411"/>
                    <w:jc w:val="center"/>
                    <w:textAlignment w:val="baseline"/>
                    <w:rPr>
                      <w:rFonts w:hint="default" w:ascii="Times New Roman" w:hAnsi="Times New Roman" w:cs="Times New Roman"/>
                      <w:color w:val="auto"/>
                      <w:sz w:val="18"/>
                      <w:szCs w:val="21"/>
                      <w:highlight w:val="yellow"/>
                    </w:rPr>
                  </w:pPr>
                </w:p>
              </w:tc>
              <w:tc>
                <w:tcPr>
                  <w:tcW w:w="4453" w:type="dxa"/>
                  <w:shd w:val="clear" w:color="auto" w:fill="auto"/>
                  <w:vAlign w:val="center"/>
                </w:tcPr>
                <w:p w14:paraId="20B00A8E">
                  <w:pPr>
                    <w:pStyle w:val="1411"/>
                    <w:ind w:left="76" w:leftChars="0"/>
                    <w:jc w:val="center"/>
                    <w:textAlignment w:val="baseline"/>
                    <w:rPr>
                      <w:rFonts w:hint="default" w:ascii="Times New Roman" w:hAnsi="Times New Roman" w:eastAsia="宋体" w:cs="Times New Roman"/>
                      <w:color w:val="auto"/>
                      <w:sz w:val="18"/>
                      <w:szCs w:val="21"/>
                      <w:highlight w:val="none"/>
                      <w:lang w:val="zh" w:eastAsia="zh-CN" w:bidi="ar-SA"/>
                    </w:rPr>
                  </w:pPr>
                  <w:r>
                    <w:rPr>
                      <w:rFonts w:hint="default" w:ascii="Times New Roman" w:hAnsi="Times New Roman" w:cs="Times New Roman"/>
                      <w:color w:val="auto"/>
                      <w:sz w:val="18"/>
                      <w:szCs w:val="18"/>
                      <w:highlight w:val="none"/>
                    </w:rPr>
                    <w:t>2、加强物料储存、输送环节管控。煤粉、粉煤灰、石灰、除尘灰、脱硫灰、原料药等粉状物料采用料仓、储罐、容器、包装袋等方式密闭储存，料仓、储罐配置高效除尘设施；采用管状带式输送机、气力输送、真空罐车、密闭车辆等方式输送。砂石、矿石、煤、铁精矿、脱硫石膏等块状、粒状或粘湿物料采用密闭料仓、封闭料棚或建设防风抑尘网等方式进行规范储存，封闭料棚和露天料场内设有喷淋装置，喷淋范围覆盖整个料堆。所储存物料对含水率有严格要求或遇水发生变化的，在料场内安装有效集尘除尘设施。封闭料棚进出口安装封闭性良好且便于开关的卷帘门、推拉门或自动感应门等，无车辆通过时将门关闭。防风抑尘网高度高于料场堆存高度，并对堆存物料进行严密苫盖。块状、粒状或粘湿物料上料口设置在封闭料棚内，采用管状带式输送机、皮带通廊、封闭车辆等方式输送。物料上料、输送、转接、出料和扒渣等过程中的产尘点采取有效抑尘、集尘除尘措施。含挥发性有机物（VOCs）物料储存于密闭容器、包装袋，高效密封储罐，封闭式储库、料仓等；封闭式储库、料仓设置VOCs有效收集治理设施。含VOCs物料输送，采用密闭管道或密闭容器、罐车等。</w:t>
                  </w:r>
                </w:p>
              </w:tc>
              <w:tc>
                <w:tcPr>
                  <w:tcW w:w="2515" w:type="dxa"/>
                  <w:shd w:val="clear" w:color="auto" w:fill="auto"/>
                  <w:vAlign w:val="center"/>
                </w:tcPr>
                <w:p w14:paraId="43FFD9B3">
                  <w:pPr>
                    <w:pStyle w:val="1411"/>
                    <w:ind w:left="72" w:leftChars="0"/>
                    <w:jc w:val="center"/>
                    <w:textAlignment w:val="baseline"/>
                    <w:rPr>
                      <w:rFonts w:hint="default" w:ascii="Times New Roman" w:hAnsi="Times New Roman" w:eastAsia="宋体" w:cs="Times New Roman"/>
                      <w:color w:val="auto"/>
                      <w:sz w:val="18"/>
                      <w:szCs w:val="21"/>
                      <w:highlight w:val="none"/>
                      <w:lang w:val="en-US" w:eastAsia="zh-CN" w:bidi="ar-SA"/>
                    </w:rPr>
                  </w:pPr>
                  <w:r>
                    <w:rPr>
                      <w:rFonts w:hint="eastAsia" w:ascii="Times New Roman" w:cs="Times New Roman"/>
                      <w:color w:val="auto"/>
                      <w:sz w:val="18"/>
                      <w:szCs w:val="21"/>
                      <w:highlight w:val="none"/>
                      <w:lang w:val="en-US" w:eastAsia="zh-CN"/>
                    </w:rPr>
                    <w:t>本项目原料主要为陶瓷纤维棉、硅溶胶，硅溶胶为液态，桶装密闭，纤维棉不属于粉状原料，且位于密闭原料仓库中</w:t>
                  </w:r>
                  <w:r>
                    <w:rPr>
                      <w:rFonts w:hint="default" w:ascii="Times New Roman" w:hAnsi="Times New Roman" w:cs="Times New Roman"/>
                      <w:color w:val="auto"/>
                      <w:sz w:val="18"/>
                      <w:szCs w:val="21"/>
                      <w:highlight w:val="none"/>
                      <w:lang w:val="en-US" w:eastAsia="zh-CN"/>
                    </w:rPr>
                    <w:t>。</w:t>
                  </w:r>
                </w:p>
              </w:tc>
              <w:tc>
                <w:tcPr>
                  <w:tcW w:w="698" w:type="dxa"/>
                  <w:shd w:val="clear" w:color="auto" w:fill="auto"/>
                  <w:vAlign w:val="center"/>
                </w:tcPr>
                <w:p w14:paraId="003A2C1B">
                  <w:pPr>
                    <w:pStyle w:val="1411"/>
                    <w:jc w:val="center"/>
                    <w:textAlignment w:val="baseline"/>
                    <w:rPr>
                      <w:rFonts w:hint="default" w:ascii="Times New Roman" w:hAnsi="Times New Roman" w:eastAsia="宋体" w:cs="Times New Roman"/>
                      <w:color w:val="auto"/>
                      <w:sz w:val="18"/>
                      <w:szCs w:val="21"/>
                      <w:highlight w:val="none"/>
                      <w:lang w:val="zh" w:eastAsia="zh-CN" w:bidi="ar-SA"/>
                    </w:rPr>
                  </w:pPr>
                  <w:r>
                    <w:rPr>
                      <w:rFonts w:hint="default" w:ascii="Times New Roman" w:hAnsi="Times New Roman" w:cs="Times New Roman"/>
                      <w:color w:val="auto"/>
                      <w:sz w:val="18"/>
                      <w:szCs w:val="21"/>
                      <w:highlight w:val="none"/>
                    </w:rPr>
                    <w:t>符合</w:t>
                  </w:r>
                </w:p>
              </w:tc>
            </w:tr>
          </w:tbl>
          <w:p w14:paraId="06695ED0">
            <w:pPr>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）与《关于印发山东省“十四五”生态环境保护规划的通知》（鲁政发〔2021〕12号）的符合性</w:t>
            </w:r>
          </w:p>
          <w:p w14:paraId="34F04D6F">
            <w:pPr>
              <w:pStyle w:val="637"/>
              <w:snapToGrid w:val="0"/>
              <w:jc w:val="center"/>
              <w:rPr>
                <w:rFonts w:hint="default" w:eastAsia="黑体" w:cs="Times New Roman"/>
                <w:color w:val="auto"/>
                <w:sz w:val="21"/>
                <w:szCs w:val="21"/>
                <w:lang w:val="en-US" w:eastAsia="zh-CN"/>
              </w:rPr>
            </w:pPr>
            <w:r>
              <w:rPr>
                <w:rFonts w:hint="default" w:eastAsia="黑体" w:cs="Times New Roman"/>
                <w:color w:val="auto"/>
                <w:sz w:val="21"/>
                <w:szCs w:val="21"/>
                <w:lang w:val="en-US" w:eastAsia="zh-CN"/>
              </w:rPr>
              <w:t>表1-8与《关于印发山东省“十四五”生态环境保护规划的通知》（鲁政发〔2021〕12号）符合性分析</w:t>
            </w:r>
          </w:p>
          <w:tbl>
            <w:tblPr>
              <w:tblStyle w:val="86"/>
              <w:tblW w:w="4998"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0" w:type="dxa"/>
                <w:bottom w:w="0" w:type="dxa"/>
                <w:right w:w="0" w:type="dxa"/>
              </w:tblCellMar>
            </w:tblPr>
            <w:tblGrid>
              <w:gridCol w:w="823"/>
              <w:gridCol w:w="4601"/>
              <w:gridCol w:w="1877"/>
              <w:gridCol w:w="723"/>
            </w:tblGrid>
            <w:tr w14:paraId="04A91CA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Mar>
                    <w:top w:w="0" w:type="dxa"/>
                    <w:left w:w="45" w:type="dxa"/>
                    <w:bottom w:w="0" w:type="dxa"/>
                    <w:right w:w="45" w:type="dxa"/>
                  </w:tcMar>
                  <w:vAlign w:val="center"/>
                </w:tcPr>
                <w:p w14:paraId="3AC8FF74">
                  <w:pPr>
                    <w:adjustRightInd w:val="0"/>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文件要求</w:t>
                  </w:r>
                </w:p>
              </w:tc>
              <w:tc>
                <w:tcPr>
                  <w:tcW w:w="2866" w:type="pct"/>
                  <w:tcMar>
                    <w:top w:w="0" w:type="dxa"/>
                    <w:left w:w="45" w:type="dxa"/>
                    <w:bottom w:w="0" w:type="dxa"/>
                    <w:right w:w="45" w:type="dxa"/>
                  </w:tcMar>
                  <w:vAlign w:val="center"/>
                </w:tcPr>
                <w:p w14:paraId="4A75A6A9">
                  <w:pPr>
                    <w:adjustRightInd w:val="0"/>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具体规定</w:t>
                  </w:r>
                </w:p>
              </w:tc>
              <w:tc>
                <w:tcPr>
                  <w:tcW w:w="1169" w:type="pct"/>
                  <w:tcMar>
                    <w:top w:w="0" w:type="dxa"/>
                    <w:left w:w="45" w:type="dxa"/>
                    <w:bottom w:w="0" w:type="dxa"/>
                    <w:right w:w="45" w:type="dxa"/>
                  </w:tcMar>
                  <w:vAlign w:val="center"/>
                </w:tcPr>
                <w:p w14:paraId="0F2D7269">
                  <w:pPr>
                    <w:adjustRightInd w:val="0"/>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本项目情况</w:t>
                  </w:r>
                </w:p>
              </w:tc>
              <w:tc>
                <w:tcPr>
                  <w:tcW w:w="450" w:type="pct"/>
                  <w:tcMar>
                    <w:top w:w="0" w:type="dxa"/>
                    <w:left w:w="45" w:type="dxa"/>
                    <w:bottom w:w="0" w:type="dxa"/>
                    <w:right w:w="45" w:type="dxa"/>
                  </w:tcMar>
                  <w:vAlign w:val="center"/>
                </w:tcPr>
                <w:p w14:paraId="1EF2A744">
                  <w:pPr>
                    <w:adjustRightInd w:val="0"/>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符合</w:t>
                  </w:r>
                </w:p>
                <w:p w14:paraId="0E7B93C9">
                  <w:pPr>
                    <w:adjustRightInd w:val="0"/>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情况</w:t>
                  </w:r>
                </w:p>
              </w:tc>
            </w:tr>
            <w:tr w14:paraId="6B4B6F9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3" w:type="pct"/>
                  <w:tcMar>
                    <w:top w:w="0" w:type="dxa"/>
                    <w:left w:w="45" w:type="dxa"/>
                    <w:bottom w:w="0" w:type="dxa"/>
                    <w:right w:w="45" w:type="dxa"/>
                  </w:tcMar>
                  <w:vAlign w:val="center"/>
                </w:tcPr>
                <w:p w14:paraId="46571E1A">
                  <w:pPr>
                    <w:adjustRightInd w:val="0"/>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坚决淘汰落后产能</w:t>
                  </w:r>
                </w:p>
              </w:tc>
              <w:tc>
                <w:tcPr>
                  <w:tcW w:w="2866" w:type="pct"/>
                  <w:tcMar>
                    <w:top w:w="0" w:type="dxa"/>
                    <w:left w:w="45" w:type="dxa"/>
                    <w:bottom w:w="0" w:type="dxa"/>
                    <w:right w:w="45" w:type="dxa"/>
                  </w:tcMar>
                  <w:vAlign w:val="center"/>
                </w:tcPr>
                <w:p w14:paraId="2C8C8DB0">
                  <w:pPr>
                    <w:adjustRightInd w:val="0"/>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严格落实《产业结构调整指导目录》，加快推动“淘汰类”生产工艺和产品退出。精准聚焦钢铁、地炼、焦化、煤电、水泥、轮胎、煤炭、化工等8个重点行业，加快淘汰低效落后动能。进一步健全并严格落实环保、安全、技术、能耗、效益标准，各市制定具体措施，重点围绕再生橡胶、废旧塑料再生、砖瓦、石灰、石膏等行业，分类组织实施转移、压减、整合、关停任务，推动低效落后产能退出。</w:t>
                  </w:r>
                </w:p>
              </w:tc>
              <w:tc>
                <w:tcPr>
                  <w:tcW w:w="1169" w:type="pct"/>
                  <w:tcMar>
                    <w:top w:w="0" w:type="dxa"/>
                    <w:left w:w="45" w:type="dxa"/>
                    <w:bottom w:w="0" w:type="dxa"/>
                    <w:right w:w="45" w:type="dxa"/>
                  </w:tcMar>
                  <w:vAlign w:val="center"/>
                </w:tcPr>
                <w:p w14:paraId="450DFB24">
                  <w:pPr>
                    <w:adjustRightInd w:val="0"/>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项目已完成立项，</w:t>
                  </w:r>
                  <w:r>
                    <w:rPr>
                      <w:rFonts w:hint="default" w:ascii="Times New Roman" w:hAnsi="Times New Roman" w:cs="Times New Roman"/>
                      <w:color w:val="auto"/>
                      <w:sz w:val="18"/>
                      <w:szCs w:val="18"/>
                      <w:highlight w:val="none"/>
                      <w:lang w:eastAsia="zh-CN"/>
                    </w:rPr>
                    <w:t>项目</w:t>
                  </w:r>
                  <w:r>
                    <w:rPr>
                      <w:rFonts w:hint="default" w:ascii="Times New Roman" w:hAnsi="Times New Roman" w:cs="Times New Roman"/>
                      <w:color w:val="auto"/>
                      <w:sz w:val="18"/>
                      <w:szCs w:val="18"/>
                      <w:highlight w:val="none"/>
                    </w:rPr>
                    <w:t>代码为</w:t>
                  </w:r>
                  <w:r>
                    <w:rPr>
                      <w:rFonts w:hint="default" w:ascii="Times New Roman" w:hAnsi="Times New Roman" w:cs="Times New Roman"/>
                      <w:color w:val="auto"/>
                      <w:sz w:val="18"/>
                      <w:szCs w:val="18"/>
                      <w:highlight w:val="none"/>
                      <w:lang w:eastAsia="zh-CN"/>
                    </w:rPr>
                    <w:t>2411-370302-89-02-845900</w:t>
                  </w:r>
                  <w:r>
                    <w:rPr>
                      <w:rFonts w:hint="default" w:ascii="Times New Roman" w:hAnsi="Times New Roman" w:cs="Times New Roman"/>
                      <w:color w:val="auto"/>
                      <w:sz w:val="18"/>
                      <w:szCs w:val="18"/>
                      <w:highlight w:val="none"/>
                    </w:rPr>
                    <w:t>，符合国家和淄博市产业政策。</w:t>
                  </w:r>
                </w:p>
              </w:tc>
              <w:tc>
                <w:tcPr>
                  <w:tcW w:w="450" w:type="pct"/>
                  <w:tcMar>
                    <w:top w:w="0" w:type="dxa"/>
                    <w:left w:w="45" w:type="dxa"/>
                    <w:bottom w:w="0" w:type="dxa"/>
                    <w:right w:w="45" w:type="dxa"/>
                  </w:tcMar>
                  <w:vAlign w:val="center"/>
                </w:tcPr>
                <w:p w14:paraId="357C4285">
                  <w:pPr>
                    <w:adjustRightInd w:val="0"/>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符合</w:t>
                  </w:r>
                </w:p>
              </w:tc>
            </w:tr>
            <w:tr w14:paraId="56313A1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3" w:type="pct"/>
                  <w:tcMar>
                    <w:top w:w="0" w:type="dxa"/>
                    <w:left w:w="45" w:type="dxa"/>
                    <w:bottom w:w="0" w:type="dxa"/>
                    <w:right w:w="45" w:type="dxa"/>
                  </w:tcMar>
                  <w:vAlign w:val="center"/>
                </w:tcPr>
                <w:p w14:paraId="712E72B1">
                  <w:pPr>
                    <w:adjustRightInd w:val="0"/>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严把准入关口</w:t>
                  </w:r>
                </w:p>
              </w:tc>
              <w:tc>
                <w:tcPr>
                  <w:tcW w:w="2866" w:type="pct"/>
                  <w:tcMar>
                    <w:top w:w="0" w:type="dxa"/>
                    <w:left w:w="45" w:type="dxa"/>
                    <w:bottom w:w="0" w:type="dxa"/>
                    <w:right w:w="45" w:type="dxa"/>
                  </w:tcMar>
                  <w:vAlign w:val="center"/>
                </w:tcPr>
                <w:p w14:paraId="15F4A58A">
                  <w:pPr>
                    <w:adjustRightInd w:val="0"/>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坚持环境质量“只能更好，不能变坏”的底线，严格落实污染物排放总量和产能总量控制刚性要求。实施“四上四压”，坚持“上新压旧”“上大压小”“上高压低”“上整压散”。“两高”项目确有必要建设的，须严格落实产能、煤耗、能耗、碳排放和污染物排放“五个减量替代”要求，新（改、扩）建项目要减量替代，已建项目要减量运行。依据国家相关产业政策，对钢铁、地炼、焦化、煤电、电解铝、水泥、轮胎、平板玻璃、氮肥、铁合金等重点行业严格执行产能置换要求，确保产能总量只减不增。原则上不再审批新建煤矿项目。严禁省外水泥熟料、粉磨、焦化产能转入，严禁新增水泥熟料、粉磨产能。</w:t>
                  </w:r>
                </w:p>
              </w:tc>
              <w:tc>
                <w:tcPr>
                  <w:tcW w:w="1169" w:type="pct"/>
                  <w:tcMar>
                    <w:top w:w="0" w:type="dxa"/>
                    <w:left w:w="45" w:type="dxa"/>
                    <w:bottom w:w="0" w:type="dxa"/>
                    <w:right w:w="45" w:type="dxa"/>
                  </w:tcMar>
                  <w:vAlign w:val="center"/>
                </w:tcPr>
                <w:p w14:paraId="582123EF">
                  <w:pPr>
                    <w:adjustRightInd w:val="0"/>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项目不属于两高项目。</w:t>
                  </w:r>
                </w:p>
              </w:tc>
              <w:tc>
                <w:tcPr>
                  <w:tcW w:w="450" w:type="pct"/>
                  <w:tcMar>
                    <w:top w:w="0" w:type="dxa"/>
                    <w:left w:w="45" w:type="dxa"/>
                    <w:bottom w:w="0" w:type="dxa"/>
                    <w:right w:w="45" w:type="dxa"/>
                  </w:tcMar>
                  <w:vAlign w:val="center"/>
                </w:tcPr>
                <w:p w14:paraId="5E3C26F2">
                  <w:pPr>
                    <w:adjustRightInd w:val="0"/>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符合</w:t>
                  </w:r>
                </w:p>
              </w:tc>
            </w:tr>
          </w:tbl>
          <w:p w14:paraId="1D44087C">
            <w:pPr>
              <w:pStyle w:val="85"/>
              <w:adjustRightInd w:val="0"/>
              <w:snapToGrid w:val="0"/>
              <w:spacing w:line="360" w:lineRule="auto"/>
              <w:ind w:left="0" w:leftChars="0"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综上，项目建设符合《关于印发山东省“十四五”生态环境保护规划的通知》（鲁政发〔2021〕12号）要求。</w:t>
            </w:r>
          </w:p>
          <w:p w14:paraId="76D9F905">
            <w:pPr>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8</w:t>
            </w:r>
            <w:r>
              <w:rPr>
                <w:rFonts w:hint="default" w:ascii="Times New Roman" w:hAnsi="Times New Roman" w:cs="Times New Roman"/>
                <w:color w:val="auto"/>
                <w:highlight w:val="none"/>
              </w:rPr>
              <w:t>）与《关于严格项目审批工作坚决防止新上“散乱污”项目的通知》（鲁环字[2021]58号）的符合性分析。</w:t>
            </w:r>
          </w:p>
          <w:p w14:paraId="35D42510">
            <w:pPr>
              <w:pStyle w:val="637"/>
              <w:snapToGrid w:val="0"/>
              <w:jc w:val="center"/>
              <w:rPr>
                <w:rFonts w:hint="default" w:eastAsia="黑体" w:cs="Times New Roman"/>
                <w:color w:val="auto"/>
                <w:sz w:val="21"/>
                <w:szCs w:val="21"/>
                <w:lang w:val="en-US" w:eastAsia="zh-CN"/>
              </w:rPr>
            </w:pPr>
            <w:r>
              <w:rPr>
                <w:rFonts w:hint="default" w:eastAsia="黑体" w:cs="Times New Roman"/>
                <w:color w:val="auto"/>
                <w:sz w:val="21"/>
                <w:szCs w:val="21"/>
                <w:lang w:val="en-US" w:eastAsia="zh-CN"/>
              </w:rPr>
              <w:t>表1-9项目与《关于严格项目审批工作坚决防止新上“散乱污”项目的通知》（鲁环字[2021]58号）的符合性分析</w:t>
            </w:r>
          </w:p>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4191"/>
              <w:gridCol w:w="2114"/>
              <w:gridCol w:w="801"/>
            </w:tblGrid>
            <w:tr w14:paraId="6FA5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46C0279D">
                  <w:pPr>
                    <w:jc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rPr>
                    <w:t>序号</w:t>
                  </w:r>
                </w:p>
              </w:tc>
              <w:tc>
                <w:tcPr>
                  <w:tcW w:w="2611" w:type="pct"/>
                  <w:vAlign w:val="center"/>
                </w:tcPr>
                <w:p w14:paraId="784524B9">
                  <w:pPr>
                    <w:jc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rPr>
                    <w:t>关于严格项目审批工作坚决防止新上“散乱污”项目的通知（鲁环字[2021]58号）</w:t>
                  </w:r>
                </w:p>
              </w:tc>
              <w:tc>
                <w:tcPr>
                  <w:tcW w:w="1317" w:type="pct"/>
                  <w:vAlign w:val="center"/>
                </w:tcPr>
                <w:p w14:paraId="5C0CEB9F">
                  <w:pPr>
                    <w:jc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rPr>
                    <w:t>项目符合情况</w:t>
                  </w:r>
                </w:p>
              </w:tc>
              <w:tc>
                <w:tcPr>
                  <w:tcW w:w="499" w:type="pct"/>
                  <w:vAlign w:val="center"/>
                </w:tcPr>
                <w:p w14:paraId="144A1AF8">
                  <w:pPr>
                    <w:jc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rPr>
                    <w:t>符合情况</w:t>
                  </w:r>
                </w:p>
              </w:tc>
            </w:tr>
            <w:tr w14:paraId="255B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2BC8391F">
                  <w:pPr>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w:t>
                  </w:r>
                </w:p>
              </w:tc>
              <w:tc>
                <w:tcPr>
                  <w:tcW w:w="4258" w:type="dxa"/>
                  <w:vAlign w:val="center"/>
                </w:tcPr>
                <w:p w14:paraId="2F0267B3">
                  <w:pPr>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认真贯彻执行产业政策。新上项目必须符合国家产业政策要求，禁止采用国家公布的淘汰工艺和落后设备，不得引进耗能高、污染大、生产粗放、不符合国家产业政策的项目。各级立项部门在为企业办理手续时，要认真对照《产业结构调整指导目录（2019年本）》（如有更新，以更新后文件为准），对鼓励类项目，按照有关规定审批、核准或备案；对限制类项目，禁止新建，现有生产能力允许在一定期限内改造升级；对淘汰类项目，市场主体不得进入，行政机关不予审批。</w:t>
                  </w:r>
                </w:p>
              </w:tc>
              <w:tc>
                <w:tcPr>
                  <w:tcW w:w="1317" w:type="pct"/>
                  <w:vAlign w:val="center"/>
                </w:tcPr>
                <w:p w14:paraId="78CA2D0B">
                  <w:pPr>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项目工艺、设备不属于国家公布的淘汰工艺和落后设备；项目不属于耗能高、污染大、生产粗放、不符合国家产业政策的项目；经查询《产业结构调整指导目录（20</w:t>
                  </w:r>
                  <w:r>
                    <w:rPr>
                      <w:rFonts w:hint="default" w:ascii="Times New Roman" w:hAnsi="Times New Roman" w:cs="Times New Roman"/>
                      <w:color w:val="auto"/>
                      <w:sz w:val="18"/>
                      <w:szCs w:val="18"/>
                      <w:highlight w:val="none"/>
                      <w:lang w:val="en-US" w:eastAsia="zh-CN"/>
                    </w:rPr>
                    <w:t>24</w:t>
                  </w:r>
                  <w:r>
                    <w:rPr>
                      <w:rFonts w:hint="default" w:ascii="Times New Roman" w:hAnsi="Times New Roman" w:cs="Times New Roman"/>
                      <w:color w:val="auto"/>
                      <w:sz w:val="18"/>
                      <w:szCs w:val="18"/>
                      <w:highlight w:val="none"/>
                    </w:rPr>
                    <w:t>年</w:t>
                  </w:r>
                  <w:r>
                    <w:rPr>
                      <w:rFonts w:hint="default" w:ascii="Times New Roman" w:hAnsi="Times New Roman" w:cs="Times New Roman"/>
                      <w:color w:val="auto"/>
                      <w:sz w:val="18"/>
                      <w:szCs w:val="18"/>
                      <w:highlight w:val="none"/>
                      <w:lang w:eastAsia="zh-CN"/>
                    </w:rPr>
                    <w:t>本</w:t>
                  </w:r>
                  <w:r>
                    <w:rPr>
                      <w:rFonts w:hint="default" w:ascii="Times New Roman" w:hAnsi="Times New Roman" w:cs="Times New Roman"/>
                      <w:color w:val="auto"/>
                      <w:sz w:val="18"/>
                      <w:szCs w:val="18"/>
                      <w:highlight w:val="none"/>
                    </w:rPr>
                    <w:t>）》，项目为允许类项目。</w:t>
                  </w:r>
                </w:p>
              </w:tc>
              <w:tc>
                <w:tcPr>
                  <w:tcW w:w="499" w:type="pct"/>
                  <w:vAlign w:val="center"/>
                </w:tcPr>
                <w:p w14:paraId="5CC65ECC">
                  <w:pPr>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符合</w:t>
                  </w:r>
                </w:p>
              </w:tc>
            </w:tr>
            <w:tr w14:paraId="3A47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2B0B66EE">
                  <w:pPr>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w:t>
                  </w:r>
                </w:p>
              </w:tc>
              <w:tc>
                <w:tcPr>
                  <w:tcW w:w="4258" w:type="dxa"/>
                  <w:vAlign w:val="center"/>
                </w:tcPr>
                <w:p w14:paraId="2C1CC822">
                  <w:pPr>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强化规划刚性约束。新上项目必须符合国土空间规划、产业发展规划等要求，积极引导产业园区外“散乱污”整治搬迁改造企业进入产业园区或工业集聚区，并鼓励租赁标准厂房。按照“布局集中、用地集约、产业集聚、空间优化”的原则，高标准制定产业发展规划，明确主导产业、布局和产业发展方向，引导企业规范化、规模化、集约化发展。</w:t>
                  </w:r>
                </w:p>
              </w:tc>
              <w:tc>
                <w:tcPr>
                  <w:tcW w:w="1317" w:type="pct"/>
                  <w:vAlign w:val="center"/>
                </w:tcPr>
                <w:p w14:paraId="6F1C3933">
                  <w:pPr>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项目位于</w:t>
                  </w:r>
                  <w:r>
                    <w:rPr>
                      <w:rFonts w:hint="eastAsia" w:ascii="Times New Roman" w:hAnsi="Times New Roman" w:cs="Times New Roman"/>
                      <w:color w:val="auto"/>
                      <w:sz w:val="18"/>
                      <w:szCs w:val="18"/>
                      <w:highlight w:val="none"/>
                      <w:lang w:eastAsia="zh-CN"/>
                    </w:rPr>
                    <w:t>淄川区昆仑镇兴隆村</w:t>
                  </w:r>
                  <w:r>
                    <w:rPr>
                      <w:rFonts w:hint="default" w:ascii="Times New Roman" w:hAnsi="Times New Roman" w:cs="Times New Roman"/>
                      <w:color w:val="auto"/>
                      <w:sz w:val="18"/>
                      <w:szCs w:val="18"/>
                      <w:highlight w:val="none"/>
                    </w:rPr>
                    <w:t>，</w:t>
                  </w:r>
                  <w:r>
                    <w:rPr>
                      <w:rFonts w:hint="default" w:ascii="Times New Roman" w:hAnsi="Times New Roman" w:cs="Times New Roman"/>
                      <w:color w:val="auto"/>
                      <w:sz w:val="18"/>
                      <w:szCs w:val="18"/>
                      <w:highlight w:val="none"/>
                      <w:lang w:val="en-US" w:eastAsia="zh-CN"/>
                    </w:rPr>
                    <w:t>本项目在现有厂区内进行</w:t>
                  </w:r>
                  <w:r>
                    <w:rPr>
                      <w:rFonts w:hint="eastAsia" w:ascii="Times New Roman" w:hAnsi="Times New Roman" w:cs="Times New Roman"/>
                      <w:color w:val="auto"/>
                      <w:sz w:val="18"/>
                      <w:szCs w:val="18"/>
                      <w:highlight w:val="none"/>
                      <w:lang w:val="en-US" w:eastAsia="zh-CN"/>
                    </w:rPr>
                    <w:t>建设</w:t>
                  </w:r>
                  <w:r>
                    <w:rPr>
                      <w:rFonts w:hint="default" w:ascii="Times New Roman" w:hAnsi="Times New Roman" w:cs="Times New Roman"/>
                      <w:color w:val="auto"/>
                      <w:sz w:val="18"/>
                      <w:szCs w:val="18"/>
                      <w:highlight w:val="none"/>
                      <w:lang w:val="en-US" w:eastAsia="zh-CN"/>
                    </w:rPr>
                    <w:t>，不属于新建项目</w:t>
                  </w:r>
                  <w:r>
                    <w:rPr>
                      <w:rFonts w:hint="default" w:ascii="Times New Roman" w:hAnsi="Times New Roman" w:cs="Times New Roman"/>
                      <w:color w:val="auto"/>
                      <w:sz w:val="18"/>
                      <w:szCs w:val="18"/>
                      <w:highlight w:val="none"/>
                    </w:rPr>
                    <w:t>。</w:t>
                  </w:r>
                </w:p>
              </w:tc>
              <w:tc>
                <w:tcPr>
                  <w:tcW w:w="499" w:type="pct"/>
                  <w:vAlign w:val="center"/>
                </w:tcPr>
                <w:p w14:paraId="4A340418">
                  <w:pPr>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符合</w:t>
                  </w:r>
                </w:p>
              </w:tc>
            </w:tr>
            <w:tr w14:paraId="0B64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53360DC2">
                  <w:pPr>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w:t>
                  </w:r>
                </w:p>
              </w:tc>
              <w:tc>
                <w:tcPr>
                  <w:tcW w:w="4258" w:type="dxa"/>
                  <w:vAlign w:val="center"/>
                </w:tcPr>
                <w:p w14:paraId="0E735FFB">
                  <w:pPr>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科学把好项目选址关。新建有污染物排放的工业项目，除在安全生产等方面有特殊要求的以外，应当进入工业园区或工业集聚区。各市要本着节约利用土地的原则，充分考虑项目周边环境、资金投入、推进速度等关键要素，合理选址，科学布局，切实做到符合用地政策，确保规划建设的项目有利于长远发展。</w:t>
                  </w:r>
                </w:p>
              </w:tc>
              <w:tc>
                <w:tcPr>
                  <w:tcW w:w="1317" w:type="pct"/>
                  <w:vAlign w:val="center"/>
                </w:tcPr>
                <w:p w14:paraId="0AC54215">
                  <w:pPr>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项目位于</w:t>
                  </w:r>
                  <w:r>
                    <w:rPr>
                      <w:rFonts w:hint="eastAsia" w:ascii="Times New Roman" w:hAnsi="Times New Roman" w:cs="Times New Roman"/>
                      <w:color w:val="auto"/>
                      <w:sz w:val="18"/>
                      <w:szCs w:val="18"/>
                      <w:highlight w:val="none"/>
                      <w:lang w:eastAsia="zh-CN"/>
                    </w:rPr>
                    <w:t>淄川区昆仑镇兴隆村</w:t>
                  </w:r>
                  <w:r>
                    <w:rPr>
                      <w:rFonts w:hint="default" w:ascii="Times New Roman" w:hAnsi="Times New Roman" w:cs="Times New Roman"/>
                      <w:color w:val="auto"/>
                      <w:sz w:val="18"/>
                      <w:szCs w:val="18"/>
                      <w:highlight w:val="none"/>
                    </w:rPr>
                    <w:t>，</w:t>
                  </w:r>
                  <w:r>
                    <w:rPr>
                      <w:rFonts w:hint="default" w:ascii="Times New Roman" w:hAnsi="Times New Roman" w:cs="Times New Roman"/>
                      <w:color w:val="auto"/>
                      <w:sz w:val="18"/>
                      <w:szCs w:val="18"/>
                      <w:highlight w:val="none"/>
                      <w:lang w:val="en-US" w:eastAsia="zh-CN"/>
                    </w:rPr>
                    <w:t>本项目在现有厂区内进行</w:t>
                  </w:r>
                  <w:r>
                    <w:rPr>
                      <w:rFonts w:hint="eastAsia" w:ascii="Times New Roman" w:hAnsi="Times New Roman" w:cs="Times New Roman"/>
                      <w:color w:val="auto"/>
                      <w:sz w:val="18"/>
                      <w:szCs w:val="18"/>
                      <w:highlight w:val="none"/>
                      <w:lang w:val="en-US" w:eastAsia="zh-CN"/>
                    </w:rPr>
                    <w:t>建设</w:t>
                  </w:r>
                  <w:r>
                    <w:rPr>
                      <w:rFonts w:hint="default" w:ascii="Times New Roman" w:hAnsi="Times New Roman" w:cs="Times New Roman"/>
                      <w:color w:val="auto"/>
                      <w:sz w:val="18"/>
                      <w:szCs w:val="18"/>
                      <w:highlight w:val="none"/>
                      <w:lang w:val="en-US" w:eastAsia="zh-CN"/>
                    </w:rPr>
                    <w:t>，不属于新建项目</w:t>
                  </w:r>
                  <w:r>
                    <w:rPr>
                      <w:rFonts w:hint="default" w:ascii="Times New Roman" w:hAnsi="Times New Roman" w:cs="Times New Roman"/>
                      <w:color w:val="auto"/>
                      <w:sz w:val="18"/>
                      <w:szCs w:val="18"/>
                      <w:highlight w:val="none"/>
                    </w:rPr>
                    <w:t>。</w:t>
                  </w:r>
                </w:p>
              </w:tc>
              <w:tc>
                <w:tcPr>
                  <w:tcW w:w="499" w:type="pct"/>
                  <w:vAlign w:val="center"/>
                </w:tcPr>
                <w:p w14:paraId="52961E32">
                  <w:pPr>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符合</w:t>
                  </w:r>
                </w:p>
              </w:tc>
            </w:tr>
            <w:tr w14:paraId="5C79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1D5E5798">
                  <w:pPr>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四</w:t>
                  </w:r>
                </w:p>
              </w:tc>
              <w:tc>
                <w:tcPr>
                  <w:tcW w:w="4258" w:type="dxa"/>
                  <w:vAlign w:val="center"/>
                </w:tcPr>
                <w:p w14:paraId="0E2B293A">
                  <w:pPr>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严把项目环评审批关。新上项目必须严格执行环评审批“三挂钩”机制和“五个不批”要求，落实“三线一单”生态环境分区管控要求。强化替代约束，涉及主要污染物排放的，必须落实区域污染物排放替代，确保增产减污；涉及煤炭消耗的，必须落实煤炭消费减量替代，否则各级环评审批部门一律不予审批通过。</w:t>
                  </w:r>
                </w:p>
              </w:tc>
              <w:tc>
                <w:tcPr>
                  <w:tcW w:w="1317" w:type="pct"/>
                  <w:vAlign w:val="center"/>
                </w:tcPr>
                <w:p w14:paraId="06015B80">
                  <w:pPr>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项目不在生态保护红线区，不涉及占用或穿越生态保护红线。选址符合山东省生态保护红线规划和淄博市生态保护红线规划要求。</w:t>
                  </w:r>
                </w:p>
              </w:tc>
              <w:tc>
                <w:tcPr>
                  <w:tcW w:w="499" w:type="pct"/>
                  <w:vAlign w:val="center"/>
                </w:tcPr>
                <w:p w14:paraId="4E5B055D">
                  <w:pPr>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符合</w:t>
                  </w:r>
                </w:p>
              </w:tc>
            </w:tr>
            <w:tr w14:paraId="07C7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1632770B">
                  <w:pPr>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五</w:t>
                  </w:r>
                </w:p>
              </w:tc>
              <w:tc>
                <w:tcPr>
                  <w:tcW w:w="4258" w:type="dxa"/>
                  <w:vAlign w:val="center"/>
                </w:tcPr>
                <w:p w14:paraId="0CAD983C">
                  <w:pPr>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强化日常监管执法。持续加大对违反产业政策、规划、准入规定等违法违规建设行为的查处力度，坚决遏制“未批先建”等违法行为。畅通群众举报投诉渠道，对“散乱污”项目做到早发现、早应对、早处置，严防死灰复燃。</w:t>
                  </w:r>
                </w:p>
              </w:tc>
              <w:tc>
                <w:tcPr>
                  <w:tcW w:w="1317" w:type="pct"/>
                  <w:vAlign w:val="center"/>
                </w:tcPr>
                <w:p w14:paraId="41A802A1">
                  <w:pPr>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项目不属于“未批先建”，无违法违规建设行为</w:t>
                  </w:r>
                </w:p>
              </w:tc>
              <w:tc>
                <w:tcPr>
                  <w:tcW w:w="499" w:type="pct"/>
                  <w:vAlign w:val="center"/>
                </w:tcPr>
                <w:p w14:paraId="36EB2B32">
                  <w:pPr>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符合</w:t>
                  </w:r>
                </w:p>
              </w:tc>
            </w:tr>
          </w:tbl>
          <w:p w14:paraId="0E61A824">
            <w:pPr>
              <w:pStyle w:val="85"/>
              <w:adjustRightInd w:val="0"/>
              <w:snapToGrid w:val="0"/>
              <w:spacing w:line="360" w:lineRule="auto"/>
              <w:ind w:left="0" w:leftChars="0"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由上表可见，项目的建设符合《关于严格项目审批工作坚决防止新上“散乱污”项目的通知》（鲁环字〔2021〕58号）的要求</w:t>
            </w:r>
            <w:r>
              <w:rPr>
                <w:rFonts w:hint="default" w:ascii="Times New Roman" w:hAnsi="Times New Roman" w:cs="Times New Roman"/>
                <w:color w:val="auto"/>
                <w:sz w:val="21"/>
                <w:szCs w:val="21"/>
                <w:highlight w:val="none"/>
                <w:lang w:eastAsia="zh-CN"/>
              </w:rPr>
              <w:t>。</w:t>
            </w:r>
          </w:p>
          <w:p w14:paraId="38C12FE3">
            <w:pPr>
              <w:pStyle w:val="85"/>
              <w:adjustRightInd w:val="0"/>
              <w:snapToGrid w:val="0"/>
              <w:spacing w:line="360" w:lineRule="auto"/>
              <w:ind w:left="0" w:leftChars="0" w:firstLine="420" w:firstLineChars="200"/>
              <w:rPr>
                <w:rFonts w:hint="default" w:ascii="Times New Roman" w:hAnsi="Times New Roman" w:cs="Times New Roman"/>
                <w:color w:val="auto"/>
                <w:sz w:val="21"/>
                <w:szCs w:val="21"/>
                <w:highlight w:val="none"/>
                <w:lang w:eastAsia="zh-CN"/>
              </w:rPr>
            </w:pPr>
          </w:p>
          <w:p w14:paraId="10148AAB">
            <w:pPr>
              <w:pStyle w:val="85"/>
              <w:adjustRightInd w:val="0"/>
              <w:snapToGrid w:val="0"/>
              <w:spacing w:line="360" w:lineRule="auto"/>
              <w:ind w:left="0" w:leftChars="0" w:firstLine="0" w:firstLineChars="0"/>
              <w:rPr>
                <w:rFonts w:hint="eastAsia" w:cs="Times New Roman"/>
                <w:color w:val="FF0000"/>
                <w:lang w:eastAsia="zh-CN"/>
              </w:rPr>
            </w:pPr>
          </w:p>
          <w:p w14:paraId="7CB43A38">
            <w:pPr>
              <w:pStyle w:val="85"/>
              <w:adjustRightInd w:val="0"/>
              <w:snapToGrid w:val="0"/>
              <w:spacing w:line="360" w:lineRule="auto"/>
              <w:ind w:left="0" w:leftChars="0" w:firstLine="0" w:firstLineChars="0"/>
              <w:rPr>
                <w:rFonts w:hint="eastAsia" w:cs="Times New Roman"/>
                <w:color w:val="FF0000"/>
                <w:lang w:eastAsia="zh-CN"/>
              </w:rPr>
            </w:pPr>
          </w:p>
          <w:p w14:paraId="5D940023">
            <w:pPr>
              <w:pStyle w:val="85"/>
              <w:adjustRightInd w:val="0"/>
              <w:snapToGrid w:val="0"/>
              <w:spacing w:line="360" w:lineRule="auto"/>
              <w:ind w:left="0" w:leftChars="0" w:firstLine="0" w:firstLineChars="0"/>
              <w:rPr>
                <w:rFonts w:hint="eastAsia" w:cs="Times New Roman"/>
                <w:color w:val="FF0000"/>
                <w:lang w:eastAsia="zh-CN"/>
              </w:rPr>
            </w:pPr>
          </w:p>
          <w:p w14:paraId="1A50B7CA">
            <w:pPr>
              <w:pStyle w:val="85"/>
              <w:adjustRightInd w:val="0"/>
              <w:snapToGrid w:val="0"/>
              <w:spacing w:line="360" w:lineRule="auto"/>
              <w:ind w:left="0" w:leftChars="0" w:firstLine="0" w:firstLineChars="0"/>
              <w:rPr>
                <w:rFonts w:hint="eastAsia" w:cs="Times New Roman"/>
                <w:color w:val="FF0000"/>
                <w:lang w:eastAsia="zh-CN"/>
              </w:rPr>
            </w:pPr>
          </w:p>
          <w:p w14:paraId="6E882EA9">
            <w:pPr>
              <w:pStyle w:val="85"/>
              <w:adjustRightInd w:val="0"/>
              <w:snapToGrid w:val="0"/>
              <w:spacing w:line="360" w:lineRule="auto"/>
              <w:ind w:left="0" w:leftChars="0" w:firstLine="0" w:firstLineChars="0"/>
              <w:rPr>
                <w:rFonts w:hint="eastAsia" w:ascii="Times New Roman" w:hAnsi="Times New Roman" w:eastAsia="宋体" w:cs="Times New Roman"/>
                <w:color w:val="FF0000"/>
                <w:lang w:eastAsia="zh-CN"/>
              </w:rPr>
            </w:pPr>
          </w:p>
        </w:tc>
      </w:tr>
    </w:tbl>
    <w:p w14:paraId="35B949E3">
      <w:pPr>
        <w:spacing w:line="420" w:lineRule="exact"/>
        <w:outlineLvl w:val="0"/>
        <w:rPr>
          <w:rFonts w:hint="default" w:ascii="Times New Roman" w:hAnsi="Times New Roman" w:cs="Times New Roman"/>
          <w:color w:val="FF0000"/>
          <w:sz w:val="30"/>
        </w:rPr>
        <w:sectPr>
          <w:footerReference r:id="rId3" w:type="default"/>
          <w:pgSz w:w="11906" w:h="16838"/>
          <w:pgMar w:top="1134" w:right="1134" w:bottom="1134" w:left="1134" w:header="851" w:footer="1077" w:gutter="0"/>
          <w:pgNumType w:start="1"/>
          <w:cols w:space="720" w:num="1"/>
          <w:docGrid w:linePitch="312" w:charSpace="0"/>
        </w:sectPr>
      </w:pPr>
    </w:p>
    <w:p w14:paraId="44E86598">
      <w:pPr>
        <w:pStyle w:val="80"/>
        <w:spacing w:line="420" w:lineRule="exact"/>
        <w:jc w:val="center"/>
        <w:outlineLvl w:val="0"/>
        <w:rPr>
          <w:rFonts w:hint="default" w:ascii="Times New Roman" w:hAnsi="Times New Roman" w:cs="Times New Roman"/>
          <w:snapToGrid w:val="0"/>
          <w:color w:val="auto"/>
          <w:sz w:val="30"/>
          <w:szCs w:val="30"/>
        </w:rPr>
      </w:pPr>
      <w:bookmarkStart w:id="6" w:name="_Toc154582834"/>
      <w:bookmarkStart w:id="7" w:name="_Toc148608286"/>
      <w:r>
        <w:rPr>
          <w:rFonts w:hint="default" w:ascii="Times New Roman" w:hAnsi="Times New Roman" w:cs="Times New Roman"/>
          <w:snapToGrid w:val="0"/>
          <w:color w:val="auto"/>
          <w:sz w:val="30"/>
          <w:szCs w:val="30"/>
        </w:rPr>
        <w:t>二、建设项目工程分析</w:t>
      </w:r>
      <w:bookmarkEnd w:id="6"/>
      <w:bookmarkEnd w:id="7"/>
    </w:p>
    <w:tbl>
      <w:tblPr>
        <w:tblStyle w:val="86"/>
        <w:tblW w:w="500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9308"/>
      </w:tblGrid>
      <w:tr w14:paraId="663893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58" w:type="dxa"/>
            <w:tcBorders>
              <w:top w:val="single" w:color="auto" w:sz="8" w:space="0"/>
            </w:tcBorders>
            <w:vAlign w:val="center"/>
          </w:tcPr>
          <w:p w14:paraId="009249CA">
            <w:pPr>
              <w:pStyle w:val="80"/>
              <w:adjustRightInd w:val="0"/>
              <w:snapToGrid w:val="0"/>
              <w:spacing w:before="0" w:beforeAutospacing="0" w:after="0" w:afterAutospacing="0" w:line="360" w:lineRule="auto"/>
              <w:rPr>
                <w:rFonts w:hint="default" w:ascii="Times New Roman" w:hAnsi="Times New Roman" w:cs="Times New Roman"/>
                <w:color w:val="FF0000"/>
                <w:sz w:val="21"/>
                <w:szCs w:val="21"/>
              </w:rPr>
            </w:pPr>
            <w:r>
              <w:rPr>
                <w:rFonts w:hint="default" w:ascii="Times New Roman" w:hAnsi="Times New Roman" w:cs="Times New Roman"/>
                <w:color w:val="auto"/>
                <w:sz w:val="21"/>
                <w:szCs w:val="21"/>
              </w:rPr>
              <w:t>建设内容</w:t>
            </w:r>
          </w:p>
        </w:tc>
        <w:tc>
          <w:tcPr>
            <w:tcW w:w="9308" w:type="dxa"/>
            <w:tcBorders>
              <w:top w:val="single" w:color="auto" w:sz="8" w:space="0"/>
            </w:tcBorders>
            <w:vAlign w:val="center"/>
          </w:tcPr>
          <w:p w14:paraId="34D572A6">
            <w:pPr>
              <w:numPr>
                <w:ilvl w:val="0"/>
                <w:numId w:val="17"/>
              </w:numPr>
              <w:spacing w:line="360" w:lineRule="auto"/>
              <w:ind w:firstLine="420" w:firstLineChars="20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项目由来</w:t>
            </w:r>
          </w:p>
          <w:p w14:paraId="6E337EEB">
            <w:pPr>
              <w:pStyle w:val="9"/>
              <w:snapToGrid w:val="0"/>
              <w:spacing w:line="360" w:lineRule="auto"/>
              <w:ind w:firstLine="420" w:firstLineChars="20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eastAsiaTheme="minorEastAsia"/>
                <w:color w:val="auto"/>
                <w:lang w:eastAsia="zh-CN"/>
              </w:rPr>
              <w:t>淄博宝路保温材料有限公司</w:t>
            </w:r>
            <w:r>
              <w:rPr>
                <w:rFonts w:hint="default" w:ascii="Times New Roman" w:hAnsi="Times New Roman" w:cs="Times New Roman" w:eastAsiaTheme="minorEastAsia"/>
                <w:color w:val="auto"/>
              </w:rPr>
              <w:t>成立于201</w:t>
            </w:r>
            <w:r>
              <w:rPr>
                <w:rFonts w:hint="eastAsia" w:ascii="Times New Roman" w:hAnsi="Times New Roman" w:cs="Times New Roman" w:eastAsiaTheme="minorEastAsia"/>
                <w:color w:val="auto"/>
                <w:lang w:val="en-US" w:eastAsia="zh-CN"/>
              </w:rPr>
              <w:t>4</w:t>
            </w:r>
            <w:r>
              <w:rPr>
                <w:rFonts w:hint="default" w:ascii="Times New Roman" w:hAnsi="Times New Roman" w:cs="Times New Roman" w:eastAsiaTheme="minorEastAsia"/>
                <w:color w:val="auto"/>
              </w:rPr>
              <w:t>年</w:t>
            </w:r>
            <w:r>
              <w:rPr>
                <w:rFonts w:hint="eastAsia" w:ascii="Times New Roman" w:hAnsi="Times New Roman" w:cs="Times New Roman" w:eastAsiaTheme="minorEastAsia"/>
                <w:color w:val="auto"/>
                <w:lang w:val="en-US" w:eastAsia="zh-CN"/>
              </w:rPr>
              <w:t>4月15日</w:t>
            </w:r>
            <w:r>
              <w:rPr>
                <w:rFonts w:hint="default" w:ascii="Times New Roman" w:hAnsi="Times New Roman" w:cs="Times New Roman" w:eastAsiaTheme="minorEastAsia"/>
                <w:color w:val="auto"/>
              </w:rPr>
              <w:t>，注册地址山东省淄博市</w:t>
            </w:r>
            <w:r>
              <w:rPr>
                <w:rFonts w:hint="eastAsia" w:ascii="Times New Roman" w:hAnsi="Times New Roman" w:cs="Times New Roman" w:eastAsiaTheme="minorEastAsia"/>
                <w:color w:val="auto"/>
                <w:lang w:eastAsia="zh-CN"/>
              </w:rPr>
              <w:t>淄川区昆仑镇兴隆村</w:t>
            </w:r>
            <w:r>
              <w:rPr>
                <w:rFonts w:hint="default" w:ascii="Times New Roman" w:hAnsi="Times New Roman" w:cs="Times New Roman" w:eastAsiaTheme="minorEastAsia"/>
                <w:color w:val="auto"/>
              </w:rPr>
              <w:t>，该</w:t>
            </w:r>
            <w:r>
              <w:rPr>
                <w:rFonts w:hint="eastAsia" w:ascii="Times New Roman" w:hAnsi="Times New Roman" w:cs="Times New Roman" w:eastAsiaTheme="minorEastAsia"/>
                <w:color w:val="auto"/>
                <w:lang w:val="en-US" w:eastAsia="zh-CN"/>
              </w:rPr>
              <w:t>公司现有“年产200吨陶瓷纤维制品项目”于2014年5月建成投产，投产时未办理环评手续，原淄博市环境保护局淄川分局对淄博宝路保温材料有限公司进行处罚，并要求补办环评手续。淄博宝路保温材料有限公司2016年</w:t>
            </w:r>
            <w:r>
              <w:rPr>
                <w:rFonts w:hint="eastAsia" w:ascii="Times New Roman" w:hAnsi="Times New Roman" w:cs="Times New Roman" w:eastAsiaTheme="minorEastAsia"/>
                <w:color w:val="auto"/>
                <w:highlight w:val="none"/>
                <w:lang w:val="en-US" w:eastAsia="zh-CN"/>
              </w:rPr>
              <w:t>12月委托编制了</w:t>
            </w:r>
            <w:r>
              <w:rPr>
                <w:rFonts w:hint="default" w:ascii="Times New Roman" w:hAnsi="Times New Roman" w:cs="Times New Roman" w:eastAsiaTheme="minorEastAsia"/>
                <w:color w:val="auto"/>
                <w:highlight w:val="none"/>
              </w:rPr>
              <w:t>《</w:t>
            </w:r>
            <w:r>
              <w:rPr>
                <w:rFonts w:hint="default" w:ascii="Times New Roman" w:hAnsi="Times New Roman" w:cs="Times New Roman" w:eastAsiaTheme="minorEastAsia"/>
                <w:color w:val="auto"/>
                <w:highlight w:val="none"/>
                <w:lang w:eastAsia="zh-CN"/>
              </w:rPr>
              <w:t>淄博宝路保温材料有限公司年产200吨陶瓷纤维制品项目</w:t>
            </w:r>
            <w:r>
              <w:rPr>
                <w:rFonts w:hint="default" w:ascii="Times New Roman" w:hAnsi="Times New Roman" w:cs="Times New Roman" w:eastAsiaTheme="minorEastAsia"/>
                <w:color w:val="auto"/>
                <w:highlight w:val="none"/>
              </w:rPr>
              <w:t>环境影响报告表</w:t>
            </w:r>
            <w:r>
              <w:rPr>
                <w:rFonts w:hint="eastAsia" w:ascii="Times New Roman" w:hAnsi="Times New Roman" w:cs="Times New Roman" w:eastAsiaTheme="minorEastAsia"/>
                <w:color w:val="auto"/>
                <w:highlight w:val="none"/>
                <w:lang w:eastAsia="zh-CN"/>
              </w:rPr>
              <w:t>（</w:t>
            </w:r>
            <w:r>
              <w:rPr>
                <w:rFonts w:hint="eastAsia" w:ascii="Times New Roman" w:hAnsi="Times New Roman" w:cs="Times New Roman" w:eastAsiaTheme="minorEastAsia"/>
                <w:color w:val="auto"/>
                <w:highlight w:val="none"/>
                <w:lang w:val="en-US" w:eastAsia="zh-CN"/>
              </w:rPr>
              <w:t>现状评价</w:t>
            </w:r>
            <w:r>
              <w:rPr>
                <w:rFonts w:hint="eastAsia" w:ascii="Times New Roman" w:hAnsi="Times New Roman" w:cs="Times New Roman" w:eastAsiaTheme="minorEastAsia"/>
                <w:color w:val="auto"/>
                <w:highlight w:val="none"/>
                <w:lang w:eastAsia="zh-CN"/>
              </w:rPr>
              <w:t>）</w:t>
            </w:r>
            <w:r>
              <w:rPr>
                <w:rFonts w:hint="default" w:ascii="Times New Roman" w:hAnsi="Times New Roman" w:cs="Times New Roman" w:eastAsiaTheme="minorEastAsia"/>
                <w:color w:val="auto"/>
                <w:highlight w:val="none"/>
              </w:rPr>
              <w:t>》</w:t>
            </w:r>
            <w:r>
              <w:rPr>
                <w:rFonts w:hint="eastAsia" w:ascii="Times New Roman" w:hAnsi="Times New Roman" w:cs="Times New Roman" w:eastAsiaTheme="minorEastAsia"/>
                <w:color w:val="auto"/>
                <w:highlight w:val="none"/>
                <w:lang w:eastAsia="zh-CN"/>
              </w:rPr>
              <w:t>，2016年12月29日</w:t>
            </w:r>
            <w:r>
              <w:rPr>
                <w:rFonts w:hint="eastAsia" w:ascii="Times New Roman" w:hAnsi="Times New Roman" w:cs="Times New Roman" w:eastAsiaTheme="minorEastAsia"/>
                <w:color w:val="auto"/>
                <w:highlight w:val="none"/>
                <w:lang w:val="en-US" w:eastAsia="zh-CN"/>
              </w:rPr>
              <w:t>取得</w:t>
            </w:r>
            <w:r>
              <w:rPr>
                <w:rFonts w:hint="default" w:ascii="Times New Roman" w:hAnsi="Times New Roman" w:cs="Times New Roman" w:eastAsiaTheme="minorEastAsia"/>
                <w:color w:val="auto"/>
                <w:highlight w:val="none"/>
              </w:rPr>
              <w:t>淄博市生态环境局淄川分局</w:t>
            </w:r>
            <w:r>
              <w:rPr>
                <w:rFonts w:hint="eastAsia" w:ascii="Times New Roman" w:hAnsi="Times New Roman" w:cs="Times New Roman" w:eastAsiaTheme="minorEastAsia"/>
                <w:color w:val="auto"/>
                <w:highlight w:val="none"/>
                <w:lang w:val="en-US" w:eastAsia="zh-CN"/>
              </w:rPr>
              <w:t>的备案意见</w:t>
            </w:r>
            <w:r>
              <w:rPr>
                <w:rFonts w:hint="default" w:ascii="Times New Roman" w:hAnsi="Times New Roman" w:cs="Times New Roman" w:eastAsiaTheme="minorEastAsia"/>
                <w:color w:val="auto"/>
                <w:highlight w:val="none"/>
              </w:rPr>
              <w:t>（</w:t>
            </w:r>
            <w:r>
              <w:rPr>
                <w:rFonts w:hint="eastAsia" w:ascii="Times New Roman" w:hAnsi="Times New Roman" w:cs="Times New Roman" w:eastAsiaTheme="minorEastAsia"/>
                <w:color w:val="auto"/>
                <w:highlight w:val="none"/>
                <w:lang w:eastAsia="zh-CN"/>
              </w:rPr>
              <w:t>川环许可[2016]219号</w:t>
            </w:r>
            <w:r>
              <w:rPr>
                <w:rFonts w:hint="default" w:ascii="Times New Roman" w:hAnsi="Times New Roman" w:cs="Times New Roman" w:eastAsiaTheme="minorEastAsia"/>
                <w:color w:val="auto"/>
                <w:highlight w:val="none"/>
              </w:rPr>
              <w:t>）</w:t>
            </w:r>
            <w:r>
              <w:rPr>
                <w:rFonts w:hint="eastAsia" w:ascii="Times New Roman" w:hAnsi="Times New Roman" w:cs="Times New Roman" w:eastAsiaTheme="minorEastAsia"/>
                <w:color w:val="auto"/>
                <w:highlight w:val="none"/>
                <w:lang w:eastAsia="zh-CN"/>
              </w:rPr>
              <w:t>。</w:t>
            </w:r>
          </w:p>
          <w:p w14:paraId="14BE8994">
            <w:pPr>
              <w:pStyle w:val="9"/>
              <w:snapToGrid w:val="0"/>
              <w:spacing w:line="360" w:lineRule="auto"/>
              <w:ind w:firstLine="420" w:firstLineChars="200"/>
              <w:rPr>
                <w:rFonts w:hint="default" w:ascii="Times New Roman" w:hAnsi="Times New Roman" w:cs="Times New Roman" w:eastAsiaTheme="minorEastAsia"/>
                <w:color w:val="auto"/>
                <w:lang w:val="en-US" w:eastAsia="zh-CN"/>
              </w:rPr>
            </w:pPr>
            <w:r>
              <w:rPr>
                <w:rFonts w:hint="eastAsia"/>
                <w:color w:val="auto"/>
                <w:highlight w:val="none"/>
                <w:lang w:val="en-US" w:eastAsia="zh-CN"/>
              </w:rPr>
              <w:t>根据市场要求，</w:t>
            </w:r>
            <w:r>
              <w:rPr>
                <w:rFonts w:hint="eastAsia" w:ascii="Times New Roman" w:hAnsi="Times New Roman" w:cs="Times New Roman" w:eastAsiaTheme="minorEastAsia"/>
                <w:color w:val="auto"/>
                <w:highlight w:val="none"/>
                <w:lang w:eastAsia="zh-CN"/>
              </w:rPr>
              <w:t>淄博宝路保温材料有限公司</w:t>
            </w:r>
            <w:r>
              <w:rPr>
                <w:rFonts w:hint="eastAsia" w:ascii="Times New Roman" w:hAnsi="Times New Roman" w:cs="Times New Roman" w:eastAsiaTheme="minorEastAsia"/>
                <w:color w:val="auto"/>
                <w:highlight w:val="none"/>
                <w:lang w:val="en-US" w:eastAsia="zh-CN"/>
              </w:rPr>
              <w:t>拟在现有厂区内建设“陶瓷纤维制品技改项目”，以陶瓷纤维棉、硅溶胶为原料，外购打浆机、全</w:t>
            </w:r>
            <w:r>
              <w:rPr>
                <w:rFonts w:hint="eastAsia" w:ascii="Times New Roman" w:hAnsi="Times New Roman" w:cs="Times New Roman" w:eastAsiaTheme="minorEastAsia"/>
                <w:color w:val="auto"/>
                <w:lang w:val="en-US" w:eastAsia="zh-CN"/>
              </w:rPr>
              <w:t>自动成型机、辊压机、烘干炉、砂光机、切割锯等设备，经打浆、搅拌、粘胶、烘干、切割等工序，得到陶瓷纤维制品，本项目新增300t/a陶瓷纤维制品，本项目建成后全厂可达到500t/a陶瓷纤维制品的生产能力。</w:t>
            </w:r>
          </w:p>
          <w:p w14:paraId="10ABB650">
            <w:pPr>
              <w:pStyle w:val="9"/>
              <w:numPr>
                <w:ilvl w:val="0"/>
                <w:numId w:val="17"/>
              </w:numPr>
              <w:snapToGrid w:val="0"/>
              <w:spacing w:line="360" w:lineRule="auto"/>
              <w:ind w:firstLine="420"/>
              <w:rPr>
                <w:rFonts w:hint="default" w:ascii="Times New Roman" w:hAnsi="Times New Roman" w:cs="Times New Roman"/>
                <w:color w:val="auto"/>
                <w:kern w:val="0"/>
                <w:highlight w:val="none"/>
              </w:rPr>
            </w:pPr>
            <w:r>
              <w:rPr>
                <w:rFonts w:hint="default" w:ascii="Times New Roman" w:hAnsi="Times New Roman" w:eastAsia="黑体" w:cs="Times New Roman"/>
                <w:color w:val="auto"/>
              </w:rPr>
              <w:t>建设性质：</w:t>
            </w:r>
            <w:r>
              <w:rPr>
                <w:rFonts w:hint="eastAsia" w:ascii="Times New Roman" w:hAnsi="Times New Roman" w:eastAsia="黑体" w:cs="Times New Roman"/>
                <w:color w:val="auto"/>
                <w:lang w:val="en-US" w:eastAsia="zh-CN"/>
              </w:rPr>
              <w:t>改</w:t>
            </w:r>
            <w:r>
              <w:rPr>
                <w:rFonts w:hint="eastAsia" w:ascii="Times New Roman" w:hAnsi="Times New Roman" w:eastAsia="黑体" w:cs="Times New Roman"/>
                <w:color w:val="auto"/>
                <w:kern w:val="0"/>
                <w:lang w:val="en-US" w:eastAsia="zh-CN"/>
              </w:rPr>
              <w:t>扩建</w:t>
            </w:r>
          </w:p>
          <w:p w14:paraId="4E8FF7A2">
            <w:pPr>
              <w:spacing w:line="360" w:lineRule="auto"/>
              <w:ind w:firstLine="420" w:firstLineChars="200"/>
              <w:rPr>
                <w:rFonts w:hint="default" w:ascii="Times New Roman" w:hAnsi="Times New Roman" w:cs="Times New Roman" w:eastAsiaTheme="minorEastAsia"/>
                <w:color w:val="auto"/>
                <w:spacing w:val="10"/>
                <w:szCs w:val="21"/>
                <w:highlight w:val="none"/>
                <w:lang w:val="de-DE"/>
              </w:rPr>
            </w:pPr>
            <w:r>
              <w:rPr>
                <w:rFonts w:hint="default" w:ascii="Times New Roman" w:hAnsi="Times New Roman" w:eastAsia="黑体" w:cs="Times New Roman"/>
                <w:color w:val="auto"/>
                <w:szCs w:val="21"/>
                <w:highlight w:val="none"/>
              </w:rPr>
              <w:t>3、建设地点及周边关系：</w:t>
            </w:r>
            <w:r>
              <w:rPr>
                <w:rFonts w:hint="default" w:ascii="Times New Roman" w:hAnsi="Times New Roman" w:cs="Times New Roman" w:eastAsiaTheme="minorEastAsia"/>
                <w:color w:val="auto"/>
                <w:highlight w:val="none"/>
              </w:rPr>
              <w:t>项目位于</w:t>
            </w:r>
            <w:r>
              <w:rPr>
                <w:rFonts w:hint="eastAsia" w:cs="Times New Roman" w:eastAsiaTheme="minorEastAsia"/>
                <w:color w:val="auto"/>
                <w:highlight w:val="none"/>
                <w:lang w:eastAsia="zh-CN"/>
              </w:rPr>
              <w:t>淄川区昆仑镇兴隆村淄博宝路保温材料有限公司</w:t>
            </w:r>
            <w:r>
              <w:rPr>
                <w:rFonts w:hint="default" w:ascii="Times New Roman" w:hAnsi="Times New Roman" w:cs="Times New Roman" w:eastAsiaTheme="minorEastAsia"/>
                <w:color w:val="auto"/>
                <w:highlight w:val="none"/>
                <w:lang w:eastAsia="zh-CN"/>
              </w:rPr>
              <w:t>现有厂区内</w:t>
            </w:r>
            <w:r>
              <w:rPr>
                <w:rFonts w:hint="default" w:ascii="Times New Roman" w:hAnsi="Times New Roman" w:cs="Times New Roman" w:eastAsiaTheme="minorEastAsia"/>
                <w:color w:val="auto"/>
                <w:szCs w:val="21"/>
                <w:highlight w:val="none"/>
              </w:rPr>
              <w:t>，中心坐标</w:t>
            </w:r>
            <w:r>
              <w:rPr>
                <w:rFonts w:hint="eastAsia" w:cs="Times New Roman" w:eastAsiaTheme="minorEastAsia"/>
                <w:color w:val="auto"/>
                <w:szCs w:val="21"/>
                <w:highlight w:val="none"/>
                <w:lang w:val="en-US" w:eastAsia="zh-CN"/>
              </w:rPr>
              <w:t>北纬</w:t>
            </w:r>
            <w:r>
              <w:rPr>
                <w:rFonts w:hint="default" w:ascii="Times New Roman" w:hAnsi="Times New Roman" w:cs="Times New Roman" w:eastAsiaTheme="minorEastAsia"/>
                <w:color w:val="auto"/>
                <w:szCs w:val="21"/>
                <w:highlight w:val="none"/>
              </w:rPr>
              <w:t>36度3</w:t>
            </w:r>
            <w:r>
              <w:rPr>
                <w:rFonts w:hint="eastAsia" w:cs="Times New Roman" w:eastAsiaTheme="minorEastAsia"/>
                <w:color w:val="auto"/>
                <w:szCs w:val="21"/>
                <w:highlight w:val="none"/>
                <w:lang w:val="en-US" w:eastAsia="zh-CN"/>
              </w:rPr>
              <w:t>6</w:t>
            </w:r>
            <w:r>
              <w:rPr>
                <w:rFonts w:hint="default" w:ascii="Times New Roman" w:hAnsi="Times New Roman" w:cs="Times New Roman" w:eastAsiaTheme="minorEastAsia"/>
                <w:color w:val="auto"/>
                <w:szCs w:val="21"/>
                <w:highlight w:val="none"/>
              </w:rPr>
              <w:t>分</w:t>
            </w:r>
            <w:r>
              <w:rPr>
                <w:rFonts w:hint="eastAsia" w:cs="Times New Roman" w:eastAsiaTheme="minorEastAsia"/>
                <w:color w:val="auto"/>
                <w:szCs w:val="21"/>
                <w:highlight w:val="none"/>
                <w:lang w:val="en-US" w:eastAsia="zh-CN"/>
              </w:rPr>
              <w:t>08.808</w:t>
            </w:r>
            <w:r>
              <w:rPr>
                <w:rFonts w:hint="default" w:ascii="Times New Roman" w:hAnsi="Times New Roman" w:cs="Times New Roman" w:eastAsiaTheme="minorEastAsia"/>
                <w:color w:val="auto"/>
                <w:szCs w:val="21"/>
                <w:highlight w:val="none"/>
              </w:rPr>
              <w:t>秒，</w:t>
            </w:r>
            <w:r>
              <w:rPr>
                <w:rFonts w:hint="eastAsia" w:cs="Times New Roman" w:eastAsiaTheme="minorEastAsia"/>
                <w:color w:val="auto"/>
                <w:szCs w:val="21"/>
                <w:highlight w:val="none"/>
                <w:lang w:val="en-US" w:eastAsia="zh-CN"/>
              </w:rPr>
              <w:t>东经</w:t>
            </w:r>
            <w:r>
              <w:rPr>
                <w:rFonts w:hint="default" w:ascii="Times New Roman" w:hAnsi="Times New Roman" w:cs="Times New Roman" w:eastAsiaTheme="minorEastAsia"/>
                <w:color w:val="auto"/>
                <w:szCs w:val="21"/>
                <w:highlight w:val="none"/>
              </w:rPr>
              <w:t>117度</w:t>
            </w:r>
            <w:r>
              <w:rPr>
                <w:rFonts w:hint="default" w:ascii="Times New Roman" w:hAnsi="Times New Roman" w:cs="Times New Roman" w:eastAsiaTheme="minorEastAsia"/>
                <w:color w:val="auto"/>
                <w:szCs w:val="21"/>
                <w:highlight w:val="none"/>
                <w:lang w:val="en-US" w:eastAsia="zh-CN"/>
              </w:rPr>
              <w:t>5</w:t>
            </w:r>
            <w:r>
              <w:rPr>
                <w:rFonts w:hint="eastAsia" w:cs="Times New Roman" w:eastAsiaTheme="minorEastAsia"/>
                <w:color w:val="auto"/>
                <w:szCs w:val="21"/>
                <w:highlight w:val="none"/>
                <w:lang w:val="en-US" w:eastAsia="zh-CN"/>
              </w:rPr>
              <w:t>7</w:t>
            </w:r>
            <w:r>
              <w:rPr>
                <w:rFonts w:hint="default" w:ascii="Times New Roman" w:hAnsi="Times New Roman" w:cs="Times New Roman" w:eastAsiaTheme="minorEastAsia"/>
                <w:color w:val="auto"/>
                <w:szCs w:val="21"/>
                <w:highlight w:val="none"/>
              </w:rPr>
              <w:t>分</w:t>
            </w:r>
            <w:r>
              <w:rPr>
                <w:rFonts w:hint="eastAsia" w:cs="Times New Roman" w:eastAsiaTheme="minorEastAsia"/>
                <w:color w:val="auto"/>
                <w:szCs w:val="21"/>
                <w:highlight w:val="none"/>
                <w:lang w:val="en-US" w:eastAsia="zh-CN"/>
              </w:rPr>
              <w:t>05.692</w:t>
            </w:r>
            <w:r>
              <w:rPr>
                <w:rFonts w:hint="default" w:ascii="Times New Roman" w:hAnsi="Times New Roman" w:cs="Times New Roman" w:eastAsiaTheme="minorEastAsia"/>
                <w:color w:val="auto"/>
                <w:szCs w:val="21"/>
                <w:highlight w:val="none"/>
              </w:rPr>
              <w:t>秒。地理位置图详见附图1。</w:t>
            </w:r>
            <w:r>
              <w:rPr>
                <w:rFonts w:hint="default" w:ascii="Times New Roman" w:hAnsi="Times New Roman" w:cs="Times New Roman" w:eastAsiaTheme="minorEastAsia"/>
                <w:color w:val="auto"/>
                <w:spacing w:val="10"/>
                <w:szCs w:val="21"/>
                <w:highlight w:val="none"/>
                <w:lang w:val="de-DE"/>
              </w:rPr>
              <w:t>本项目厂区北侧</w:t>
            </w:r>
            <w:r>
              <w:rPr>
                <w:rFonts w:hint="eastAsia" w:cs="Times New Roman" w:eastAsiaTheme="minorEastAsia"/>
                <w:color w:val="auto"/>
                <w:spacing w:val="10"/>
                <w:szCs w:val="21"/>
                <w:highlight w:val="none"/>
                <w:lang w:val="en-US" w:eastAsia="zh-CN"/>
              </w:rPr>
              <w:t>和</w:t>
            </w:r>
            <w:r>
              <w:rPr>
                <w:rFonts w:hint="default" w:ascii="Times New Roman" w:hAnsi="Times New Roman" w:cs="Times New Roman" w:eastAsiaTheme="minorEastAsia"/>
                <w:color w:val="auto"/>
                <w:spacing w:val="10"/>
                <w:szCs w:val="21"/>
                <w:highlight w:val="none"/>
                <w:lang w:val="de-DE"/>
              </w:rPr>
              <w:t>东侧为</w:t>
            </w:r>
            <w:r>
              <w:rPr>
                <w:rFonts w:hint="eastAsia" w:cs="Times New Roman" w:eastAsiaTheme="minorEastAsia"/>
                <w:color w:val="auto"/>
                <w:spacing w:val="10"/>
                <w:szCs w:val="21"/>
                <w:highlight w:val="none"/>
                <w:lang w:val="en-US" w:eastAsia="zh-CN"/>
              </w:rPr>
              <w:t>乡道和</w:t>
            </w:r>
            <w:r>
              <w:rPr>
                <w:rFonts w:hint="default" w:ascii="Times New Roman" w:hAnsi="Times New Roman" w:cs="Times New Roman" w:eastAsiaTheme="minorEastAsia"/>
                <w:color w:val="auto"/>
                <w:spacing w:val="10"/>
                <w:szCs w:val="21"/>
                <w:highlight w:val="none"/>
                <w:lang w:val="en-US" w:eastAsia="zh-CN"/>
              </w:rPr>
              <w:t>农田</w:t>
            </w:r>
            <w:r>
              <w:rPr>
                <w:rFonts w:hint="default" w:ascii="Times New Roman" w:hAnsi="Times New Roman" w:cs="Times New Roman" w:eastAsiaTheme="minorEastAsia"/>
                <w:color w:val="auto"/>
                <w:spacing w:val="10"/>
                <w:szCs w:val="21"/>
                <w:highlight w:val="none"/>
                <w:lang w:val="de-DE"/>
              </w:rPr>
              <w:t>，南侧为</w:t>
            </w:r>
            <w:r>
              <w:rPr>
                <w:rFonts w:hint="eastAsia" w:cs="Times New Roman" w:eastAsiaTheme="minorEastAsia"/>
                <w:color w:val="auto"/>
                <w:spacing w:val="10"/>
                <w:szCs w:val="21"/>
                <w:highlight w:val="none"/>
                <w:lang w:val="en-US" w:eastAsia="zh-CN"/>
              </w:rPr>
              <w:t>闲置绒棉厂</w:t>
            </w:r>
            <w:r>
              <w:rPr>
                <w:rFonts w:hint="default" w:ascii="Times New Roman" w:hAnsi="Times New Roman" w:cs="Times New Roman" w:eastAsiaTheme="minorEastAsia"/>
                <w:color w:val="auto"/>
                <w:spacing w:val="10"/>
                <w:szCs w:val="21"/>
                <w:highlight w:val="none"/>
                <w:lang w:val="de-DE"/>
              </w:rPr>
              <w:t>，西侧为</w:t>
            </w:r>
            <w:r>
              <w:rPr>
                <w:rFonts w:hint="eastAsia" w:cs="Times New Roman" w:eastAsiaTheme="minorEastAsia"/>
                <w:color w:val="auto"/>
                <w:spacing w:val="10"/>
                <w:szCs w:val="21"/>
                <w:highlight w:val="none"/>
                <w:lang w:val="en-US" w:eastAsia="zh-CN"/>
              </w:rPr>
              <w:t>空地和良积瓦厂</w:t>
            </w:r>
            <w:r>
              <w:rPr>
                <w:rFonts w:hint="default" w:ascii="Times New Roman" w:hAnsi="Times New Roman" w:cs="Times New Roman" w:eastAsiaTheme="minorEastAsia"/>
                <w:color w:val="auto"/>
                <w:spacing w:val="10"/>
                <w:szCs w:val="21"/>
                <w:highlight w:val="none"/>
                <w:lang w:val="de-DE"/>
              </w:rPr>
              <w:t>。项目</w:t>
            </w:r>
            <w:r>
              <w:rPr>
                <w:rFonts w:hint="eastAsia" w:cs="Times New Roman" w:eastAsiaTheme="minorEastAsia"/>
                <w:color w:val="auto"/>
                <w:spacing w:val="10"/>
                <w:szCs w:val="21"/>
                <w:highlight w:val="none"/>
                <w:lang w:val="en-US" w:eastAsia="zh-CN"/>
              </w:rPr>
              <w:t>500m范围内存在2处敏感目标，</w:t>
            </w:r>
            <w:r>
              <w:rPr>
                <w:rFonts w:hint="default" w:ascii="Times New Roman" w:hAnsi="Times New Roman" w:cs="Times New Roman" w:eastAsiaTheme="minorEastAsia"/>
                <w:color w:val="auto"/>
                <w:spacing w:val="10"/>
                <w:szCs w:val="21"/>
                <w:highlight w:val="none"/>
                <w:lang w:val="de-DE"/>
              </w:rPr>
              <w:t>西北距</w:t>
            </w:r>
            <w:r>
              <w:rPr>
                <w:rFonts w:hint="eastAsia" w:cs="Times New Roman" w:eastAsiaTheme="minorEastAsia"/>
                <w:color w:val="auto"/>
                <w:spacing w:val="10"/>
                <w:szCs w:val="21"/>
                <w:highlight w:val="none"/>
                <w:lang w:val="en-US" w:eastAsia="zh-CN"/>
              </w:rPr>
              <w:t>光正社区370</w:t>
            </w:r>
            <w:r>
              <w:rPr>
                <w:rFonts w:hint="default" w:ascii="Times New Roman" w:hAnsi="Times New Roman" w:cs="Times New Roman" w:eastAsiaTheme="minorEastAsia"/>
                <w:color w:val="auto"/>
                <w:spacing w:val="10"/>
                <w:szCs w:val="21"/>
                <w:highlight w:val="none"/>
                <w:lang w:val="de-DE"/>
              </w:rPr>
              <w:t>m，西北距淄博光正公司医院</w:t>
            </w:r>
            <w:r>
              <w:rPr>
                <w:rFonts w:hint="eastAsia" w:cs="Times New Roman" w:eastAsiaTheme="minorEastAsia"/>
                <w:color w:val="auto"/>
                <w:spacing w:val="10"/>
                <w:szCs w:val="21"/>
                <w:highlight w:val="none"/>
                <w:lang w:val="en-US" w:eastAsia="zh-CN"/>
              </w:rPr>
              <w:t>460</w:t>
            </w:r>
            <w:r>
              <w:rPr>
                <w:rFonts w:hint="default" w:ascii="Times New Roman" w:hAnsi="Times New Roman" w:cs="Times New Roman" w:eastAsiaTheme="minorEastAsia"/>
                <w:color w:val="auto"/>
                <w:spacing w:val="10"/>
                <w:szCs w:val="21"/>
                <w:highlight w:val="none"/>
                <w:lang w:val="de-DE"/>
              </w:rPr>
              <w:t>m。</w:t>
            </w:r>
            <w:r>
              <w:rPr>
                <w:rFonts w:hint="eastAsia" w:cs="Times New Roman" w:eastAsiaTheme="minorEastAsia"/>
                <w:color w:val="auto"/>
                <w:spacing w:val="10"/>
                <w:szCs w:val="21"/>
                <w:highlight w:val="none"/>
                <w:lang w:val="de-DE" w:eastAsia="zh-CN"/>
              </w:rPr>
              <w:t>本项目</w:t>
            </w:r>
            <w:r>
              <w:rPr>
                <w:rFonts w:hint="default" w:ascii="Times New Roman" w:hAnsi="Times New Roman" w:cs="Times New Roman" w:eastAsiaTheme="minorEastAsia"/>
                <w:color w:val="auto"/>
                <w:spacing w:val="10"/>
                <w:szCs w:val="21"/>
                <w:highlight w:val="none"/>
                <w:lang w:val="de-DE"/>
              </w:rPr>
              <w:t>地理位置优越，交通运输便利。周边关系图详见图2。</w:t>
            </w:r>
          </w:p>
          <w:p w14:paraId="08F48B6E">
            <w:pPr>
              <w:pStyle w:val="85"/>
              <w:spacing w:after="0"/>
              <w:ind w:left="0" w:leftChars="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4、产品方案</w:t>
            </w:r>
          </w:p>
          <w:p w14:paraId="21DA0CF5">
            <w:pPr>
              <w:pStyle w:val="85"/>
              <w:spacing w:after="0"/>
              <w:ind w:left="0" w:leftChars="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表2-</w:t>
            </w:r>
            <w:r>
              <w:rPr>
                <w:rFonts w:hint="default" w:ascii="Times New Roman" w:hAnsi="Times New Roman" w:eastAsia="黑体" w:cs="Times New Roman"/>
                <w:color w:val="auto"/>
                <w:szCs w:val="21"/>
                <w:lang w:val="en-US" w:eastAsia="zh-CN"/>
              </w:rPr>
              <w:t>1</w:t>
            </w:r>
            <w:r>
              <w:rPr>
                <w:rFonts w:hint="default" w:ascii="Times New Roman" w:hAnsi="Times New Roman" w:eastAsia="黑体" w:cs="Times New Roman"/>
                <w:color w:val="auto"/>
                <w:szCs w:val="21"/>
              </w:rPr>
              <w:t>项目产品方案一览表</w:t>
            </w:r>
          </w:p>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080"/>
              <w:gridCol w:w="2009"/>
              <w:gridCol w:w="1897"/>
              <w:gridCol w:w="2398"/>
            </w:tblGrid>
            <w:tr w14:paraId="0F49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4" w:type="pct"/>
                  <w:vMerge w:val="restart"/>
                  <w:vAlign w:val="center"/>
                </w:tcPr>
                <w:p w14:paraId="18206A00">
                  <w:pPr>
                    <w:pStyle w:val="199"/>
                    <w:spacing w:beforeLines="0" w:afterLines="0" w:line="240" w:lineRule="auto"/>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b/>
                      <w:bCs/>
                      <w:color w:val="auto"/>
                      <w:sz w:val="18"/>
                      <w:szCs w:val="18"/>
                    </w:rPr>
                    <w:t>序号</w:t>
                  </w:r>
                </w:p>
              </w:tc>
              <w:tc>
                <w:tcPr>
                  <w:tcW w:w="1145" w:type="pct"/>
                  <w:vMerge w:val="restart"/>
                  <w:vAlign w:val="center"/>
                </w:tcPr>
                <w:p w14:paraId="5FB23E34">
                  <w:pPr>
                    <w:pStyle w:val="199"/>
                    <w:spacing w:beforeLines="0" w:afterLines="0" w:line="240" w:lineRule="auto"/>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b/>
                      <w:bCs/>
                      <w:color w:val="auto"/>
                      <w:sz w:val="18"/>
                      <w:szCs w:val="18"/>
                    </w:rPr>
                    <w:t>产品名称</w:t>
                  </w:r>
                </w:p>
              </w:tc>
              <w:tc>
                <w:tcPr>
                  <w:tcW w:w="3470" w:type="pct"/>
                  <w:gridSpan w:val="3"/>
                  <w:vAlign w:val="center"/>
                </w:tcPr>
                <w:p w14:paraId="3F31CA72">
                  <w:pPr>
                    <w:pStyle w:val="199"/>
                    <w:spacing w:beforeLines="0" w:afterLines="0" w:line="240" w:lineRule="auto"/>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b/>
                      <w:bCs/>
                      <w:color w:val="auto"/>
                      <w:sz w:val="18"/>
                      <w:szCs w:val="18"/>
                    </w:rPr>
                    <w:t>生产规模</w:t>
                  </w:r>
                </w:p>
              </w:tc>
            </w:tr>
            <w:tr w14:paraId="564D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4" w:type="pct"/>
                  <w:vMerge w:val="continue"/>
                  <w:vAlign w:val="center"/>
                </w:tcPr>
                <w:p w14:paraId="46E55611">
                  <w:pPr>
                    <w:pStyle w:val="199"/>
                    <w:spacing w:beforeLines="0" w:afterLines="0" w:line="240" w:lineRule="auto"/>
                    <w:rPr>
                      <w:rFonts w:hint="default" w:ascii="Times New Roman" w:hAnsi="Times New Roman" w:cs="Times New Roman" w:eastAsiaTheme="minorEastAsia"/>
                      <w:b/>
                      <w:bCs/>
                      <w:color w:val="auto"/>
                      <w:sz w:val="18"/>
                      <w:szCs w:val="18"/>
                    </w:rPr>
                  </w:pPr>
                </w:p>
              </w:tc>
              <w:tc>
                <w:tcPr>
                  <w:tcW w:w="1145" w:type="pct"/>
                  <w:vMerge w:val="continue"/>
                  <w:vAlign w:val="center"/>
                </w:tcPr>
                <w:p w14:paraId="4D44F610">
                  <w:pPr>
                    <w:pStyle w:val="199"/>
                    <w:spacing w:beforeLines="0" w:afterLines="0" w:line="240" w:lineRule="auto"/>
                    <w:rPr>
                      <w:rFonts w:hint="default" w:ascii="Times New Roman" w:hAnsi="Times New Roman" w:cs="Times New Roman" w:eastAsiaTheme="minorEastAsia"/>
                      <w:b/>
                      <w:bCs/>
                      <w:color w:val="auto"/>
                      <w:sz w:val="18"/>
                      <w:szCs w:val="18"/>
                    </w:rPr>
                  </w:pPr>
                </w:p>
              </w:tc>
              <w:tc>
                <w:tcPr>
                  <w:tcW w:w="1106" w:type="pct"/>
                  <w:vAlign w:val="center"/>
                </w:tcPr>
                <w:p w14:paraId="1ABC1A6D">
                  <w:pPr>
                    <w:pStyle w:val="199"/>
                    <w:spacing w:beforeLines="0" w:afterLines="0" w:line="240" w:lineRule="auto"/>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b/>
                      <w:bCs/>
                      <w:color w:val="auto"/>
                      <w:sz w:val="18"/>
                      <w:szCs w:val="18"/>
                    </w:rPr>
                    <w:t>现有项目</w:t>
                  </w:r>
                </w:p>
                <w:p w14:paraId="41ABABCE">
                  <w:pPr>
                    <w:pStyle w:val="199"/>
                    <w:spacing w:beforeLines="0" w:afterLines="0" w:line="240" w:lineRule="auto"/>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b/>
                      <w:bCs/>
                      <w:color w:val="auto"/>
                      <w:sz w:val="18"/>
                      <w:szCs w:val="18"/>
                    </w:rPr>
                    <w:t>（t/a）</w:t>
                  </w:r>
                </w:p>
              </w:tc>
              <w:tc>
                <w:tcPr>
                  <w:tcW w:w="1044" w:type="pct"/>
                  <w:vAlign w:val="center"/>
                </w:tcPr>
                <w:p w14:paraId="0BF04468">
                  <w:pPr>
                    <w:pStyle w:val="199"/>
                    <w:spacing w:beforeLines="0" w:afterLines="0" w:line="240" w:lineRule="auto"/>
                    <w:rPr>
                      <w:rFonts w:hint="eastAsia" w:ascii="Times New Roman" w:hAnsi="Times New Roman" w:cs="Times New Roman" w:eastAsiaTheme="minorEastAsia"/>
                      <w:b/>
                      <w:bCs/>
                      <w:color w:val="auto"/>
                      <w:sz w:val="18"/>
                      <w:szCs w:val="18"/>
                      <w:lang w:val="en-US" w:eastAsia="zh-CN"/>
                    </w:rPr>
                  </w:pPr>
                  <w:r>
                    <w:rPr>
                      <w:rFonts w:hint="default" w:ascii="Times New Roman" w:hAnsi="Times New Roman" w:cs="Times New Roman" w:eastAsiaTheme="minorEastAsia"/>
                      <w:b/>
                      <w:bCs/>
                      <w:color w:val="auto"/>
                      <w:sz w:val="18"/>
                      <w:szCs w:val="18"/>
                    </w:rPr>
                    <w:t>本项目</w:t>
                  </w:r>
                  <w:r>
                    <w:rPr>
                      <w:rFonts w:hint="eastAsia" w:ascii="Times New Roman" w:cs="Times New Roman" w:eastAsiaTheme="minorEastAsia"/>
                      <w:b/>
                      <w:bCs/>
                      <w:color w:val="auto"/>
                      <w:sz w:val="18"/>
                      <w:szCs w:val="18"/>
                      <w:lang w:val="en-US" w:eastAsia="zh-CN"/>
                    </w:rPr>
                    <w:t>新增</w:t>
                  </w:r>
                </w:p>
                <w:p w14:paraId="4C0461F2">
                  <w:pPr>
                    <w:pStyle w:val="199"/>
                    <w:spacing w:beforeLines="0" w:afterLines="0" w:line="240" w:lineRule="auto"/>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b/>
                      <w:bCs/>
                      <w:color w:val="auto"/>
                      <w:sz w:val="18"/>
                      <w:szCs w:val="18"/>
                    </w:rPr>
                    <w:t>（t/a）</w:t>
                  </w:r>
                </w:p>
              </w:tc>
              <w:tc>
                <w:tcPr>
                  <w:tcW w:w="1319" w:type="pct"/>
                  <w:vAlign w:val="center"/>
                </w:tcPr>
                <w:p w14:paraId="7A065A7F">
                  <w:pPr>
                    <w:pStyle w:val="199"/>
                    <w:spacing w:beforeLines="0" w:afterLines="0" w:line="240" w:lineRule="auto"/>
                    <w:rPr>
                      <w:rFonts w:hint="default" w:ascii="Times New Roman" w:hAnsi="Times New Roman" w:cs="Times New Roman" w:eastAsiaTheme="minorEastAsia"/>
                      <w:b/>
                      <w:bCs/>
                      <w:color w:val="auto"/>
                      <w:sz w:val="18"/>
                      <w:szCs w:val="18"/>
                    </w:rPr>
                  </w:pPr>
                  <w:r>
                    <w:rPr>
                      <w:rFonts w:hint="eastAsia" w:ascii="Times New Roman" w:cs="Times New Roman" w:eastAsiaTheme="minorEastAsia"/>
                      <w:b/>
                      <w:bCs/>
                      <w:color w:val="auto"/>
                      <w:sz w:val="18"/>
                      <w:szCs w:val="18"/>
                      <w:lang w:val="en-US" w:eastAsia="zh-CN"/>
                    </w:rPr>
                    <w:t>本项目建成</w:t>
                  </w:r>
                  <w:r>
                    <w:rPr>
                      <w:rFonts w:hint="default" w:ascii="Times New Roman" w:hAnsi="Times New Roman" w:cs="Times New Roman" w:eastAsiaTheme="minorEastAsia"/>
                      <w:b/>
                      <w:bCs/>
                      <w:color w:val="auto"/>
                      <w:sz w:val="18"/>
                      <w:szCs w:val="18"/>
                    </w:rPr>
                    <w:t>后全厂</w:t>
                  </w:r>
                </w:p>
                <w:p w14:paraId="6D0B1546">
                  <w:pPr>
                    <w:pStyle w:val="199"/>
                    <w:spacing w:beforeLines="0" w:afterLines="0" w:line="240" w:lineRule="auto"/>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b/>
                      <w:bCs/>
                      <w:color w:val="auto"/>
                      <w:sz w:val="18"/>
                      <w:szCs w:val="18"/>
                    </w:rPr>
                    <w:t>（t/a）</w:t>
                  </w:r>
                </w:p>
              </w:tc>
            </w:tr>
            <w:tr w14:paraId="3EC1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4" w:type="pct"/>
                  <w:vAlign w:val="center"/>
                </w:tcPr>
                <w:p w14:paraId="77BE4BFB">
                  <w:pPr>
                    <w:pStyle w:val="199"/>
                    <w:spacing w:beforeLines="0" w:afterLines="0" w:line="240" w:lineRule="auto"/>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1</w:t>
                  </w:r>
                </w:p>
              </w:tc>
              <w:tc>
                <w:tcPr>
                  <w:tcW w:w="1145" w:type="pct"/>
                  <w:vAlign w:val="center"/>
                </w:tcPr>
                <w:p w14:paraId="193917F1">
                  <w:pPr>
                    <w:pStyle w:val="199"/>
                    <w:spacing w:beforeLines="0" w:afterLines="0" w:line="240" w:lineRule="auto"/>
                    <w:rPr>
                      <w:rFonts w:hint="default"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lang w:val="en-US" w:eastAsia="zh-CN"/>
                    </w:rPr>
                    <w:t>陶瓷纤维制品</w:t>
                  </w:r>
                </w:p>
              </w:tc>
              <w:tc>
                <w:tcPr>
                  <w:tcW w:w="1106" w:type="pct"/>
                  <w:vAlign w:val="center"/>
                </w:tcPr>
                <w:p w14:paraId="3E444CA6">
                  <w:pPr>
                    <w:pStyle w:val="199"/>
                    <w:spacing w:beforeLines="0" w:afterLines="0" w:line="240" w:lineRule="auto"/>
                    <w:rPr>
                      <w:rFonts w:hint="default" w:ascii="Times New Roman" w:hAnsi="Times New Roman" w:cs="Times New Roman" w:eastAsiaTheme="minorEastAsia"/>
                      <w:color w:val="auto"/>
                      <w:sz w:val="18"/>
                      <w:szCs w:val="18"/>
                    </w:rPr>
                  </w:pPr>
                  <w:r>
                    <w:rPr>
                      <w:rFonts w:hint="eastAsia" w:ascii="Times New Roman" w:cs="Times New Roman" w:eastAsiaTheme="minorEastAsia"/>
                      <w:color w:val="auto"/>
                      <w:sz w:val="18"/>
                      <w:szCs w:val="18"/>
                      <w:lang w:val="en-US" w:eastAsia="zh-CN"/>
                    </w:rPr>
                    <w:t>2</w:t>
                  </w:r>
                  <w:r>
                    <w:rPr>
                      <w:rFonts w:hint="default" w:ascii="Times New Roman" w:hAnsi="Times New Roman" w:cs="Times New Roman" w:eastAsiaTheme="minorEastAsia"/>
                      <w:color w:val="auto"/>
                      <w:sz w:val="18"/>
                      <w:szCs w:val="18"/>
                    </w:rPr>
                    <w:t>00</w:t>
                  </w:r>
                </w:p>
              </w:tc>
              <w:tc>
                <w:tcPr>
                  <w:tcW w:w="1044" w:type="pct"/>
                  <w:vAlign w:val="center"/>
                </w:tcPr>
                <w:p w14:paraId="7CACABC4">
                  <w:pPr>
                    <w:pStyle w:val="199"/>
                    <w:spacing w:beforeLines="0" w:afterLines="0" w:line="240" w:lineRule="auto"/>
                    <w:rPr>
                      <w:rFonts w:hint="default" w:ascii="Times New Roman" w:hAnsi="Times New Roman" w:cs="Times New Roman" w:eastAsiaTheme="minorEastAsia"/>
                      <w:color w:val="auto"/>
                      <w:sz w:val="18"/>
                      <w:szCs w:val="18"/>
                    </w:rPr>
                  </w:pPr>
                  <w:r>
                    <w:rPr>
                      <w:rFonts w:hint="eastAsia" w:ascii="Times New Roman" w:cs="Times New Roman" w:eastAsiaTheme="minorEastAsia"/>
                      <w:color w:val="auto"/>
                      <w:sz w:val="18"/>
                      <w:szCs w:val="18"/>
                      <w:lang w:val="en-US" w:eastAsia="zh-CN"/>
                    </w:rPr>
                    <w:t>3</w:t>
                  </w:r>
                  <w:r>
                    <w:rPr>
                      <w:rFonts w:hint="default" w:ascii="Times New Roman" w:hAnsi="Times New Roman" w:cs="Times New Roman" w:eastAsiaTheme="minorEastAsia"/>
                      <w:color w:val="auto"/>
                      <w:sz w:val="18"/>
                      <w:szCs w:val="18"/>
                    </w:rPr>
                    <w:t>00</w:t>
                  </w:r>
                </w:p>
              </w:tc>
              <w:tc>
                <w:tcPr>
                  <w:tcW w:w="1319" w:type="pct"/>
                  <w:vAlign w:val="center"/>
                </w:tcPr>
                <w:p w14:paraId="47F8A355">
                  <w:pPr>
                    <w:pStyle w:val="199"/>
                    <w:spacing w:beforeLines="0" w:afterLines="0" w:line="240" w:lineRule="auto"/>
                    <w:rPr>
                      <w:rFonts w:hint="default" w:ascii="Times New Roman" w:hAnsi="Times New Roman" w:cs="Times New Roman" w:eastAsiaTheme="minorEastAsia"/>
                      <w:color w:val="auto"/>
                      <w:sz w:val="18"/>
                      <w:szCs w:val="18"/>
                    </w:rPr>
                  </w:pPr>
                  <w:r>
                    <w:rPr>
                      <w:rFonts w:hint="eastAsia" w:ascii="Times New Roman" w:cs="Times New Roman" w:eastAsiaTheme="minorEastAsia"/>
                      <w:color w:val="auto"/>
                      <w:sz w:val="18"/>
                      <w:szCs w:val="18"/>
                      <w:lang w:val="en-US" w:eastAsia="zh-CN"/>
                    </w:rPr>
                    <w:t>5</w:t>
                  </w:r>
                  <w:r>
                    <w:rPr>
                      <w:rFonts w:hint="default" w:ascii="Times New Roman" w:hAnsi="Times New Roman" w:cs="Times New Roman" w:eastAsiaTheme="minorEastAsia"/>
                      <w:color w:val="auto"/>
                      <w:sz w:val="18"/>
                      <w:szCs w:val="18"/>
                    </w:rPr>
                    <w:t>00</w:t>
                  </w:r>
                </w:p>
              </w:tc>
            </w:tr>
          </w:tbl>
          <w:p w14:paraId="2A6F8B3E">
            <w:pPr>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eastAsia="黑体" w:cs="Times New Roman"/>
                <w:color w:val="auto"/>
                <w:szCs w:val="21"/>
              </w:rPr>
              <w:t>5、工程内容：</w:t>
            </w:r>
            <w:r>
              <w:rPr>
                <w:rFonts w:hint="eastAsia" w:ascii="Times New Roman" w:hAnsi="Times New Roman" w:eastAsia="宋体" w:cs="Times New Roman"/>
                <w:color w:val="auto"/>
                <w:kern w:val="0"/>
                <w:szCs w:val="21"/>
                <w:lang w:eastAsia="zh-CN"/>
              </w:rPr>
              <w:t>本项目</w:t>
            </w:r>
            <w:r>
              <w:rPr>
                <w:rFonts w:hint="default" w:ascii="Times New Roman" w:hAnsi="Times New Roman" w:eastAsia="宋体" w:cs="Times New Roman"/>
                <w:color w:val="auto"/>
                <w:kern w:val="0"/>
                <w:szCs w:val="21"/>
              </w:rPr>
              <w:t>工</w:t>
            </w:r>
            <w:r>
              <w:rPr>
                <w:rFonts w:hint="default" w:ascii="Times New Roman" w:hAnsi="Times New Roman" w:cs="Times New Roman"/>
                <w:color w:val="auto"/>
                <w:kern w:val="0"/>
                <w:szCs w:val="21"/>
              </w:rPr>
              <w:t>程内容</w:t>
            </w:r>
            <w:r>
              <w:rPr>
                <w:rFonts w:hint="default" w:ascii="Times New Roman" w:hAnsi="Times New Roman" w:cs="Times New Roman"/>
                <w:snapToGrid w:val="0"/>
                <w:color w:val="auto"/>
                <w:kern w:val="0"/>
                <w:szCs w:val="21"/>
              </w:rPr>
              <w:t>具体见表2-</w:t>
            </w:r>
            <w:r>
              <w:rPr>
                <w:rFonts w:hint="default" w:ascii="Times New Roman" w:hAnsi="Times New Roman" w:cs="Times New Roman"/>
                <w:snapToGrid w:val="0"/>
                <w:color w:val="auto"/>
                <w:kern w:val="0"/>
                <w:szCs w:val="21"/>
                <w:lang w:val="en-US" w:eastAsia="zh-CN"/>
              </w:rPr>
              <w:t>2</w:t>
            </w:r>
            <w:r>
              <w:rPr>
                <w:rFonts w:hint="default" w:ascii="Times New Roman" w:hAnsi="Times New Roman" w:cs="Times New Roman"/>
                <w:snapToGrid w:val="0"/>
                <w:color w:val="auto"/>
                <w:kern w:val="0"/>
                <w:szCs w:val="21"/>
              </w:rPr>
              <w:t>。</w:t>
            </w:r>
          </w:p>
          <w:p w14:paraId="6D1BAA31">
            <w:pPr>
              <w:pStyle w:val="85"/>
              <w:spacing w:after="0"/>
              <w:ind w:left="0" w:leftChars="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表2-</w:t>
            </w:r>
            <w:r>
              <w:rPr>
                <w:rFonts w:hint="default" w:ascii="Times New Roman" w:hAnsi="Times New Roman" w:eastAsia="黑体" w:cs="Times New Roman"/>
                <w:color w:val="auto"/>
                <w:szCs w:val="21"/>
                <w:highlight w:val="none"/>
                <w:lang w:val="en-US" w:eastAsia="zh-CN"/>
              </w:rPr>
              <w:t>2</w:t>
            </w:r>
            <w:r>
              <w:rPr>
                <w:rFonts w:hint="default" w:ascii="Times New Roman" w:hAnsi="Times New Roman" w:eastAsia="黑体" w:cs="Times New Roman"/>
                <w:color w:val="auto"/>
                <w:szCs w:val="21"/>
                <w:highlight w:val="none"/>
              </w:rPr>
              <w:t>项目主要工程内容</w:t>
            </w:r>
          </w:p>
          <w:tbl>
            <w:tblPr>
              <w:tblStyle w:val="86"/>
              <w:tblW w:w="499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51" w:type="dxa"/>
                <w:bottom w:w="0" w:type="dxa"/>
                <w:right w:w="51" w:type="dxa"/>
              </w:tblCellMar>
            </w:tblPr>
            <w:tblGrid>
              <w:gridCol w:w="1403"/>
              <w:gridCol w:w="1715"/>
              <w:gridCol w:w="2576"/>
              <w:gridCol w:w="1687"/>
              <w:gridCol w:w="1687"/>
            </w:tblGrid>
            <w:tr w14:paraId="16AA9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437" w:hRule="atLeast"/>
                <w:jc w:val="center"/>
              </w:trPr>
              <w:tc>
                <w:tcPr>
                  <w:tcW w:w="773" w:type="pct"/>
                  <w:tcBorders>
                    <w:top w:val="single" w:color="auto" w:sz="6" w:space="0"/>
                  </w:tcBorders>
                  <w:vAlign w:val="center"/>
                </w:tcPr>
                <w:p w14:paraId="3C8357F3">
                  <w:pPr>
                    <w:pStyle w:val="34"/>
                    <w:keepNext w:val="0"/>
                    <w:keepLines w:val="0"/>
                    <w:pageBreakBefore w:val="0"/>
                    <w:widowControl w:val="0"/>
                    <w:kinsoku/>
                    <w:wordWrap/>
                    <w:overflowPunct/>
                    <w:topLinePunct w:val="0"/>
                    <w:autoSpaceDE/>
                    <w:autoSpaceDN/>
                    <w:bidi w:val="0"/>
                    <w:adjustRightInd w:val="0"/>
                    <w:snapToGrid w:val="0"/>
                    <w:spacing w:after="0"/>
                    <w:ind w:left="60" w:leftChars="0" w:hanging="60" w:hangingChars="33"/>
                    <w:jc w:val="center"/>
                    <w:textAlignment w:val="auto"/>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rPr>
                    <w:t>工程名称</w:t>
                  </w:r>
                </w:p>
              </w:tc>
              <w:tc>
                <w:tcPr>
                  <w:tcW w:w="945" w:type="pct"/>
                  <w:tcBorders>
                    <w:top w:val="single" w:color="auto" w:sz="6" w:space="0"/>
                  </w:tcBorders>
                  <w:vAlign w:val="center"/>
                </w:tcPr>
                <w:p w14:paraId="45F612C3">
                  <w:pPr>
                    <w:pStyle w:val="34"/>
                    <w:keepNext w:val="0"/>
                    <w:keepLines w:val="0"/>
                    <w:pageBreakBefore w:val="0"/>
                    <w:widowControl w:val="0"/>
                    <w:kinsoku/>
                    <w:wordWrap/>
                    <w:overflowPunct/>
                    <w:topLinePunct w:val="0"/>
                    <w:autoSpaceDE/>
                    <w:autoSpaceDN/>
                    <w:bidi w:val="0"/>
                    <w:adjustRightInd w:val="0"/>
                    <w:snapToGrid w:val="0"/>
                    <w:spacing w:after="0"/>
                    <w:ind w:left="0" w:leftChars="0" w:firstLine="422"/>
                    <w:textAlignment w:val="auto"/>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rPr>
                    <w:t>工程内容</w:t>
                  </w:r>
                </w:p>
              </w:tc>
              <w:tc>
                <w:tcPr>
                  <w:tcW w:w="1420" w:type="pct"/>
                  <w:tcBorders>
                    <w:top w:val="single" w:color="auto" w:sz="6" w:space="0"/>
                    <w:right w:val="single" w:color="auto" w:sz="4" w:space="0"/>
                  </w:tcBorders>
                  <w:vAlign w:val="center"/>
                </w:tcPr>
                <w:p w14:paraId="0222C47F">
                  <w:pPr>
                    <w:pStyle w:val="34"/>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s="Times New Roman"/>
                      <w:b/>
                      <w:bCs/>
                      <w:color w:val="auto"/>
                      <w:sz w:val="18"/>
                      <w:szCs w:val="18"/>
                      <w:highlight w:val="none"/>
                    </w:rPr>
                  </w:pPr>
                  <w:r>
                    <w:rPr>
                      <w:rFonts w:hint="eastAsia" w:cs="Times New Roman"/>
                      <w:b/>
                      <w:color w:val="auto"/>
                      <w:sz w:val="18"/>
                      <w:szCs w:val="18"/>
                      <w:highlight w:val="none"/>
                      <w:lang w:val="en-US" w:eastAsia="zh-CN"/>
                    </w:rPr>
                    <w:t>改扩建前</w:t>
                  </w:r>
                  <w:r>
                    <w:rPr>
                      <w:rFonts w:hint="default" w:ascii="Times New Roman" w:hAnsi="Times New Roman" w:cs="Times New Roman"/>
                      <w:b/>
                      <w:color w:val="auto"/>
                      <w:sz w:val="18"/>
                      <w:szCs w:val="18"/>
                      <w:highlight w:val="none"/>
                    </w:rPr>
                    <w:t>建设内容及规模</w:t>
                  </w:r>
                </w:p>
              </w:tc>
              <w:tc>
                <w:tcPr>
                  <w:tcW w:w="930" w:type="pct"/>
                  <w:tcBorders>
                    <w:top w:val="single" w:color="auto" w:sz="6" w:space="0"/>
                    <w:right w:val="single" w:color="auto" w:sz="4" w:space="0"/>
                  </w:tcBorders>
                  <w:vAlign w:val="center"/>
                </w:tcPr>
                <w:p w14:paraId="49DBE72F">
                  <w:pPr>
                    <w:pStyle w:val="34"/>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s="Times New Roman"/>
                      <w:b/>
                      <w:color w:val="auto"/>
                      <w:sz w:val="18"/>
                      <w:szCs w:val="18"/>
                      <w:highlight w:val="none"/>
                    </w:rPr>
                  </w:pPr>
                  <w:r>
                    <w:rPr>
                      <w:rFonts w:hint="eastAsia" w:cs="Times New Roman"/>
                      <w:b/>
                      <w:color w:val="auto"/>
                      <w:sz w:val="18"/>
                      <w:szCs w:val="18"/>
                      <w:highlight w:val="none"/>
                      <w:lang w:val="en-US" w:eastAsia="zh-CN"/>
                    </w:rPr>
                    <w:t>改扩建后</w:t>
                  </w:r>
                  <w:r>
                    <w:rPr>
                      <w:rFonts w:hint="default" w:ascii="Times New Roman" w:hAnsi="Times New Roman" w:cs="Times New Roman"/>
                      <w:b/>
                      <w:color w:val="auto"/>
                      <w:sz w:val="18"/>
                      <w:szCs w:val="18"/>
                      <w:highlight w:val="none"/>
                    </w:rPr>
                    <w:t>建设内容及规模</w:t>
                  </w:r>
                </w:p>
              </w:tc>
              <w:tc>
                <w:tcPr>
                  <w:tcW w:w="930" w:type="pct"/>
                  <w:tcBorders>
                    <w:top w:val="single" w:color="auto" w:sz="6" w:space="0"/>
                    <w:right w:val="single" w:color="auto" w:sz="4" w:space="0"/>
                  </w:tcBorders>
                  <w:vAlign w:val="center"/>
                </w:tcPr>
                <w:p w14:paraId="01DC49CB">
                  <w:pPr>
                    <w:pStyle w:val="34"/>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备注</w:t>
                  </w:r>
                </w:p>
              </w:tc>
            </w:tr>
            <w:tr w14:paraId="025F8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437" w:hRule="atLeast"/>
                <w:jc w:val="center"/>
              </w:trPr>
              <w:tc>
                <w:tcPr>
                  <w:tcW w:w="773" w:type="pct"/>
                  <w:vMerge w:val="restart"/>
                  <w:vAlign w:val="center"/>
                </w:tcPr>
                <w:p w14:paraId="1BA27B0F">
                  <w:pPr>
                    <w:pStyle w:val="34"/>
                    <w:keepNext w:val="0"/>
                    <w:keepLines w:val="0"/>
                    <w:pageBreakBefore w:val="0"/>
                    <w:widowControl w:val="0"/>
                    <w:kinsoku/>
                    <w:wordWrap/>
                    <w:overflowPunct/>
                    <w:topLinePunct w:val="0"/>
                    <w:autoSpaceDE/>
                    <w:autoSpaceDN/>
                    <w:bidi w:val="0"/>
                    <w:adjustRightInd w:val="0"/>
                    <w:snapToGrid w:val="0"/>
                    <w:spacing w:after="0"/>
                    <w:ind w:left="59" w:leftChars="0" w:hanging="59" w:hangingChars="33"/>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主体工程</w:t>
                  </w:r>
                </w:p>
              </w:tc>
              <w:tc>
                <w:tcPr>
                  <w:tcW w:w="945" w:type="pct"/>
                  <w:vAlign w:val="center"/>
                </w:tcPr>
                <w:p w14:paraId="0E079BC0">
                  <w:pPr>
                    <w:pStyle w:val="9"/>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val="en-US" w:eastAsia="zh-CN"/>
                    </w:rPr>
                    <w:t>1#生产</w:t>
                  </w:r>
                  <w:r>
                    <w:rPr>
                      <w:rFonts w:hint="default" w:ascii="Times New Roman" w:hAnsi="Times New Roman" w:cs="Times New Roman"/>
                      <w:color w:val="auto"/>
                      <w:sz w:val="18"/>
                      <w:szCs w:val="18"/>
                      <w:highlight w:val="none"/>
                    </w:rPr>
                    <w:t>车间</w:t>
                  </w:r>
                </w:p>
              </w:tc>
              <w:tc>
                <w:tcPr>
                  <w:tcW w:w="1420" w:type="pct"/>
                  <w:tcBorders>
                    <w:right w:val="single" w:color="auto" w:sz="4" w:space="0"/>
                  </w:tcBorders>
                  <w:vAlign w:val="center"/>
                </w:tcPr>
                <w:p w14:paraId="352E5CF8">
                  <w:pPr>
                    <w:pStyle w:val="9"/>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rPr>
                    <w:t>1座，</w:t>
                  </w:r>
                  <w:r>
                    <w:rPr>
                      <w:rFonts w:hint="eastAsia" w:ascii="Times New Roman" w:hAnsi="Times New Roman"/>
                      <w:color w:val="auto"/>
                      <w:sz w:val="18"/>
                      <w:szCs w:val="18"/>
                      <w:highlight w:val="none"/>
                      <w:lang w:val="en-US" w:eastAsia="zh-CN"/>
                    </w:rPr>
                    <w:t>建筑面积</w:t>
                  </w:r>
                  <w:r>
                    <w:rPr>
                      <w:rFonts w:hint="eastAsia" w:ascii="Times New Roman" w:hAnsi="Times New Roman" w:cs="Times New Roman"/>
                      <w:color w:val="auto"/>
                      <w:sz w:val="18"/>
                      <w:szCs w:val="18"/>
                      <w:highlight w:val="none"/>
                      <w:lang w:val="en-US" w:eastAsia="zh-CN"/>
                    </w:rPr>
                    <w:t>864</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val="en-US" w:eastAsia="zh-CN"/>
                    </w:rPr>
                    <w:t>包括2条陶瓷纤维制品生产线，产能为200t/a陶瓷纤维制品</w:t>
                  </w:r>
                </w:p>
              </w:tc>
              <w:tc>
                <w:tcPr>
                  <w:tcW w:w="930" w:type="pct"/>
                  <w:tcBorders>
                    <w:right w:val="single" w:color="auto" w:sz="4" w:space="0"/>
                  </w:tcBorders>
                  <w:vAlign w:val="center"/>
                </w:tcPr>
                <w:p w14:paraId="7B9031FE">
                  <w:pPr>
                    <w:pStyle w:val="9"/>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cs="Times New Roman"/>
                      <w:color w:val="auto"/>
                      <w:sz w:val="18"/>
                      <w:szCs w:val="18"/>
                      <w:highlight w:val="none"/>
                      <w:lang w:val="en-US"/>
                    </w:rPr>
                  </w:pPr>
                  <w:r>
                    <w:rPr>
                      <w:rFonts w:hint="default" w:ascii="Times New Roman" w:hAnsi="Times New Roman" w:cs="Times New Roman"/>
                      <w:color w:val="auto"/>
                      <w:sz w:val="18"/>
                      <w:szCs w:val="18"/>
                      <w:highlight w:val="none"/>
                    </w:rPr>
                    <w:t>1座，</w:t>
                  </w:r>
                  <w:r>
                    <w:rPr>
                      <w:rFonts w:hint="eastAsia" w:ascii="Times New Roman" w:hAnsi="Times New Roman"/>
                      <w:color w:val="auto"/>
                      <w:sz w:val="18"/>
                      <w:szCs w:val="18"/>
                      <w:highlight w:val="none"/>
                      <w:lang w:val="en-US" w:eastAsia="zh-CN"/>
                    </w:rPr>
                    <w:t>建筑面积</w:t>
                  </w:r>
                  <w:r>
                    <w:rPr>
                      <w:rFonts w:hint="eastAsia" w:ascii="Times New Roman" w:hAnsi="Times New Roman" w:cs="Times New Roman"/>
                      <w:color w:val="auto"/>
                      <w:sz w:val="18"/>
                      <w:szCs w:val="18"/>
                      <w:highlight w:val="none"/>
                      <w:lang w:val="en-US" w:eastAsia="zh-CN"/>
                    </w:rPr>
                    <w:t>864</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val="en-US" w:eastAsia="zh-CN"/>
                    </w:rPr>
                    <w:t>包括2条陶瓷纤维制品生产线，产能为200t/a陶瓷纤维制品</w:t>
                  </w:r>
                </w:p>
              </w:tc>
              <w:tc>
                <w:tcPr>
                  <w:tcW w:w="930" w:type="pct"/>
                  <w:tcBorders>
                    <w:right w:val="single" w:color="auto" w:sz="4" w:space="0"/>
                  </w:tcBorders>
                  <w:vAlign w:val="center"/>
                </w:tcPr>
                <w:p w14:paraId="33B5F4F2">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eastAsia" w:ascii="Times New Roman" w:hAnsi="Times New Roman" w:eastAsia="宋体" w:cs="Times New Roman"/>
                      <w:color w:val="auto"/>
                      <w:sz w:val="18"/>
                      <w:szCs w:val="18"/>
                      <w:highlight w:val="none"/>
                      <w:lang w:eastAsia="zh-CN"/>
                    </w:rPr>
                  </w:pPr>
                  <w:r>
                    <w:rPr>
                      <w:rFonts w:hint="eastAsia" w:cs="Times New Roman"/>
                      <w:color w:val="auto"/>
                      <w:sz w:val="18"/>
                      <w:szCs w:val="18"/>
                      <w:highlight w:val="none"/>
                      <w:lang w:val="en-US" w:eastAsia="zh-CN"/>
                    </w:rPr>
                    <w:t>不变</w:t>
                  </w:r>
                </w:p>
              </w:tc>
            </w:tr>
            <w:tr w14:paraId="65750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437" w:hRule="atLeast"/>
                <w:jc w:val="center"/>
              </w:trPr>
              <w:tc>
                <w:tcPr>
                  <w:tcW w:w="773" w:type="pct"/>
                  <w:vMerge w:val="continue"/>
                  <w:vAlign w:val="center"/>
                </w:tcPr>
                <w:p w14:paraId="642E60F0">
                  <w:pPr>
                    <w:pStyle w:val="34"/>
                    <w:keepNext w:val="0"/>
                    <w:keepLines w:val="0"/>
                    <w:pageBreakBefore w:val="0"/>
                    <w:widowControl w:val="0"/>
                    <w:kinsoku/>
                    <w:wordWrap/>
                    <w:overflowPunct/>
                    <w:topLinePunct w:val="0"/>
                    <w:autoSpaceDE/>
                    <w:autoSpaceDN/>
                    <w:bidi w:val="0"/>
                    <w:adjustRightInd w:val="0"/>
                    <w:snapToGrid w:val="0"/>
                    <w:spacing w:after="0"/>
                    <w:ind w:left="59" w:leftChars="0" w:hanging="59" w:hangingChars="33"/>
                    <w:jc w:val="center"/>
                    <w:textAlignment w:val="auto"/>
                    <w:rPr>
                      <w:rFonts w:hint="default" w:ascii="Times New Roman" w:hAnsi="Times New Roman" w:cs="Times New Roman"/>
                      <w:color w:val="auto"/>
                      <w:sz w:val="18"/>
                      <w:szCs w:val="18"/>
                      <w:highlight w:val="none"/>
                    </w:rPr>
                  </w:pPr>
                </w:p>
              </w:tc>
              <w:tc>
                <w:tcPr>
                  <w:tcW w:w="945" w:type="pct"/>
                  <w:vAlign w:val="center"/>
                </w:tcPr>
                <w:p w14:paraId="7F573490">
                  <w:pPr>
                    <w:pStyle w:val="9"/>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2#生产</w:t>
                  </w:r>
                  <w:r>
                    <w:rPr>
                      <w:rFonts w:hint="default" w:ascii="Times New Roman" w:hAnsi="Times New Roman" w:cs="Times New Roman"/>
                      <w:color w:val="auto"/>
                      <w:sz w:val="18"/>
                      <w:szCs w:val="18"/>
                      <w:highlight w:val="none"/>
                    </w:rPr>
                    <w:t>车间</w:t>
                  </w:r>
                </w:p>
              </w:tc>
              <w:tc>
                <w:tcPr>
                  <w:tcW w:w="1420" w:type="pct"/>
                  <w:tcBorders>
                    <w:right w:val="single" w:color="auto" w:sz="4" w:space="0"/>
                  </w:tcBorders>
                  <w:vAlign w:val="center"/>
                </w:tcPr>
                <w:p w14:paraId="2306B1E0">
                  <w:pPr>
                    <w:pStyle w:val="9"/>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930" w:type="pct"/>
                  <w:tcBorders>
                    <w:right w:val="single" w:color="auto" w:sz="4" w:space="0"/>
                  </w:tcBorders>
                  <w:vAlign w:val="center"/>
                </w:tcPr>
                <w:p w14:paraId="69960BA2">
                  <w:pPr>
                    <w:pStyle w:val="9"/>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1座，</w:t>
                  </w:r>
                  <w:r>
                    <w:rPr>
                      <w:rFonts w:hint="eastAsia" w:ascii="Times New Roman" w:hAnsi="Times New Roman"/>
                      <w:color w:val="auto"/>
                      <w:sz w:val="18"/>
                      <w:szCs w:val="18"/>
                      <w:highlight w:val="none"/>
                      <w:lang w:val="en-US" w:eastAsia="zh-CN"/>
                    </w:rPr>
                    <w:t>建筑面积</w:t>
                  </w:r>
                  <w:r>
                    <w:rPr>
                      <w:rFonts w:hint="eastAsia" w:ascii="Times New Roman" w:hAnsi="Times New Roman" w:cs="Times New Roman"/>
                      <w:color w:val="auto"/>
                      <w:sz w:val="18"/>
                      <w:szCs w:val="18"/>
                      <w:highlight w:val="none"/>
                      <w:lang w:val="en-US" w:eastAsia="zh-CN"/>
                    </w:rPr>
                    <w:t>1700</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2</w:t>
                  </w: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val="en-US" w:eastAsia="zh-CN"/>
                    </w:rPr>
                    <w:t>新增1条陶瓷纤维制品生产线，产能为300t/a陶瓷纤维制品</w:t>
                  </w:r>
                </w:p>
              </w:tc>
              <w:tc>
                <w:tcPr>
                  <w:tcW w:w="930" w:type="pct"/>
                  <w:tcBorders>
                    <w:right w:val="single" w:color="auto" w:sz="4" w:space="0"/>
                  </w:tcBorders>
                  <w:vAlign w:val="center"/>
                </w:tcPr>
                <w:p w14:paraId="21D4837A">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本项目新增，利用现有厂房改建</w:t>
                  </w:r>
                </w:p>
              </w:tc>
            </w:tr>
            <w:tr w14:paraId="4667D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437" w:hRule="atLeast"/>
                <w:jc w:val="center"/>
              </w:trPr>
              <w:tc>
                <w:tcPr>
                  <w:tcW w:w="773" w:type="pct"/>
                  <w:vMerge w:val="restart"/>
                  <w:vAlign w:val="center"/>
                </w:tcPr>
                <w:p w14:paraId="706B49AD">
                  <w:pPr>
                    <w:pStyle w:val="34"/>
                    <w:keepNext w:val="0"/>
                    <w:keepLines w:val="0"/>
                    <w:pageBreakBefore w:val="0"/>
                    <w:widowControl w:val="0"/>
                    <w:kinsoku/>
                    <w:wordWrap/>
                    <w:overflowPunct/>
                    <w:topLinePunct w:val="0"/>
                    <w:autoSpaceDE/>
                    <w:autoSpaceDN/>
                    <w:bidi w:val="0"/>
                    <w:adjustRightInd w:val="0"/>
                    <w:snapToGrid w:val="0"/>
                    <w:spacing w:after="0"/>
                    <w:ind w:left="59" w:leftChars="0" w:hanging="59" w:hangingChars="33"/>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储运工程</w:t>
                  </w:r>
                </w:p>
              </w:tc>
              <w:tc>
                <w:tcPr>
                  <w:tcW w:w="945" w:type="pct"/>
                  <w:shd w:val="clear" w:color="auto" w:fill="auto"/>
                  <w:vAlign w:val="center"/>
                </w:tcPr>
                <w:p w14:paraId="154B9F4A">
                  <w:pPr>
                    <w:pStyle w:val="9"/>
                    <w:jc w:val="center"/>
                    <w:rPr>
                      <w:rFonts w:hint="default" w:ascii="Times New Roman" w:hAnsi="Times New Roman" w:eastAsia="宋体" w:cs="Times New Roman"/>
                      <w:bCs/>
                      <w:color w:val="auto"/>
                      <w:kern w:val="2"/>
                      <w:sz w:val="18"/>
                      <w:szCs w:val="18"/>
                      <w:highlight w:val="none"/>
                      <w:lang w:val="en-US" w:eastAsia="zh-CN" w:bidi="ar-SA"/>
                    </w:rPr>
                  </w:pPr>
                  <w:r>
                    <w:rPr>
                      <w:rFonts w:hint="eastAsia" w:ascii="Times New Roman" w:hAnsi="Times New Roman" w:cs="Times New Roman"/>
                      <w:bCs/>
                      <w:color w:val="auto"/>
                      <w:sz w:val="18"/>
                      <w:szCs w:val="18"/>
                      <w:highlight w:val="none"/>
                      <w:lang w:val="en-US" w:eastAsia="zh-CN"/>
                    </w:rPr>
                    <w:t>1-4#</w:t>
                  </w:r>
                  <w:r>
                    <w:rPr>
                      <w:rFonts w:ascii="Times New Roman" w:hAnsi="Times New Roman" w:cs="Times New Roman"/>
                      <w:bCs/>
                      <w:color w:val="auto"/>
                      <w:sz w:val="18"/>
                      <w:szCs w:val="18"/>
                      <w:highlight w:val="none"/>
                    </w:rPr>
                    <w:t>仓库</w:t>
                  </w:r>
                </w:p>
              </w:tc>
              <w:tc>
                <w:tcPr>
                  <w:tcW w:w="1420" w:type="pct"/>
                  <w:tcBorders>
                    <w:right w:val="single" w:color="auto" w:sz="4" w:space="0"/>
                  </w:tcBorders>
                  <w:shd w:val="clear" w:color="auto" w:fill="auto"/>
                  <w:vAlign w:val="center"/>
                </w:tcPr>
                <w:p w14:paraId="0FC3FE6D">
                  <w:pPr>
                    <w:pStyle w:val="9"/>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olor w:val="auto"/>
                      <w:sz w:val="18"/>
                      <w:szCs w:val="18"/>
                      <w:highlight w:val="none"/>
                      <w:lang w:val="en-US" w:eastAsia="zh-CN"/>
                    </w:rPr>
                    <w:t>4</w:t>
                  </w:r>
                  <w:r>
                    <w:rPr>
                      <w:rFonts w:hint="eastAsia" w:ascii="Times New Roman" w:hAnsi="Times New Roman"/>
                      <w:color w:val="auto"/>
                      <w:sz w:val="18"/>
                      <w:szCs w:val="18"/>
                      <w:highlight w:val="none"/>
                    </w:rPr>
                    <w:t>间</w:t>
                  </w:r>
                  <w:r>
                    <w:rPr>
                      <w:rFonts w:ascii="Times New Roman" w:hAnsi="Times New Roman"/>
                      <w:color w:val="auto"/>
                      <w:sz w:val="18"/>
                      <w:szCs w:val="18"/>
                      <w:highlight w:val="none"/>
                    </w:rPr>
                    <w:t>，</w:t>
                  </w:r>
                  <w:r>
                    <w:rPr>
                      <w:rFonts w:hint="eastAsia" w:ascii="Times New Roman" w:hAnsi="Times New Roman"/>
                      <w:color w:val="auto"/>
                      <w:sz w:val="18"/>
                      <w:szCs w:val="18"/>
                      <w:highlight w:val="none"/>
                      <w:lang w:val="en-US" w:eastAsia="zh-CN"/>
                    </w:rPr>
                    <w:t>建筑面积总计11</w:t>
                  </w:r>
                  <w:r>
                    <w:rPr>
                      <w:rFonts w:ascii="Times New Roman" w:hAnsi="Times New Roman"/>
                      <w:color w:val="auto"/>
                      <w:sz w:val="18"/>
                      <w:szCs w:val="18"/>
                      <w:highlight w:val="none"/>
                    </w:rPr>
                    <w:t>00m</w:t>
                  </w:r>
                  <w:r>
                    <w:rPr>
                      <w:rFonts w:ascii="Times New Roman" w:hAnsi="Times New Roman"/>
                      <w:color w:val="auto"/>
                      <w:sz w:val="18"/>
                      <w:szCs w:val="18"/>
                      <w:highlight w:val="none"/>
                      <w:vertAlign w:val="superscript"/>
                    </w:rPr>
                    <w:t>2</w:t>
                  </w:r>
                  <w:r>
                    <w:rPr>
                      <w:rFonts w:hint="eastAsia" w:ascii="Times New Roman" w:hAnsi="Times New Roman"/>
                      <w:color w:val="auto"/>
                      <w:sz w:val="18"/>
                      <w:szCs w:val="18"/>
                      <w:highlight w:val="none"/>
                    </w:rPr>
                    <w:t>，</w:t>
                  </w:r>
                  <w:r>
                    <w:rPr>
                      <w:rFonts w:hint="eastAsia" w:ascii="Times New Roman" w:hAnsi="Times New Roman"/>
                      <w:color w:val="auto"/>
                      <w:sz w:val="18"/>
                      <w:szCs w:val="18"/>
                      <w:highlight w:val="none"/>
                      <w:lang w:val="en-US" w:eastAsia="zh-CN"/>
                    </w:rPr>
                    <w:t>用于储存成品</w:t>
                  </w:r>
                </w:p>
              </w:tc>
              <w:tc>
                <w:tcPr>
                  <w:tcW w:w="930" w:type="pct"/>
                  <w:tcBorders>
                    <w:right w:val="single" w:color="auto" w:sz="4" w:space="0"/>
                  </w:tcBorders>
                  <w:vAlign w:val="center"/>
                </w:tcPr>
                <w:p w14:paraId="4586B626">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cs="Times New Roman"/>
                      <w:color w:val="auto"/>
                      <w:sz w:val="18"/>
                      <w:szCs w:val="18"/>
                      <w:highlight w:val="none"/>
                    </w:rPr>
                  </w:pPr>
                  <w:r>
                    <w:rPr>
                      <w:rFonts w:hint="eastAsia" w:ascii="Times New Roman" w:hAnsi="Times New Roman"/>
                      <w:color w:val="auto"/>
                      <w:sz w:val="18"/>
                      <w:szCs w:val="18"/>
                      <w:highlight w:val="none"/>
                      <w:lang w:val="en-US" w:eastAsia="zh-CN"/>
                    </w:rPr>
                    <w:t>4</w:t>
                  </w:r>
                  <w:r>
                    <w:rPr>
                      <w:rFonts w:hint="eastAsia" w:ascii="Times New Roman" w:hAnsi="Times New Roman"/>
                      <w:color w:val="auto"/>
                      <w:sz w:val="18"/>
                      <w:szCs w:val="18"/>
                      <w:highlight w:val="none"/>
                    </w:rPr>
                    <w:t>间</w:t>
                  </w:r>
                  <w:r>
                    <w:rPr>
                      <w:rFonts w:ascii="Times New Roman" w:hAnsi="Times New Roman"/>
                      <w:color w:val="auto"/>
                      <w:sz w:val="18"/>
                      <w:szCs w:val="18"/>
                      <w:highlight w:val="none"/>
                    </w:rPr>
                    <w:t>，</w:t>
                  </w:r>
                  <w:r>
                    <w:rPr>
                      <w:rFonts w:hint="eastAsia" w:ascii="Times New Roman" w:hAnsi="Times New Roman"/>
                      <w:color w:val="auto"/>
                      <w:sz w:val="18"/>
                      <w:szCs w:val="18"/>
                      <w:highlight w:val="none"/>
                      <w:lang w:val="en-US" w:eastAsia="zh-CN"/>
                    </w:rPr>
                    <w:t>11</w:t>
                  </w:r>
                  <w:r>
                    <w:rPr>
                      <w:rFonts w:ascii="Times New Roman" w:hAnsi="Times New Roman"/>
                      <w:color w:val="auto"/>
                      <w:sz w:val="18"/>
                      <w:szCs w:val="18"/>
                      <w:highlight w:val="none"/>
                    </w:rPr>
                    <w:t>00m</w:t>
                  </w:r>
                  <w:r>
                    <w:rPr>
                      <w:rFonts w:ascii="Times New Roman" w:hAnsi="Times New Roman"/>
                      <w:color w:val="auto"/>
                      <w:sz w:val="18"/>
                      <w:szCs w:val="18"/>
                      <w:highlight w:val="none"/>
                      <w:vertAlign w:val="superscript"/>
                    </w:rPr>
                    <w:t>2</w:t>
                  </w:r>
                  <w:r>
                    <w:rPr>
                      <w:rFonts w:hint="eastAsia" w:ascii="Times New Roman" w:hAnsi="Times New Roman"/>
                      <w:color w:val="auto"/>
                      <w:sz w:val="18"/>
                      <w:szCs w:val="18"/>
                      <w:highlight w:val="none"/>
                    </w:rPr>
                    <w:t>，</w:t>
                  </w:r>
                  <w:r>
                    <w:rPr>
                      <w:rFonts w:hint="eastAsia" w:ascii="Times New Roman" w:hAnsi="Times New Roman"/>
                      <w:color w:val="auto"/>
                      <w:sz w:val="18"/>
                      <w:szCs w:val="18"/>
                      <w:highlight w:val="none"/>
                      <w:lang w:val="en-US" w:eastAsia="zh-CN"/>
                    </w:rPr>
                    <w:t>用于储存成品</w:t>
                  </w:r>
                </w:p>
              </w:tc>
              <w:tc>
                <w:tcPr>
                  <w:tcW w:w="930" w:type="pct"/>
                  <w:tcBorders>
                    <w:right w:val="single" w:color="auto" w:sz="4" w:space="0"/>
                  </w:tcBorders>
                  <w:vAlign w:val="center"/>
                </w:tcPr>
                <w:p w14:paraId="5BF25865">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不变</w:t>
                  </w:r>
                </w:p>
              </w:tc>
            </w:tr>
            <w:tr w14:paraId="6F746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437" w:hRule="atLeast"/>
                <w:jc w:val="center"/>
              </w:trPr>
              <w:tc>
                <w:tcPr>
                  <w:tcW w:w="773" w:type="pct"/>
                  <w:vMerge w:val="continue"/>
                  <w:vAlign w:val="center"/>
                </w:tcPr>
                <w:p w14:paraId="41A46189">
                  <w:pPr>
                    <w:pStyle w:val="34"/>
                    <w:keepNext w:val="0"/>
                    <w:keepLines w:val="0"/>
                    <w:pageBreakBefore w:val="0"/>
                    <w:widowControl w:val="0"/>
                    <w:kinsoku/>
                    <w:wordWrap/>
                    <w:overflowPunct/>
                    <w:topLinePunct w:val="0"/>
                    <w:autoSpaceDE/>
                    <w:autoSpaceDN/>
                    <w:bidi w:val="0"/>
                    <w:adjustRightInd w:val="0"/>
                    <w:snapToGrid w:val="0"/>
                    <w:spacing w:after="0"/>
                    <w:ind w:left="59" w:leftChars="0" w:hanging="59" w:hangingChars="33"/>
                    <w:jc w:val="center"/>
                    <w:textAlignment w:val="auto"/>
                    <w:rPr>
                      <w:rFonts w:hint="eastAsia" w:cs="Times New Roman"/>
                      <w:color w:val="auto"/>
                      <w:sz w:val="18"/>
                      <w:szCs w:val="18"/>
                      <w:highlight w:val="none"/>
                      <w:lang w:val="en-US" w:eastAsia="zh-CN"/>
                    </w:rPr>
                  </w:pPr>
                </w:p>
              </w:tc>
              <w:tc>
                <w:tcPr>
                  <w:tcW w:w="945" w:type="pct"/>
                  <w:shd w:val="clear" w:color="auto" w:fill="auto"/>
                  <w:vAlign w:val="center"/>
                </w:tcPr>
                <w:p w14:paraId="44B6C9E7">
                  <w:pPr>
                    <w:pStyle w:val="9"/>
                    <w:jc w:val="center"/>
                    <w:rPr>
                      <w:rFonts w:ascii="Times New Roman" w:hAnsi="Times New Roman" w:cs="Times New Roman"/>
                      <w:bCs/>
                      <w:color w:val="auto"/>
                      <w:sz w:val="18"/>
                      <w:szCs w:val="18"/>
                      <w:highlight w:val="none"/>
                    </w:rPr>
                  </w:pPr>
                  <w:r>
                    <w:rPr>
                      <w:rFonts w:hint="eastAsia" w:ascii="Times New Roman" w:hAnsi="Times New Roman" w:cs="Times New Roman"/>
                      <w:bCs/>
                      <w:color w:val="auto"/>
                      <w:sz w:val="18"/>
                      <w:szCs w:val="18"/>
                      <w:highlight w:val="none"/>
                      <w:lang w:val="en-US" w:eastAsia="zh-CN"/>
                    </w:rPr>
                    <w:t>5#</w:t>
                  </w:r>
                  <w:r>
                    <w:rPr>
                      <w:rFonts w:ascii="Times New Roman" w:hAnsi="Times New Roman" w:cs="Times New Roman"/>
                      <w:bCs/>
                      <w:color w:val="auto"/>
                      <w:sz w:val="18"/>
                      <w:szCs w:val="18"/>
                      <w:highlight w:val="none"/>
                    </w:rPr>
                    <w:t>仓库</w:t>
                  </w:r>
                </w:p>
              </w:tc>
              <w:tc>
                <w:tcPr>
                  <w:tcW w:w="1420" w:type="pct"/>
                  <w:tcBorders>
                    <w:right w:val="single" w:color="auto" w:sz="4" w:space="0"/>
                  </w:tcBorders>
                  <w:shd w:val="clear" w:color="auto" w:fill="auto"/>
                  <w:vAlign w:val="center"/>
                </w:tcPr>
                <w:p w14:paraId="20DEF8AB">
                  <w:pPr>
                    <w:pStyle w:val="9"/>
                    <w:jc w:val="center"/>
                    <w:rPr>
                      <w:rFonts w:hint="eastAsia" w:ascii="Times New Roman" w:hAnsi="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930" w:type="pct"/>
                  <w:tcBorders>
                    <w:right w:val="single" w:color="auto" w:sz="4" w:space="0"/>
                  </w:tcBorders>
                  <w:vAlign w:val="center"/>
                </w:tcPr>
                <w:p w14:paraId="031B2FA4">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eastAsia" w:ascii="Times New Roman" w:hAnsi="Times New Roman"/>
                      <w:color w:val="auto"/>
                      <w:sz w:val="18"/>
                      <w:szCs w:val="18"/>
                      <w:highlight w:val="none"/>
                      <w:lang w:val="en-US" w:eastAsia="zh-CN"/>
                    </w:rPr>
                  </w:pPr>
                  <w:r>
                    <w:rPr>
                      <w:rFonts w:hint="eastAsia" w:ascii="Times New Roman" w:hAnsi="Times New Roman"/>
                      <w:color w:val="auto"/>
                      <w:sz w:val="18"/>
                      <w:szCs w:val="18"/>
                      <w:highlight w:val="none"/>
                      <w:lang w:val="en-US" w:eastAsia="zh-CN"/>
                    </w:rPr>
                    <w:t>1间，建筑面积总计1</w:t>
                  </w:r>
                  <w:r>
                    <w:rPr>
                      <w:rFonts w:hint="eastAsia"/>
                      <w:color w:val="auto"/>
                      <w:sz w:val="18"/>
                      <w:szCs w:val="18"/>
                      <w:highlight w:val="none"/>
                      <w:lang w:val="en-US" w:eastAsia="zh-CN"/>
                    </w:rPr>
                    <w:t>0</w:t>
                  </w:r>
                  <w:r>
                    <w:rPr>
                      <w:rFonts w:ascii="Times New Roman" w:hAnsi="Times New Roman"/>
                      <w:color w:val="auto"/>
                      <w:sz w:val="18"/>
                      <w:szCs w:val="18"/>
                      <w:highlight w:val="none"/>
                    </w:rPr>
                    <w:t>00m</w:t>
                  </w:r>
                  <w:r>
                    <w:rPr>
                      <w:rFonts w:ascii="Times New Roman" w:hAnsi="Times New Roman"/>
                      <w:color w:val="auto"/>
                      <w:sz w:val="18"/>
                      <w:szCs w:val="18"/>
                      <w:highlight w:val="none"/>
                      <w:vertAlign w:val="superscript"/>
                    </w:rPr>
                    <w:t>2</w:t>
                  </w:r>
                  <w:r>
                    <w:rPr>
                      <w:rFonts w:hint="eastAsia" w:ascii="Times New Roman" w:hAnsi="Times New Roman"/>
                      <w:color w:val="auto"/>
                      <w:sz w:val="18"/>
                      <w:szCs w:val="18"/>
                      <w:highlight w:val="none"/>
                    </w:rPr>
                    <w:t>，</w:t>
                  </w:r>
                  <w:r>
                    <w:rPr>
                      <w:rFonts w:hint="eastAsia" w:ascii="Times New Roman" w:hAnsi="Times New Roman"/>
                      <w:color w:val="auto"/>
                      <w:sz w:val="18"/>
                      <w:szCs w:val="18"/>
                      <w:highlight w:val="none"/>
                      <w:lang w:val="en-US" w:eastAsia="zh-CN"/>
                    </w:rPr>
                    <w:t>用于成品</w:t>
                  </w:r>
                </w:p>
              </w:tc>
              <w:tc>
                <w:tcPr>
                  <w:tcW w:w="930" w:type="pct"/>
                  <w:tcBorders>
                    <w:right w:val="single" w:color="auto" w:sz="4" w:space="0"/>
                  </w:tcBorders>
                  <w:vAlign w:val="center"/>
                </w:tcPr>
                <w:p w14:paraId="2C9612C7">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本项目新增，利用现有厂房改建</w:t>
                  </w:r>
                </w:p>
              </w:tc>
            </w:tr>
            <w:tr w14:paraId="2D5BC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437" w:hRule="atLeast"/>
                <w:jc w:val="center"/>
              </w:trPr>
              <w:tc>
                <w:tcPr>
                  <w:tcW w:w="773" w:type="pct"/>
                  <w:vMerge w:val="restart"/>
                  <w:vAlign w:val="center"/>
                </w:tcPr>
                <w:p w14:paraId="17F38DAF">
                  <w:pPr>
                    <w:pStyle w:val="34"/>
                    <w:keepNext w:val="0"/>
                    <w:keepLines w:val="0"/>
                    <w:pageBreakBefore w:val="0"/>
                    <w:widowControl w:val="0"/>
                    <w:kinsoku/>
                    <w:wordWrap/>
                    <w:overflowPunct/>
                    <w:topLinePunct w:val="0"/>
                    <w:autoSpaceDE/>
                    <w:autoSpaceDN/>
                    <w:bidi w:val="0"/>
                    <w:adjustRightInd w:val="0"/>
                    <w:snapToGrid w:val="0"/>
                    <w:spacing w:after="0"/>
                    <w:ind w:left="59" w:leftChars="0" w:hanging="59" w:hangingChars="33"/>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辅助工程</w:t>
                  </w:r>
                </w:p>
              </w:tc>
              <w:tc>
                <w:tcPr>
                  <w:tcW w:w="945" w:type="pct"/>
                  <w:shd w:val="clear" w:color="auto" w:fill="auto"/>
                  <w:vAlign w:val="center"/>
                </w:tcPr>
                <w:p w14:paraId="43E9A498">
                  <w:pPr>
                    <w:pStyle w:val="9"/>
                    <w:jc w:val="center"/>
                    <w:rPr>
                      <w:rFonts w:hint="default" w:ascii="Times New Roman" w:hAnsi="Times New Roman" w:eastAsia="宋体" w:cs="Times New Roman"/>
                      <w:bCs/>
                      <w:color w:val="auto"/>
                      <w:kern w:val="2"/>
                      <w:sz w:val="18"/>
                      <w:szCs w:val="18"/>
                      <w:highlight w:val="none"/>
                      <w:lang w:val="en-US" w:eastAsia="zh-CN" w:bidi="ar-SA"/>
                    </w:rPr>
                  </w:pPr>
                  <w:r>
                    <w:rPr>
                      <w:rFonts w:hint="eastAsia" w:ascii="Times New Roman" w:hAnsi="Times New Roman" w:cs="Times New Roman"/>
                      <w:bCs/>
                      <w:color w:val="auto"/>
                      <w:sz w:val="18"/>
                      <w:szCs w:val="18"/>
                      <w:highlight w:val="none"/>
                      <w:lang w:val="en-US" w:eastAsia="zh-CN"/>
                    </w:rPr>
                    <w:t>1#</w:t>
                  </w:r>
                  <w:r>
                    <w:rPr>
                      <w:rFonts w:hint="eastAsia" w:ascii="Times New Roman" w:hAnsi="Times New Roman" w:cs="Times New Roman"/>
                      <w:bCs/>
                      <w:color w:val="auto"/>
                      <w:sz w:val="18"/>
                      <w:szCs w:val="18"/>
                      <w:highlight w:val="none"/>
                    </w:rPr>
                    <w:t>办公室</w:t>
                  </w:r>
                </w:p>
              </w:tc>
              <w:tc>
                <w:tcPr>
                  <w:tcW w:w="1420" w:type="pct"/>
                  <w:tcBorders>
                    <w:right w:val="single" w:color="auto" w:sz="4" w:space="0"/>
                  </w:tcBorders>
                  <w:shd w:val="clear" w:color="auto" w:fill="auto"/>
                  <w:vAlign w:val="center"/>
                </w:tcPr>
                <w:p w14:paraId="0B02D9FD">
                  <w:pPr>
                    <w:pStyle w:val="9"/>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olor w:val="auto"/>
                      <w:sz w:val="18"/>
                      <w:szCs w:val="18"/>
                      <w:highlight w:val="none"/>
                    </w:rPr>
                    <w:t>1间，</w:t>
                  </w:r>
                  <w:r>
                    <w:rPr>
                      <w:rFonts w:hint="eastAsia" w:ascii="Times New Roman" w:hAnsi="Times New Roman"/>
                      <w:color w:val="auto"/>
                      <w:sz w:val="18"/>
                      <w:szCs w:val="18"/>
                      <w:highlight w:val="none"/>
                      <w:lang w:val="en-US" w:eastAsia="zh-CN"/>
                    </w:rPr>
                    <w:t>建筑面积</w:t>
                  </w:r>
                  <w:r>
                    <w:rPr>
                      <w:rFonts w:hint="eastAsia" w:ascii="Times New Roman" w:hAnsi="Times New Roman"/>
                      <w:color w:val="auto"/>
                      <w:sz w:val="18"/>
                      <w:szCs w:val="18"/>
                      <w:highlight w:val="none"/>
                    </w:rPr>
                    <w:t>1</w:t>
                  </w:r>
                  <w:r>
                    <w:rPr>
                      <w:rFonts w:ascii="Times New Roman" w:hAnsi="Times New Roman"/>
                      <w:color w:val="auto"/>
                      <w:sz w:val="18"/>
                      <w:szCs w:val="18"/>
                      <w:highlight w:val="none"/>
                    </w:rPr>
                    <w:t>05m</w:t>
                  </w:r>
                  <w:r>
                    <w:rPr>
                      <w:rFonts w:ascii="Times New Roman" w:hAnsi="Times New Roman"/>
                      <w:color w:val="auto"/>
                      <w:sz w:val="18"/>
                      <w:szCs w:val="18"/>
                      <w:highlight w:val="none"/>
                      <w:vertAlign w:val="superscript"/>
                    </w:rPr>
                    <w:t>2</w:t>
                  </w:r>
                </w:p>
              </w:tc>
              <w:tc>
                <w:tcPr>
                  <w:tcW w:w="930" w:type="pct"/>
                  <w:tcBorders>
                    <w:right w:val="single" w:color="auto" w:sz="4" w:space="0"/>
                  </w:tcBorders>
                  <w:shd w:val="clear" w:color="auto" w:fill="auto"/>
                  <w:vAlign w:val="center"/>
                </w:tcPr>
                <w:p w14:paraId="15F9C3DE">
                  <w:pPr>
                    <w:pStyle w:val="9"/>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olor w:val="auto"/>
                      <w:sz w:val="18"/>
                      <w:szCs w:val="18"/>
                      <w:highlight w:val="none"/>
                    </w:rPr>
                    <w:t>1间，</w:t>
                  </w:r>
                  <w:r>
                    <w:rPr>
                      <w:rFonts w:hint="eastAsia" w:ascii="Times New Roman" w:hAnsi="Times New Roman"/>
                      <w:color w:val="auto"/>
                      <w:sz w:val="18"/>
                      <w:szCs w:val="18"/>
                      <w:highlight w:val="none"/>
                      <w:lang w:val="en-US" w:eastAsia="zh-CN"/>
                    </w:rPr>
                    <w:t>建筑面积</w:t>
                  </w:r>
                  <w:r>
                    <w:rPr>
                      <w:rFonts w:hint="eastAsia" w:ascii="Times New Roman" w:hAnsi="Times New Roman"/>
                      <w:color w:val="auto"/>
                      <w:sz w:val="18"/>
                      <w:szCs w:val="18"/>
                      <w:highlight w:val="none"/>
                    </w:rPr>
                    <w:t>1</w:t>
                  </w:r>
                  <w:r>
                    <w:rPr>
                      <w:rFonts w:ascii="Times New Roman" w:hAnsi="Times New Roman"/>
                      <w:color w:val="auto"/>
                      <w:sz w:val="18"/>
                      <w:szCs w:val="18"/>
                      <w:highlight w:val="none"/>
                    </w:rPr>
                    <w:t>05m</w:t>
                  </w:r>
                  <w:r>
                    <w:rPr>
                      <w:rFonts w:ascii="Times New Roman" w:hAnsi="Times New Roman"/>
                      <w:color w:val="auto"/>
                      <w:sz w:val="18"/>
                      <w:szCs w:val="18"/>
                      <w:highlight w:val="none"/>
                      <w:vertAlign w:val="superscript"/>
                    </w:rPr>
                    <w:t>2</w:t>
                  </w:r>
                </w:p>
              </w:tc>
              <w:tc>
                <w:tcPr>
                  <w:tcW w:w="930" w:type="pct"/>
                  <w:tcBorders>
                    <w:right w:val="single" w:color="auto" w:sz="4" w:space="0"/>
                  </w:tcBorders>
                  <w:vAlign w:val="center"/>
                </w:tcPr>
                <w:p w14:paraId="3ACECF67">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不变</w:t>
                  </w:r>
                </w:p>
              </w:tc>
            </w:tr>
            <w:tr w14:paraId="62E3B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437" w:hRule="atLeast"/>
                <w:jc w:val="center"/>
              </w:trPr>
              <w:tc>
                <w:tcPr>
                  <w:tcW w:w="773" w:type="pct"/>
                  <w:vMerge w:val="continue"/>
                  <w:vAlign w:val="center"/>
                </w:tcPr>
                <w:p w14:paraId="27FF6554">
                  <w:pPr>
                    <w:pStyle w:val="34"/>
                    <w:keepNext w:val="0"/>
                    <w:keepLines w:val="0"/>
                    <w:pageBreakBefore w:val="0"/>
                    <w:widowControl w:val="0"/>
                    <w:kinsoku/>
                    <w:wordWrap/>
                    <w:overflowPunct/>
                    <w:topLinePunct w:val="0"/>
                    <w:autoSpaceDE/>
                    <w:autoSpaceDN/>
                    <w:bidi w:val="0"/>
                    <w:adjustRightInd w:val="0"/>
                    <w:snapToGrid w:val="0"/>
                    <w:spacing w:after="0"/>
                    <w:ind w:left="59" w:leftChars="0" w:hanging="59" w:hangingChars="33"/>
                    <w:jc w:val="center"/>
                    <w:textAlignment w:val="auto"/>
                    <w:rPr>
                      <w:rFonts w:hint="default" w:ascii="Times New Roman" w:hAnsi="Times New Roman" w:cs="Times New Roman"/>
                      <w:color w:val="auto"/>
                      <w:sz w:val="18"/>
                      <w:szCs w:val="18"/>
                      <w:highlight w:val="none"/>
                    </w:rPr>
                  </w:pPr>
                </w:p>
              </w:tc>
              <w:tc>
                <w:tcPr>
                  <w:tcW w:w="945" w:type="pct"/>
                  <w:shd w:val="clear" w:color="auto" w:fill="auto"/>
                  <w:vAlign w:val="center"/>
                </w:tcPr>
                <w:p w14:paraId="3956B808">
                  <w:pPr>
                    <w:pStyle w:val="9"/>
                    <w:jc w:val="center"/>
                    <w:rPr>
                      <w:rFonts w:hint="default" w:ascii="Times New Roman" w:hAnsi="Times New Roman" w:eastAsia="宋体" w:cs="Times New Roman"/>
                      <w:bCs/>
                      <w:color w:val="auto"/>
                      <w:sz w:val="18"/>
                      <w:szCs w:val="18"/>
                      <w:highlight w:val="none"/>
                      <w:lang w:val="en-US" w:eastAsia="zh-CN"/>
                    </w:rPr>
                  </w:pPr>
                  <w:r>
                    <w:rPr>
                      <w:rFonts w:hint="eastAsia" w:ascii="Times New Roman" w:hAnsi="Times New Roman" w:cs="Times New Roman"/>
                      <w:bCs/>
                      <w:color w:val="auto"/>
                      <w:sz w:val="18"/>
                      <w:szCs w:val="18"/>
                      <w:highlight w:val="none"/>
                      <w:lang w:val="en-US" w:eastAsia="zh-CN"/>
                    </w:rPr>
                    <w:t>2#办公室</w:t>
                  </w:r>
                </w:p>
              </w:tc>
              <w:tc>
                <w:tcPr>
                  <w:tcW w:w="1420" w:type="pct"/>
                  <w:tcBorders>
                    <w:right w:val="single" w:color="auto" w:sz="4" w:space="0"/>
                  </w:tcBorders>
                  <w:shd w:val="clear" w:color="auto" w:fill="auto"/>
                  <w:vAlign w:val="center"/>
                </w:tcPr>
                <w:p w14:paraId="470700E5">
                  <w:pPr>
                    <w:pStyle w:val="9"/>
                    <w:jc w:val="center"/>
                    <w:rPr>
                      <w:rFonts w:hint="default" w:ascii="Times New Roman" w:hAnsi="Times New Roman" w:eastAsia="宋体"/>
                      <w:color w:val="auto"/>
                      <w:sz w:val="18"/>
                      <w:szCs w:val="18"/>
                      <w:highlight w:val="none"/>
                      <w:vertAlign w:val="baseline"/>
                      <w:lang w:val="en-US" w:eastAsia="zh-CN"/>
                    </w:rPr>
                  </w:pPr>
                  <w:r>
                    <w:rPr>
                      <w:rFonts w:hint="eastAsia" w:ascii="Times New Roman" w:hAnsi="Times New Roman" w:cs="Times New Roman"/>
                      <w:color w:val="auto"/>
                      <w:sz w:val="18"/>
                      <w:szCs w:val="18"/>
                      <w:highlight w:val="none"/>
                      <w:lang w:val="en-US" w:eastAsia="zh-CN"/>
                    </w:rPr>
                    <w:t>/</w:t>
                  </w:r>
                </w:p>
              </w:tc>
              <w:tc>
                <w:tcPr>
                  <w:tcW w:w="930" w:type="pct"/>
                  <w:tcBorders>
                    <w:right w:val="single" w:color="auto" w:sz="4" w:space="0"/>
                  </w:tcBorders>
                  <w:shd w:val="clear" w:color="auto" w:fill="auto"/>
                  <w:vAlign w:val="center"/>
                </w:tcPr>
                <w:p w14:paraId="4988D879">
                  <w:pPr>
                    <w:pStyle w:val="9"/>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3层</w:t>
                  </w:r>
                  <w:r>
                    <w:rPr>
                      <w:rFonts w:hint="eastAsia" w:ascii="Times New Roman" w:hAnsi="Times New Roman"/>
                      <w:color w:val="auto"/>
                      <w:sz w:val="18"/>
                      <w:szCs w:val="18"/>
                      <w:highlight w:val="none"/>
                    </w:rPr>
                    <w:t>，</w:t>
                  </w:r>
                  <w:r>
                    <w:rPr>
                      <w:rFonts w:hint="eastAsia" w:ascii="Times New Roman" w:hAnsi="Times New Roman"/>
                      <w:color w:val="auto"/>
                      <w:sz w:val="18"/>
                      <w:szCs w:val="18"/>
                      <w:highlight w:val="none"/>
                      <w:lang w:val="en-US" w:eastAsia="zh-CN"/>
                    </w:rPr>
                    <w:t>占地面积120</w:t>
                  </w:r>
                  <w:r>
                    <w:rPr>
                      <w:rFonts w:ascii="Times New Roman" w:hAnsi="Times New Roman"/>
                      <w:color w:val="auto"/>
                      <w:sz w:val="18"/>
                      <w:szCs w:val="18"/>
                      <w:highlight w:val="none"/>
                    </w:rPr>
                    <w:t>m</w:t>
                  </w:r>
                  <w:r>
                    <w:rPr>
                      <w:rFonts w:ascii="Times New Roman" w:hAnsi="Times New Roman"/>
                      <w:color w:val="auto"/>
                      <w:sz w:val="18"/>
                      <w:szCs w:val="18"/>
                      <w:highlight w:val="none"/>
                      <w:vertAlign w:val="superscript"/>
                    </w:rPr>
                    <w:t>2</w:t>
                  </w:r>
                  <w:r>
                    <w:rPr>
                      <w:rFonts w:hint="eastAsia" w:ascii="Times New Roman" w:hAnsi="Times New Roman"/>
                      <w:color w:val="auto"/>
                      <w:sz w:val="18"/>
                      <w:szCs w:val="18"/>
                      <w:highlight w:val="none"/>
                      <w:vertAlign w:val="baseline"/>
                      <w:lang w:eastAsia="zh-CN"/>
                    </w:rPr>
                    <w:t>，</w:t>
                  </w:r>
                  <w:r>
                    <w:rPr>
                      <w:rFonts w:hint="eastAsia" w:ascii="Times New Roman" w:hAnsi="Times New Roman"/>
                      <w:color w:val="auto"/>
                      <w:sz w:val="18"/>
                      <w:szCs w:val="18"/>
                      <w:highlight w:val="none"/>
                      <w:vertAlign w:val="baseline"/>
                      <w:lang w:val="en-US" w:eastAsia="zh-CN"/>
                    </w:rPr>
                    <w:t>建筑面积360</w:t>
                  </w:r>
                  <w:r>
                    <w:rPr>
                      <w:rFonts w:ascii="Times New Roman" w:hAnsi="Times New Roman"/>
                      <w:color w:val="auto"/>
                      <w:sz w:val="18"/>
                      <w:szCs w:val="18"/>
                      <w:highlight w:val="none"/>
                    </w:rPr>
                    <w:t>m</w:t>
                  </w:r>
                  <w:r>
                    <w:rPr>
                      <w:rFonts w:ascii="Times New Roman" w:hAnsi="Times New Roman"/>
                      <w:color w:val="auto"/>
                      <w:sz w:val="18"/>
                      <w:szCs w:val="18"/>
                      <w:highlight w:val="none"/>
                      <w:vertAlign w:val="superscript"/>
                    </w:rPr>
                    <w:t>2</w:t>
                  </w:r>
                </w:p>
              </w:tc>
              <w:tc>
                <w:tcPr>
                  <w:tcW w:w="930" w:type="pct"/>
                  <w:tcBorders>
                    <w:right w:val="single" w:color="auto" w:sz="4" w:space="0"/>
                  </w:tcBorders>
                  <w:vAlign w:val="center"/>
                </w:tcPr>
                <w:p w14:paraId="49832C4F">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本项目新增，利用房屋改建</w:t>
                  </w:r>
                </w:p>
              </w:tc>
            </w:tr>
            <w:tr w14:paraId="69280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437" w:hRule="atLeast"/>
                <w:jc w:val="center"/>
              </w:trPr>
              <w:tc>
                <w:tcPr>
                  <w:tcW w:w="773" w:type="pct"/>
                  <w:vMerge w:val="continue"/>
                  <w:vAlign w:val="center"/>
                </w:tcPr>
                <w:p w14:paraId="2386B074">
                  <w:pPr>
                    <w:pStyle w:val="34"/>
                    <w:keepNext w:val="0"/>
                    <w:keepLines w:val="0"/>
                    <w:pageBreakBefore w:val="0"/>
                    <w:widowControl w:val="0"/>
                    <w:kinsoku/>
                    <w:wordWrap/>
                    <w:overflowPunct/>
                    <w:topLinePunct w:val="0"/>
                    <w:autoSpaceDE/>
                    <w:autoSpaceDN/>
                    <w:bidi w:val="0"/>
                    <w:adjustRightInd w:val="0"/>
                    <w:snapToGrid w:val="0"/>
                    <w:spacing w:after="0"/>
                    <w:ind w:left="59" w:leftChars="0" w:hanging="59" w:hangingChars="33"/>
                    <w:jc w:val="center"/>
                    <w:textAlignment w:val="auto"/>
                    <w:rPr>
                      <w:rFonts w:hint="default" w:ascii="Times New Roman" w:hAnsi="Times New Roman" w:cs="Times New Roman"/>
                      <w:color w:val="auto"/>
                      <w:sz w:val="18"/>
                      <w:szCs w:val="18"/>
                      <w:highlight w:val="none"/>
                    </w:rPr>
                  </w:pPr>
                </w:p>
              </w:tc>
              <w:tc>
                <w:tcPr>
                  <w:tcW w:w="945" w:type="pct"/>
                  <w:shd w:val="clear" w:color="auto" w:fill="auto"/>
                  <w:vAlign w:val="center"/>
                </w:tcPr>
                <w:p w14:paraId="4755C074">
                  <w:pPr>
                    <w:pStyle w:val="9"/>
                    <w:jc w:val="center"/>
                    <w:rPr>
                      <w:rFonts w:hint="default" w:ascii="Times New Roman" w:hAnsi="Times New Roman" w:eastAsia="宋体" w:cs="Times New Roman"/>
                      <w:bCs/>
                      <w:color w:val="auto"/>
                      <w:kern w:val="2"/>
                      <w:sz w:val="18"/>
                      <w:szCs w:val="18"/>
                      <w:highlight w:val="none"/>
                      <w:lang w:val="en-US" w:eastAsia="zh-CN" w:bidi="ar-SA"/>
                    </w:rPr>
                  </w:pPr>
                  <w:r>
                    <w:rPr>
                      <w:rFonts w:hint="eastAsia" w:ascii="Times New Roman" w:hAnsi="Times New Roman" w:cs="Times New Roman"/>
                      <w:bCs/>
                      <w:color w:val="auto"/>
                      <w:sz w:val="18"/>
                      <w:szCs w:val="18"/>
                      <w:highlight w:val="none"/>
                    </w:rPr>
                    <w:t>休息室</w:t>
                  </w:r>
                </w:p>
              </w:tc>
              <w:tc>
                <w:tcPr>
                  <w:tcW w:w="1420" w:type="pct"/>
                  <w:tcBorders>
                    <w:right w:val="single" w:color="auto" w:sz="4" w:space="0"/>
                  </w:tcBorders>
                  <w:shd w:val="clear" w:color="auto" w:fill="auto"/>
                  <w:vAlign w:val="center"/>
                </w:tcPr>
                <w:p w14:paraId="41C52BE1">
                  <w:pPr>
                    <w:pStyle w:val="9"/>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olor w:val="auto"/>
                      <w:sz w:val="18"/>
                      <w:szCs w:val="18"/>
                      <w:highlight w:val="none"/>
                    </w:rPr>
                    <w:t>1间</w:t>
                  </w:r>
                  <w:r>
                    <w:rPr>
                      <w:rFonts w:ascii="Times New Roman" w:hAnsi="Times New Roman"/>
                      <w:color w:val="auto"/>
                      <w:sz w:val="18"/>
                      <w:szCs w:val="18"/>
                      <w:highlight w:val="none"/>
                    </w:rPr>
                    <w:t>，</w:t>
                  </w:r>
                  <w:r>
                    <w:rPr>
                      <w:rFonts w:hint="eastAsia" w:ascii="Times New Roman" w:hAnsi="Times New Roman"/>
                      <w:color w:val="auto"/>
                      <w:sz w:val="18"/>
                      <w:szCs w:val="18"/>
                      <w:highlight w:val="none"/>
                      <w:lang w:val="en-US" w:eastAsia="zh-CN"/>
                    </w:rPr>
                    <w:t>建筑面积</w:t>
                  </w:r>
                  <w:r>
                    <w:rPr>
                      <w:rFonts w:hint="eastAsia" w:ascii="Times New Roman" w:hAnsi="Times New Roman"/>
                      <w:color w:val="auto"/>
                      <w:sz w:val="18"/>
                      <w:szCs w:val="18"/>
                      <w:highlight w:val="none"/>
                    </w:rPr>
                    <w:t>84</w:t>
                  </w:r>
                  <w:r>
                    <w:rPr>
                      <w:rFonts w:ascii="Times New Roman" w:hAnsi="Times New Roman"/>
                      <w:color w:val="auto"/>
                      <w:sz w:val="18"/>
                      <w:szCs w:val="18"/>
                      <w:highlight w:val="none"/>
                    </w:rPr>
                    <w:t xml:space="preserve"> m</w:t>
                  </w:r>
                  <w:r>
                    <w:rPr>
                      <w:rFonts w:ascii="Times New Roman" w:hAnsi="Times New Roman"/>
                      <w:color w:val="auto"/>
                      <w:sz w:val="18"/>
                      <w:szCs w:val="18"/>
                      <w:highlight w:val="none"/>
                      <w:vertAlign w:val="superscript"/>
                    </w:rPr>
                    <w:t>2</w:t>
                  </w:r>
                </w:p>
              </w:tc>
              <w:tc>
                <w:tcPr>
                  <w:tcW w:w="930" w:type="pct"/>
                  <w:tcBorders>
                    <w:right w:val="single" w:color="auto" w:sz="4" w:space="0"/>
                  </w:tcBorders>
                  <w:shd w:val="clear" w:color="auto" w:fill="auto"/>
                  <w:vAlign w:val="center"/>
                </w:tcPr>
                <w:p w14:paraId="7B258EC8">
                  <w:pPr>
                    <w:pStyle w:val="9"/>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olor w:val="auto"/>
                      <w:sz w:val="18"/>
                      <w:szCs w:val="18"/>
                      <w:highlight w:val="none"/>
                    </w:rPr>
                    <w:t>1间</w:t>
                  </w:r>
                  <w:r>
                    <w:rPr>
                      <w:rFonts w:ascii="Times New Roman" w:hAnsi="Times New Roman"/>
                      <w:color w:val="auto"/>
                      <w:sz w:val="18"/>
                      <w:szCs w:val="18"/>
                      <w:highlight w:val="none"/>
                    </w:rPr>
                    <w:t>，</w:t>
                  </w:r>
                  <w:r>
                    <w:rPr>
                      <w:rFonts w:hint="eastAsia" w:ascii="Times New Roman" w:hAnsi="Times New Roman"/>
                      <w:color w:val="auto"/>
                      <w:sz w:val="18"/>
                      <w:szCs w:val="18"/>
                      <w:highlight w:val="none"/>
                      <w:lang w:val="en-US" w:eastAsia="zh-CN"/>
                    </w:rPr>
                    <w:t>建筑面积</w:t>
                  </w:r>
                  <w:r>
                    <w:rPr>
                      <w:rFonts w:hint="eastAsia" w:ascii="Times New Roman" w:hAnsi="Times New Roman"/>
                      <w:color w:val="auto"/>
                      <w:sz w:val="18"/>
                      <w:szCs w:val="18"/>
                      <w:highlight w:val="none"/>
                    </w:rPr>
                    <w:t>84</w:t>
                  </w:r>
                  <w:r>
                    <w:rPr>
                      <w:rFonts w:ascii="Times New Roman" w:hAnsi="Times New Roman"/>
                      <w:color w:val="auto"/>
                      <w:sz w:val="18"/>
                      <w:szCs w:val="18"/>
                      <w:highlight w:val="none"/>
                    </w:rPr>
                    <w:t xml:space="preserve"> m</w:t>
                  </w:r>
                  <w:r>
                    <w:rPr>
                      <w:rFonts w:ascii="Times New Roman" w:hAnsi="Times New Roman"/>
                      <w:color w:val="auto"/>
                      <w:sz w:val="18"/>
                      <w:szCs w:val="18"/>
                      <w:highlight w:val="none"/>
                      <w:vertAlign w:val="superscript"/>
                    </w:rPr>
                    <w:t>2</w:t>
                  </w:r>
                </w:p>
              </w:tc>
              <w:tc>
                <w:tcPr>
                  <w:tcW w:w="930" w:type="pct"/>
                  <w:tcBorders>
                    <w:right w:val="single" w:color="auto" w:sz="4" w:space="0"/>
                  </w:tcBorders>
                  <w:vAlign w:val="center"/>
                </w:tcPr>
                <w:p w14:paraId="0F7ED5E5">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不变</w:t>
                  </w:r>
                </w:p>
              </w:tc>
            </w:tr>
            <w:tr w14:paraId="06E58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437" w:hRule="atLeast"/>
                <w:jc w:val="center"/>
              </w:trPr>
              <w:tc>
                <w:tcPr>
                  <w:tcW w:w="773" w:type="pct"/>
                  <w:vMerge w:val="continue"/>
                  <w:vAlign w:val="center"/>
                </w:tcPr>
                <w:p w14:paraId="1971B3C5">
                  <w:pPr>
                    <w:pStyle w:val="34"/>
                    <w:keepNext w:val="0"/>
                    <w:keepLines w:val="0"/>
                    <w:pageBreakBefore w:val="0"/>
                    <w:widowControl w:val="0"/>
                    <w:kinsoku/>
                    <w:wordWrap/>
                    <w:overflowPunct/>
                    <w:topLinePunct w:val="0"/>
                    <w:autoSpaceDE/>
                    <w:autoSpaceDN/>
                    <w:bidi w:val="0"/>
                    <w:adjustRightInd w:val="0"/>
                    <w:snapToGrid w:val="0"/>
                    <w:spacing w:after="0"/>
                    <w:ind w:left="59" w:leftChars="0" w:hanging="59" w:hangingChars="33"/>
                    <w:jc w:val="center"/>
                    <w:textAlignment w:val="auto"/>
                    <w:rPr>
                      <w:rFonts w:hint="default" w:ascii="Times New Roman" w:hAnsi="Times New Roman" w:cs="Times New Roman"/>
                      <w:color w:val="auto"/>
                      <w:sz w:val="18"/>
                      <w:szCs w:val="18"/>
                      <w:highlight w:val="none"/>
                    </w:rPr>
                  </w:pPr>
                </w:p>
              </w:tc>
              <w:tc>
                <w:tcPr>
                  <w:tcW w:w="945" w:type="pct"/>
                  <w:vAlign w:val="center"/>
                </w:tcPr>
                <w:p w14:paraId="74AE5B05">
                  <w:pPr>
                    <w:pStyle w:val="9"/>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eastAsia" w:ascii="Times New Roman" w:hAnsi="Times New Roman" w:eastAsia="宋体" w:cs="Times New Roman"/>
                      <w:color w:val="auto"/>
                      <w:sz w:val="18"/>
                      <w:szCs w:val="18"/>
                      <w:highlight w:val="none"/>
                      <w:lang w:eastAsia="zh-CN"/>
                    </w:rPr>
                  </w:pPr>
                  <w:r>
                    <w:rPr>
                      <w:rFonts w:hint="eastAsia" w:ascii="Times New Roman" w:hAnsi="Times New Roman" w:cs="Times New Roman"/>
                      <w:color w:val="auto"/>
                      <w:sz w:val="18"/>
                      <w:szCs w:val="18"/>
                      <w:highlight w:val="none"/>
                      <w:lang w:val="en-US" w:eastAsia="zh-CN"/>
                    </w:rPr>
                    <w:t>配电室</w:t>
                  </w:r>
                </w:p>
              </w:tc>
              <w:tc>
                <w:tcPr>
                  <w:tcW w:w="1420" w:type="pct"/>
                  <w:tcBorders>
                    <w:right w:val="single" w:color="auto" w:sz="4" w:space="0"/>
                  </w:tcBorders>
                  <w:vAlign w:val="center"/>
                </w:tcPr>
                <w:p w14:paraId="449F037F">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1座，</w:t>
                  </w:r>
                  <w:r>
                    <w:rPr>
                      <w:rFonts w:hint="eastAsia" w:ascii="Times New Roman" w:hAnsi="Times New Roman"/>
                      <w:color w:val="auto"/>
                      <w:sz w:val="18"/>
                      <w:szCs w:val="18"/>
                      <w:highlight w:val="none"/>
                      <w:lang w:val="en-US" w:eastAsia="zh-CN"/>
                    </w:rPr>
                    <w:t>建筑面积</w:t>
                  </w:r>
                  <w:r>
                    <w:rPr>
                      <w:rFonts w:hint="eastAsia" w:cs="Times New Roman"/>
                      <w:color w:val="auto"/>
                      <w:sz w:val="18"/>
                      <w:szCs w:val="18"/>
                      <w:highlight w:val="none"/>
                      <w:lang w:val="en-US" w:eastAsia="zh-CN"/>
                    </w:rPr>
                    <w:t>10</w:t>
                  </w:r>
                  <w:r>
                    <w:rPr>
                      <w:rFonts w:hint="default" w:ascii="Times New Roman" w:hAnsi="Times New Roman" w:cs="Times New Roman"/>
                      <w:color w:val="auto"/>
                      <w:sz w:val="18"/>
                      <w:szCs w:val="18"/>
                      <w:highlight w:val="none"/>
                    </w:rPr>
                    <w:t xml:space="preserve"> m</w:t>
                  </w:r>
                  <w:r>
                    <w:rPr>
                      <w:rFonts w:hint="default" w:ascii="Times New Roman" w:hAnsi="Times New Roman" w:cs="Times New Roman"/>
                      <w:color w:val="auto"/>
                      <w:sz w:val="18"/>
                      <w:szCs w:val="18"/>
                      <w:highlight w:val="none"/>
                      <w:vertAlign w:val="superscript"/>
                    </w:rPr>
                    <w:t>2</w:t>
                  </w:r>
                </w:p>
              </w:tc>
              <w:tc>
                <w:tcPr>
                  <w:tcW w:w="930" w:type="pct"/>
                  <w:tcBorders>
                    <w:right w:val="single" w:color="auto" w:sz="4" w:space="0"/>
                  </w:tcBorders>
                  <w:shd w:val="clear" w:color="auto" w:fill="auto"/>
                  <w:vAlign w:val="center"/>
                </w:tcPr>
                <w:p w14:paraId="443DD16B">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1座，</w:t>
                  </w:r>
                  <w:r>
                    <w:rPr>
                      <w:rFonts w:hint="eastAsia" w:ascii="Times New Roman" w:hAnsi="Times New Roman"/>
                      <w:color w:val="auto"/>
                      <w:sz w:val="18"/>
                      <w:szCs w:val="18"/>
                      <w:highlight w:val="none"/>
                      <w:lang w:val="en-US" w:eastAsia="zh-CN"/>
                    </w:rPr>
                    <w:t>建筑面积</w:t>
                  </w:r>
                  <w:r>
                    <w:rPr>
                      <w:rFonts w:hint="eastAsia" w:cs="Times New Roman"/>
                      <w:color w:val="auto"/>
                      <w:sz w:val="18"/>
                      <w:szCs w:val="18"/>
                      <w:highlight w:val="none"/>
                      <w:lang w:val="en-US" w:eastAsia="zh-CN"/>
                    </w:rPr>
                    <w:t>10</w:t>
                  </w:r>
                  <w:r>
                    <w:rPr>
                      <w:rFonts w:hint="default" w:ascii="Times New Roman" w:hAnsi="Times New Roman" w:cs="Times New Roman"/>
                      <w:color w:val="auto"/>
                      <w:sz w:val="18"/>
                      <w:szCs w:val="18"/>
                      <w:highlight w:val="none"/>
                    </w:rPr>
                    <w:t xml:space="preserve"> m</w:t>
                  </w:r>
                  <w:r>
                    <w:rPr>
                      <w:rFonts w:hint="default" w:ascii="Times New Roman" w:hAnsi="Times New Roman" w:cs="Times New Roman"/>
                      <w:color w:val="auto"/>
                      <w:sz w:val="18"/>
                      <w:szCs w:val="18"/>
                      <w:highlight w:val="none"/>
                      <w:vertAlign w:val="superscript"/>
                    </w:rPr>
                    <w:t>2</w:t>
                  </w:r>
                </w:p>
              </w:tc>
              <w:tc>
                <w:tcPr>
                  <w:tcW w:w="930" w:type="pct"/>
                  <w:tcBorders>
                    <w:right w:val="single" w:color="auto" w:sz="4" w:space="0"/>
                  </w:tcBorders>
                  <w:vAlign w:val="center"/>
                </w:tcPr>
                <w:p w14:paraId="7066E010">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不变</w:t>
                  </w:r>
                </w:p>
              </w:tc>
            </w:tr>
            <w:tr w14:paraId="1C458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437" w:hRule="atLeast"/>
                <w:jc w:val="center"/>
              </w:trPr>
              <w:tc>
                <w:tcPr>
                  <w:tcW w:w="773" w:type="pct"/>
                  <w:vMerge w:val="restart"/>
                  <w:vAlign w:val="center"/>
                </w:tcPr>
                <w:p w14:paraId="0620E88C">
                  <w:pPr>
                    <w:pStyle w:val="34"/>
                    <w:keepNext w:val="0"/>
                    <w:keepLines w:val="0"/>
                    <w:pageBreakBefore w:val="0"/>
                    <w:widowControl w:val="0"/>
                    <w:kinsoku/>
                    <w:wordWrap/>
                    <w:overflowPunct/>
                    <w:topLinePunct w:val="0"/>
                    <w:autoSpaceDE/>
                    <w:autoSpaceDN/>
                    <w:bidi w:val="0"/>
                    <w:adjustRightInd w:val="0"/>
                    <w:snapToGrid w:val="0"/>
                    <w:spacing w:after="0"/>
                    <w:ind w:left="59" w:leftChars="0" w:hanging="59" w:hangingChars="33"/>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公用工程</w:t>
                  </w:r>
                </w:p>
              </w:tc>
              <w:tc>
                <w:tcPr>
                  <w:tcW w:w="945" w:type="pct"/>
                  <w:vAlign w:val="center"/>
                </w:tcPr>
                <w:p w14:paraId="0C3320E7">
                  <w:pPr>
                    <w:pStyle w:val="9"/>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供水系统</w:t>
                  </w:r>
                </w:p>
              </w:tc>
              <w:tc>
                <w:tcPr>
                  <w:tcW w:w="1420" w:type="pct"/>
                  <w:tcBorders>
                    <w:right w:val="single" w:color="auto" w:sz="4" w:space="0"/>
                  </w:tcBorders>
                  <w:vAlign w:val="center"/>
                </w:tcPr>
                <w:p w14:paraId="012D1385">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rPr>
                    <w:t>淄川区昆仑镇水利服务站</w:t>
                  </w:r>
                  <w:r>
                    <w:rPr>
                      <w:rFonts w:hint="default"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lang w:val="en-US" w:eastAsia="zh-CN"/>
                    </w:rPr>
                    <w:t>用水量</w:t>
                  </w:r>
                  <w:r>
                    <w:rPr>
                      <w:rFonts w:hint="eastAsia" w:cs="Times New Roman"/>
                      <w:color w:val="auto"/>
                      <w:sz w:val="18"/>
                      <w:szCs w:val="18"/>
                      <w:highlight w:val="none"/>
                      <w:lang w:val="en-US" w:eastAsia="zh-CN"/>
                    </w:rPr>
                    <w:t>192</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3</w:t>
                  </w:r>
                  <w:r>
                    <w:rPr>
                      <w:rFonts w:hint="default" w:ascii="Times New Roman" w:hAnsi="Times New Roman" w:cs="Times New Roman"/>
                      <w:color w:val="auto"/>
                      <w:sz w:val="18"/>
                      <w:szCs w:val="18"/>
                      <w:highlight w:val="none"/>
                    </w:rPr>
                    <w:t>/a</w:t>
                  </w:r>
                </w:p>
              </w:tc>
              <w:tc>
                <w:tcPr>
                  <w:tcW w:w="930" w:type="pct"/>
                  <w:tcBorders>
                    <w:right w:val="single" w:color="auto" w:sz="4" w:space="0"/>
                  </w:tcBorders>
                  <w:shd w:val="clear" w:color="auto" w:fill="auto"/>
                  <w:vAlign w:val="center"/>
                </w:tcPr>
                <w:p w14:paraId="62E3D3D1">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淄川区昆仑镇水利服务站</w:t>
                  </w:r>
                  <w:r>
                    <w:rPr>
                      <w:rFonts w:hint="default"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lang w:val="en-US" w:eastAsia="zh-CN"/>
                    </w:rPr>
                    <w:t>用水量</w:t>
                  </w:r>
                  <w:r>
                    <w:rPr>
                      <w:rFonts w:hint="eastAsia" w:cs="Times New Roman"/>
                      <w:color w:val="auto"/>
                      <w:sz w:val="18"/>
                      <w:szCs w:val="18"/>
                      <w:highlight w:val="none"/>
                      <w:lang w:val="en-US" w:eastAsia="zh-CN"/>
                    </w:rPr>
                    <w:t>420</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3</w:t>
                  </w:r>
                  <w:r>
                    <w:rPr>
                      <w:rFonts w:hint="default" w:ascii="Times New Roman" w:hAnsi="Times New Roman" w:cs="Times New Roman"/>
                      <w:color w:val="auto"/>
                      <w:sz w:val="18"/>
                      <w:szCs w:val="18"/>
                      <w:highlight w:val="none"/>
                    </w:rPr>
                    <w:t>/a</w:t>
                  </w:r>
                </w:p>
              </w:tc>
              <w:tc>
                <w:tcPr>
                  <w:tcW w:w="930" w:type="pct"/>
                  <w:tcBorders>
                    <w:right w:val="single" w:color="auto" w:sz="4" w:space="0"/>
                  </w:tcBorders>
                  <w:vAlign w:val="center"/>
                </w:tcPr>
                <w:p w14:paraId="3C9EDB1D">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新增</w:t>
                  </w:r>
                  <w:r>
                    <w:rPr>
                      <w:rFonts w:hint="default" w:ascii="Times New Roman" w:hAnsi="Times New Roman" w:cs="Times New Roman"/>
                      <w:color w:val="auto"/>
                      <w:sz w:val="18"/>
                      <w:szCs w:val="18"/>
                      <w:highlight w:val="none"/>
                      <w:lang w:val="en-US" w:eastAsia="zh-CN"/>
                    </w:rPr>
                    <w:t>用水量</w:t>
                  </w:r>
                  <w:r>
                    <w:rPr>
                      <w:rFonts w:hint="eastAsia" w:cs="Times New Roman"/>
                      <w:color w:val="auto"/>
                      <w:sz w:val="18"/>
                      <w:szCs w:val="18"/>
                      <w:highlight w:val="none"/>
                      <w:lang w:val="en-US" w:eastAsia="zh-CN"/>
                    </w:rPr>
                    <w:t>228</w:t>
                  </w: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3</w:t>
                  </w:r>
                  <w:r>
                    <w:rPr>
                      <w:rFonts w:hint="default" w:ascii="Times New Roman" w:hAnsi="Times New Roman" w:cs="Times New Roman"/>
                      <w:color w:val="auto"/>
                      <w:sz w:val="18"/>
                      <w:szCs w:val="18"/>
                      <w:highlight w:val="none"/>
                    </w:rPr>
                    <w:t>/a</w:t>
                  </w:r>
                </w:p>
              </w:tc>
            </w:tr>
            <w:tr w14:paraId="15A23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437" w:hRule="atLeast"/>
                <w:jc w:val="center"/>
              </w:trPr>
              <w:tc>
                <w:tcPr>
                  <w:tcW w:w="773" w:type="pct"/>
                  <w:vMerge w:val="continue"/>
                  <w:vAlign w:val="center"/>
                </w:tcPr>
                <w:p w14:paraId="5B556656">
                  <w:pPr>
                    <w:pStyle w:val="34"/>
                    <w:keepNext w:val="0"/>
                    <w:keepLines w:val="0"/>
                    <w:pageBreakBefore w:val="0"/>
                    <w:widowControl w:val="0"/>
                    <w:kinsoku/>
                    <w:wordWrap/>
                    <w:overflowPunct/>
                    <w:topLinePunct w:val="0"/>
                    <w:autoSpaceDE/>
                    <w:autoSpaceDN/>
                    <w:bidi w:val="0"/>
                    <w:adjustRightInd w:val="0"/>
                    <w:snapToGrid w:val="0"/>
                    <w:spacing w:after="0"/>
                    <w:ind w:left="59" w:leftChars="0" w:hanging="59" w:hangingChars="33"/>
                    <w:jc w:val="center"/>
                    <w:textAlignment w:val="auto"/>
                    <w:rPr>
                      <w:rFonts w:hint="default" w:ascii="Times New Roman" w:hAnsi="Times New Roman" w:cs="Times New Roman"/>
                      <w:color w:val="auto"/>
                      <w:sz w:val="18"/>
                      <w:szCs w:val="18"/>
                      <w:highlight w:val="none"/>
                    </w:rPr>
                  </w:pPr>
                </w:p>
              </w:tc>
              <w:tc>
                <w:tcPr>
                  <w:tcW w:w="945" w:type="pct"/>
                  <w:vAlign w:val="center"/>
                </w:tcPr>
                <w:p w14:paraId="7E7839FD">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供电系统</w:t>
                  </w:r>
                </w:p>
              </w:tc>
              <w:tc>
                <w:tcPr>
                  <w:tcW w:w="1420" w:type="pct"/>
                  <w:tcBorders>
                    <w:right w:val="single" w:color="auto" w:sz="4" w:space="0"/>
                  </w:tcBorders>
                  <w:vAlign w:val="center"/>
                </w:tcPr>
                <w:p w14:paraId="472C3A69">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淄川国家电网昆仑供电所</w:t>
                  </w:r>
                  <w:r>
                    <w:rPr>
                      <w:rFonts w:hint="default" w:ascii="Times New Roman" w:hAnsi="Times New Roman" w:cs="Times New Roman"/>
                      <w:color w:val="auto"/>
                      <w:sz w:val="18"/>
                      <w:szCs w:val="18"/>
                      <w:highlight w:val="none"/>
                      <w:lang w:eastAsia="zh-CN"/>
                    </w:rPr>
                    <w:t>，</w:t>
                  </w:r>
                  <w:r>
                    <w:rPr>
                      <w:rFonts w:hint="default" w:ascii="Times New Roman" w:hAnsi="Times New Roman" w:cs="Times New Roman"/>
                      <w:bCs/>
                      <w:color w:val="auto"/>
                      <w:sz w:val="18"/>
                      <w:szCs w:val="18"/>
                      <w:highlight w:val="none"/>
                      <w:lang w:val="en-US" w:eastAsia="zh-CN"/>
                    </w:rPr>
                    <w:t>用电量</w:t>
                  </w:r>
                  <w:r>
                    <w:rPr>
                      <w:rFonts w:hint="eastAsia" w:cs="Times New Roman"/>
                      <w:bCs/>
                      <w:color w:val="auto"/>
                      <w:sz w:val="18"/>
                      <w:szCs w:val="18"/>
                      <w:highlight w:val="none"/>
                      <w:lang w:val="en-US" w:eastAsia="zh-CN"/>
                    </w:rPr>
                    <w:t>70</w:t>
                  </w:r>
                  <w:r>
                    <w:rPr>
                      <w:rFonts w:hint="default" w:ascii="Times New Roman" w:hAnsi="Times New Roman" w:cs="Times New Roman"/>
                      <w:bCs/>
                      <w:color w:val="auto"/>
                      <w:sz w:val="18"/>
                      <w:szCs w:val="18"/>
                      <w:highlight w:val="none"/>
                    </w:rPr>
                    <w:t>万kWh/a</w:t>
                  </w:r>
                </w:p>
              </w:tc>
              <w:tc>
                <w:tcPr>
                  <w:tcW w:w="930" w:type="pct"/>
                  <w:tcBorders>
                    <w:right w:val="single" w:color="auto" w:sz="4" w:space="0"/>
                  </w:tcBorders>
                  <w:shd w:val="clear" w:color="auto" w:fill="auto"/>
                  <w:vAlign w:val="center"/>
                </w:tcPr>
                <w:p w14:paraId="5012D1A8">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淄川国家电网昆仑供电所</w:t>
                  </w:r>
                  <w:r>
                    <w:rPr>
                      <w:rFonts w:hint="default" w:ascii="Times New Roman" w:hAnsi="Times New Roman" w:cs="Times New Roman"/>
                      <w:color w:val="auto"/>
                      <w:sz w:val="18"/>
                      <w:szCs w:val="18"/>
                      <w:highlight w:val="none"/>
                      <w:lang w:eastAsia="zh-CN"/>
                    </w:rPr>
                    <w:t>，</w:t>
                  </w:r>
                  <w:r>
                    <w:rPr>
                      <w:rFonts w:hint="default" w:ascii="Times New Roman" w:hAnsi="Times New Roman" w:cs="Times New Roman"/>
                      <w:bCs/>
                      <w:color w:val="auto"/>
                      <w:sz w:val="18"/>
                      <w:szCs w:val="18"/>
                      <w:highlight w:val="none"/>
                      <w:lang w:val="en-US" w:eastAsia="zh-CN"/>
                    </w:rPr>
                    <w:t>用电量</w:t>
                  </w:r>
                  <w:r>
                    <w:rPr>
                      <w:rFonts w:hint="eastAsia" w:cs="Times New Roman"/>
                      <w:bCs/>
                      <w:color w:val="auto"/>
                      <w:sz w:val="18"/>
                      <w:szCs w:val="18"/>
                      <w:highlight w:val="none"/>
                      <w:lang w:val="en-US" w:eastAsia="zh-CN"/>
                    </w:rPr>
                    <w:t>170</w:t>
                  </w:r>
                  <w:r>
                    <w:rPr>
                      <w:rFonts w:hint="default" w:ascii="Times New Roman" w:hAnsi="Times New Roman" w:cs="Times New Roman"/>
                      <w:bCs/>
                      <w:color w:val="auto"/>
                      <w:sz w:val="18"/>
                      <w:szCs w:val="18"/>
                      <w:highlight w:val="none"/>
                    </w:rPr>
                    <w:t>万kWh/a</w:t>
                  </w:r>
                </w:p>
              </w:tc>
              <w:tc>
                <w:tcPr>
                  <w:tcW w:w="930" w:type="pct"/>
                  <w:tcBorders>
                    <w:right w:val="single" w:color="auto" w:sz="4" w:space="0"/>
                  </w:tcBorders>
                  <w:vAlign w:val="center"/>
                </w:tcPr>
                <w:p w14:paraId="78A7FF79">
                  <w:pPr>
                    <w:keepNext w:val="0"/>
                    <w:keepLines w:val="0"/>
                    <w:pageBreakBefore w:val="0"/>
                    <w:widowControl w:val="0"/>
                    <w:kinsoku/>
                    <w:wordWrap/>
                    <w:overflowPunct/>
                    <w:topLinePunct w:val="0"/>
                    <w:autoSpaceDE/>
                    <w:autoSpaceDN/>
                    <w:bidi w:val="0"/>
                    <w:adjustRightInd w:val="0"/>
                    <w:snapToGrid w:val="0"/>
                    <w:ind w:left="0" w:left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新增用电量100</w:t>
                  </w:r>
                  <w:r>
                    <w:rPr>
                      <w:rFonts w:hint="default" w:ascii="Times New Roman" w:hAnsi="Times New Roman" w:cs="Times New Roman"/>
                      <w:bCs/>
                      <w:color w:val="auto"/>
                      <w:sz w:val="18"/>
                      <w:szCs w:val="18"/>
                      <w:highlight w:val="none"/>
                    </w:rPr>
                    <w:t>万kWh/a</w:t>
                  </w:r>
                </w:p>
              </w:tc>
            </w:tr>
            <w:tr w14:paraId="41029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437" w:hRule="atLeast"/>
                <w:jc w:val="center"/>
              </w:trPr>
              <w:tc>
                <w:tcPr>
                  <w:tcW w:w="773" w:type="pct"/>
                  <w:vMerge w:val="restart"/>
                  <w:vAlign w:val="center"/>
                </w:tcPr>
                <w:p w14:paraId="78214C79">
                  <w:pPr>
                    <w:pStyle w:val="34"/>
                    <w:keepNext w:val="0"/>
                    <w:keepLines w:val="0"/>
                    <w:pageBreakBefore w:val="0"/>
                    <w:widowControl w:val="0"/>
                    <w:kinsoku/>
                    <w:wordWrap/>
                    <w:overflowPunct/>
                    <w:topLinePunct w:val="0"/>
                    <w:autoSpaceDE/>
                    <w:autoSpaceDN/>
                    <w:bidi w:val="0"/>
                    <w:adjustRightInd w:val="0"/>
                    <w:snapToGrid w:val="0"/>
                    <w:spacing w:after="0"/>
                    <w:ind w:left="59" w:leftChars="0" w:hanging="59" w:hangingChars="33"/>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环保工程</w:t>
                  </w:r>
                </w:p>
              </w:tc>
              <w:tc>
                <w:tcPr>
                  <w:tcW w:w="945" w:type="pct"/>
                  <w:vAlign w:val="center"/>
                </w:tcPr>
                <w:p w14:paraId="7E932FAE">
                  <w:pPr>
                    <w:pStyle w:val="34"/>
                    <w:keepNext w:val="0"/>
                    <w:keepLines w:val="0"/>
                    <w:pageBreakBefore w:val="0"/>
                    <w:widowControl w:val="0"/>
                    <w:kinsoku/>
                    <w:wordWrap/>
                    <w:overflowPunct/>
                    <w:topLinePunct w:val="0"/>
                    <w:autoSpaceDE/>
                    <w:autoSpaceDN/>
                    <w:bidi w:val="0"/>
                    <w:adjustRightInd w:val="0"/>
                    <w:snapToGrid w:val="0"/>
                    <w:spacing w:after="0"/>
                    <w:ind w:left="34" w:leftChars="0" w:hanging="34" w:hangingChars="19"/>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噪声处理控制</w:t>
                  </w:r>
                </w:p>
              </w:tc>
              <w:tc>
                <w:tcPr>
                  <w:tcW w:w="1420" w:type="pct"/>
                  <w:tcBorders>
                    <w:right w:val="single" w:color="auto" w:sz="4" w:space="0"/>
                  </w:tcBorders>
                  <w:vAlign w:val="center"/>
                </w:tcPr>
                <w:p w14:paraId="5A325FCB">
                  <w:pPr>
                    <w:pStyle w:val="34"/>
                    <w:keepNext w:val="0"/>
                    <w:keepLines w:val="0"/>
                    <w:pageBreakBefore w:val="0"/>
                    <w:widowControl w:val="0"/>
                    <w:kinsoku/>
                    <w:wordWrap/>
                    <w:overflowPunct/>
                    <w:topLinePunct w:val="0"/>
                    <w:autoSpaceDE/>
                    <w:autoSpaceDN/>
                    <w:bidi w:val="0"/>
                    <w:adjustRightInd w:val="0"/>
                    <w:snapToGrid w:val="0"/>
                    <w:spacing w:after="0"/>
                    <w:ind w:left="34" w:leftChars="0" w:hanging="34" w:hangingChars="19"/>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减振、隔声</w:t>
                  </w:r>
                </w:p>
              </w:tc>
              <w:tc>
                <w:tcPr>
                  <w:tcW w:w="930" w:type="pct"/>
                  <w:tcBorders>
                    <w:right w:val="single" w:color="auto" w:sz="4" w:space="0"/>
                  </w:tcBorders>
                  <w:vAlign w:val="center"/>
                </w:tcPr>
                <w:p w14:paraId="429B20F6">
                  <w:pPr>
                    <w:pStyle w:val="34"/>
                    <w:keepNext w:val="0"/>
                    <w:keepLines w:val="0"/>
                    <w:pageBreakBefore w:val="0"/>
                    <w:widowControl w:val="0"/>
                    <w:kinsoku/>
                    <w:wordWrap/>
                    <w:overflowPunct/>
                    <w:topLinePunct w:val="0"/>
                    <w:autoSpaceDE/>
                    <w:autoSpaceDN/>
                    <w:bidi w:val="0"/>
                    <w:adjustRightInd w:val="0"/>
                    <w:snapToGrid w:val="0"/>
                    <w:spacing w:after="0"/>
                    <w:ind w:left="34" w:leftChars="0" w:hanging="34" w:hangingChars="19"/>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减振、隔声</w:t>
                  </w:r>
                </w:p>
              </w:tc>
              <w:tc>
                <w:tcPr>
                  <w:tcW w:w="930" w:type="pct"/>
                  <w:tcBorders>
                    <w:right w:val="single" w:color="auto" w:sz="4" w:space="0"/>
                  </w:tcBorders>
                  <w:vAlign w:val="center"/>
                </w:tcPr>
                <w:p w14:paraId="1518840D">
                  <w:pPr>
                    <w:pStyle w:val="34"/>
                    <w:keepNext w:val="0"/>
                    <w:keepLines w:val="0"/>
                    <w:pageBreakBefore w:val="0"/>
                    <w:widowControl w:val="0"/>
                    <w:kinsoku/>
                    <w:wordWrap/>
                    <w:overflowPunct/>
                    <w:topLinePunct w:val="0"/>
                    <w:autoSpaceDE/>
                    <w:autoSpaceDN/>
                    <w:bidi w:val="0"/>
                    <w:adjustRightInd w:val="0"/>
                    <w:snapToGrid w:val="0"/>
                    <w:spacing w:after="0"/>
                    <w:ind w:left="34" w:leftChars="0" w:hanging="34" w:hangingChars="19"/>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r>
            <w:tr w14:paraId="3E2EB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437" w:hRule="atLeast"/>
                <w:jc w:val="center"/>
              </w:trPr>
              <w:tc>
                <w:tcPr>
                  <w:tcW w:w="773" w:type="pct"/>
                  <w:vMerge w:val="continue"/>
                  <w:vAlign w:val="center"/>
                </w:tcPr>
                <w:p w14:paraId="754E4A47">
                  <w:pPr>
                    <w:pStyle w:val="34"/>
                    <w:keepNext w:val="0"/>
                    <w:keepLines w:val="0"/>
                    <w:pageBreakBefore w:val="0"/>
                    <w:widowControl w:val="0"/>
                    <w:kinsoku/>
                    <w:wordWrap/>
                    <w:overflowPunct/>
                    <w:topLinePunct w:val="0"/>
                    <w:autoSpaceDE/>
                    <w:autoSpaceDN/>
                    <w:bidi w:val="0"/>
                    <w:adjustRightInd w:val="0"/>
                    <w:snapToGrid w:val="0"/>
                    <w:spacing w:after="0"/>
                    <w:ind w:left="59" w:leftChars="0" w:hanging="59" w:hangingChars="33"/>
                    <w:jc w:val="center"/>
                    <w:textAlignment w:val="auto"/>
                    <w:rPr>
                      <w:rFonts w:hint="default" w:ascii="Times New Roman" w:hAnsi="Times New Roman" w:cs="Times New Roman"/>
                      <w:color w:val="auto"/>
                      <w:sz w:val="18"/>
                      <w:szCs w:val="18"/>
                      <w:highlight w:val="none"/>
                    </w:rPr>
                  </w:pPr>
                </w:p>
              </w:tc>
              <w:tc>
                <w:tcPr>
                  <w:tcW w:w="945" w:type="pct"/>
                  <w:vAlign w:val="center"/>
                </w:tcPr>
                <w:p w14:paraId="1AF6C8D9">
                  <w:pPr>
                    <w:pStyle w:val="34"/>
                    <w:keepNext w:val="0"/>
                    <w:keepLines w:val="0"/>
                    <w:pageBreakBefore w:val="0"/>
                    <w:widowControl w:val="0"/>
                    <w:kinsoku/>
                    <w:wordWrap/>
                    <w:overflowPunct/>
                    <w:topLinePunct w:val="0"/>
                    <w:autoSpaceDE/>
                    <w:autoSpaceDN/>
                    <w:bidi w:val="0"/>
                    <w:adjustRightInd w:val="0"/>
                    <w:snapToGrid w:val="0"/>
                    <w:spacing w:after="0"/>
                    <w:ind w:left="34" w:leftChars="0" w:hanging="34" w:hangingChars="19"/>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废水处理控制</w:t>
                  </w:r>
                </w:p>
              </w:tc>
              <w:tc>
                <w:tcPr>
                  <w:tcW w:w="1420" w:type="pct"/>
                  <w:tcBorders>
                    <w:right w:val="single" w:color="auto" w:sz="4" w:space="0"/>
                  </w:tcBorders>
                  <w:vAlign w:val="center"/>
                </w:tcPr>
                <w:p w14:paraId="7D1BA12D">
                  <w:pPr>
                    <w:pStyle w:val="34"/>
                    <w:keepNext w:val="0"/>
                    <w:keepLines w:val="0"/>
                    <w:pageBreakBefore w:val="0"/>
                    <w:widowControl w:val="0"/>
                    <w:kinsoku/>
                    <w:wordWrap/>
                    <w:overflowPunct/>
                    <w:topLinePunct w:val="0"/>
                    <w:autoSpaceDE/>
                    <w:autoSpaceDN/>
                    <w:bidi w:val="0"/>
                    <w:adjustRightInd w:val="0"/>
                    <w:snapToGrid w:val="0"/>
                    <w:spacing w:after="0"/>
                    <w:ind w:left="34" w:leftChars="0" w:hanging="34" w:hangingChars="19"/>
                    <w:jc w:val="center"/>
                    <w:textAlignment w:val="auto"/>
                    <w:rPr>
                      <w:rFonts w:hint="eastAsia" w:ascii="Times New Roman" w:hAnsi="Times New Roman" w:eastAsia="宋体" w:cs="Times New Roman"/>
                      <w:color w:val="auto"/>
                      <w:sz w:val="18"/>
                      <w:szCs w:val="18"/>
                      <w:highlight w:val="none"/>
                      <w:lang w:eastAsia="zh-CN"/>
                    </w:rPr>
                  </w:pPr>
                  <w:r>
                    <w:rPr>
                      <w:rFonts w:hint="eastAsia" w:cs="Times New Roman"/>
                      <w:color w:val="auto"/>
                      <w:sz w:val="18"/>
                      <w:szCs w:val="18"/>
                      <w:highlight w:val="none"/>
                      <w:lang w:eastAsia="zh-CN"/>
                    </w:rPr>
                    <w:t>生活污水经化粪池处理后由环卫部门定期清运</w:t>
                  </w:r>
                </w:p>
              </w:tc>
              <w:tc>
                <w:tcPr>
                  <w:tcW w:w="930" w:type="pct"/>
                  <w:tcBorders>
                    <w:right w:val="single" w:color="auto" w:sz="4" w:space="0"/>
                  </w:tcBorders>
                  <w:vAlign w:val="center"/>
                </w:tcPr>
                <w:p w14:paraId="161F6E6C">
                  <w:pPr>
                    <w:pStyle w:val="34"/>
                    <w:keepNext w:val="0"/>
                    <w:keepLines w:val="0"/>
                    <w:pageBreakBefore w:val="0"/>
                    <w:widowControl w:val="0"/>
                    <w:kinsoku/>
                    <w:wordWrap/>
                    <w:overflowPunct/>
                    <w:topLinePunct w:val="0"/>
                    <w:autoSpaceDE/>
                    <w:autoSpaceDN/>
                    <w:bidi w:val="0"/>
                    <w:adjustRightInd w:val="0"/>
                    <w:snapToGrid w:val="0"/>
                    <w:spacing w:after="0"/>
                    <w:ind w:left="34" w:leftChars="0" w:hanging="34" w:hangingChars="19"/>
                    <w:jc w:val="center"/>
                    <w:textAlignment w:val="auto"/>
                    <w:rPr>
                      <w:rFonts w:hint="eastAsia" w:cs="Times New Roman"/>
                      <w:color w:val="auto"/>
                      <w:sz w:val="18"/>
                      <w:szCs w:val="18"/>
                      <w:highlight w:val="none"/>
                      <w:lang w:eastAsia="zh-CN"/>
                    </w:rPr>
                  </w:pPr>
                  <w:r>
                    <w:rPr>
                      <w:rFonts w:hint="eastAsia" w:cs="Times New Roman"/>
                      <w:color w:val="auto"/>
                      <w:sz w:val="18"/>
                      <w:szCs w:val="18"/>
                      <w:highlight w:val="none"/>
                      <w:lang w:eastAsia="zh-CN"/>
                    </w:rPr>
                    <w:t>生活污水经化粪池处理后由环卫部门定期清运</w:t>
                  </w:r>
                </w:p>
              </w:tc>
              <w:tc>
                <w:tcPr>
                  <w:tcW w:w="930" w:type="pct"/>
                  <w:tcBorders>
                    <w:right w:val="single" w:color="auto" w:sz="4" w:space="0"/>
                  </w:tcBorders>
                  <w:vAlign w:val="center"/>
                </w:tcPr>
                <w:p w14:paraId="1163971E">
                  <w:pPr>
                    <w:pStyle w:val="34"/>
                    <w:keepNext w:val="0"/>
                    <w:keepLines w:val="0"/>
                    <w:pageBreakBefore w:val="0"/>
                    <w:widowControl w:val="0"/>
                    <w:kinsoku/>
                    <w:wordWrap/>
                    <w:overflowPunct/>
                    <w:topLinePunct w:val="0"/>
                    <w:autoSpaceDE/>
                    <w:autoSpaceDN/>
                    <w:bidi w:val="0"/>
                    <w:adjustRightInd w:val="0"/>
                    <w:snapToGrid w:val="0"/>
                    <w:spacing w:after="0"/>
                    <w:ind w:left="34" w:leftChars="0" w:hanging="34" w:hangingChars="19"/>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r>
            <w:tr w14:paraId="14DD8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437" w:hRule="atLeast"/>
                <w:jc w:val="center"/>
              </w:trPr>
              <w:tc>
                <w:tcPr>
                  <w:tcW w:w="773" w:type="pct"/>
                  <w:vMerge w:val="continue"/>
                  <w:vAlign w:val="center"/>
                </w:tcPr>
                <w:p w14:paraId="40A83FE1">
                  <w:pPr>
                    <w:pStyle w:val="34"/>
                    <w:keepNext w:val="0"/>
                    <w:keepLines w:val="0"/>
                    <w:pageBreakBefore w:val="0"/>
                    <w:widowControl w:val="0"/>
                    <w:kinsoku/>
                    <w:wordWrap/>
                    <w:overflowPunct/>
                    <w:topLinePunct w:val="0"/>
                    <w:autoSpaceDE/>
                    <w:autoSpaceDN/>
                    <w:bidi w:val="0"/>
                    <w:adjustRightInd w:val="0"/>
                    <w:snapToGrid w:val="0"/>
                    <w:spacing w:after="0"/>
                    <w:ind w:left="59" w:leftChars="0" w:hanging="59" w:hangingChars="33"/>
                    <w:jc w:val="center"/>
                    <w:textAlignment w:val="auto"/>
                    <w:rPr>
                      <w:rFonts w:hint="default" w:ascii="Times New Roman" w:hAnsi="Times New Roman" w:cs="Times New Roman"/>
                      <w:color w:val="auto"/>
                      <w:sz w:val="18"/>
                      <w:szCs w:val="18"/>
                      <w:highlight w:val="none"/>
                    </w:rPr>
                  </w:pPr>
                </w:p>
              </w:tc>
              <w:tc>
                <w:tcPr>
                  <w:tcW w:w="945" w:type="pct"/>
                  <w:vAlign w:val="center"/>
                </w:tcPr>
                <w:p w14:paraId="3FF4A059">
                  <w:pPr>
                    <w:pStyle w:val="34"/>
                    <w:keepNext w:val="0"/>
                    <w:keepLines w:val="0"/>
                    <w:pageBreakBefore w:val="0"/>
                    <w:widowControl w:val="0"/>
                    <w:kinsoku/>
                    <w:wordWrap/>
                    <w:overflowPunct/>
                    <w:topLinePunct w:val="0"/>
                    <w:autoSpaceDE/>
                    <w:autoSpaceDN/>
                    <w:bidi w:val="0"/>
                    <w:adjustRightInd w:val="0"/>
                    <w:snapToGrid w:val="0"/>
                    <w:spacing w:after="0"/>
                    <w:ind w:left="34" w:leftChars="0" w:hanging="34" w:hangingChars="19"/>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固废处理控制</w:t>
                  </w:r>
                </w:p>
              </w:tc>
              <w:tc>
                <w:tcPr>
                  <w:tcW w:w="1420" w:type="pct"/>
                  <w:tcBorders>
                    <w:right w:val="single" w:color="auto" w:sz="4" w:space="0"/>
                  </w:tcBorders>
                  <w:vAlign w:val="center"/>
                </w:tcPr>
                <w:p w14:paraId="612625E9">
                  <w:pPr>
                    <w:pStyle w:val="34"/>
                    <w:keepNext w:val="0"/>
                    <w:keepLines w:val="0"/>
                    <w:pageBreakBefore w:val="0"/>
                    <w:widowControl w:val="0"/>
                    <w:kinsoku/>
                    <w:wordWrap/>
                    <w:overflowPunct/>
                    <w:topLinePunct w:val="0"/>
                    <w:autoSpaceDE/>
                    <w:autoSpaceDN/>
                    <w:bidi w:val="0"/>
                    <w:adjustRightInd w:val="0"/>
                    <w:snapToGrid w:val="0"/>
                    <w:spacing w:after="0"/>
                    <w:ind w:left="34" w:leftChars="0" w:hanging="34" w:hangingChars="19"/>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除渣产生的渣球、烘干后产生的不合格品、精加工产生的边角料回用生产；结合剂废包装桶由供货厂家回收循环使用，所以不按固废进行管理废包装袋暂存在一般固废暂存处，定期外卖，废活性炭暂存在危废暂存间，委托资质单位进行处理</w:t>
                  </w:r>
                </w:p>
              </w:tc>
              <w:tc>
                <w:tcPr>
                  <w:tcW w:w="930" w:type="pct"/>
                  <w:tcBorders>
                    <w:right w:val="single" w:color="auto" w:sz="4" w:space="0"/>
                  </w:tcBorders>
                  <w:vAlign w:val="center"/>
                </w:tcPr>
                <w:p w14:paraId="0695870A">
                  <w:pPr>
                    <w:pStyle w:val="34"/>
                    <w:keepNext w:val="0"/>
                    <w:keepLines w:val="0"/>
                    <w:pageBreakBefore w:val="0"/>
                    <w:widowControl w:val="0"/>
                    <w:kinsoku/>
                    <w:wordWrap/>
                    <w:overflowPunct/>
                    <w:topLinePunct w:val="0"/>
                    <w:autoSpaceDE/>
                    <w:autoSpaceDN/>
                    <w:bidi w:val="0"/>
                    <w:adjustRightInd w:val="0"/>
                    <w:snapToGrid w:val="0"/>
                    <w:spacing w:after="0"/>
                    <w:ind w:left="34" w:leftChars="0" w:hanging="34" w:hangingChars="19"/>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除渣产生的渣球、烘干后产生的不合格品、精加工产生的边角料以及布袋除尘器收尘直接回用生产；硅溶胶废包装桶、结合剂废包装桶由供货厂家回收循环使用，所以不按固废进行管理废包装袋暂存在一般固废暂存处，定期外卖，废活性炭暂存在危废暂存间，委托资质单位进行处理</w:t>
                  </w:r>
                </w:p>
              </w:tc>
              <w:tc>
                <w:tcPr>
                  <w:tcW w:w="930" w:type="pct"/>
                  <w:tcBorders>
                    <w:right w:val="single" w:color="auto" w:sz="4" w:space="0"/>
                  </w:tcBorders>
                  <w:vAlign w:val="center"/>
                </w:tcPr>
                <w:p w14:paraId="146CD301">
                  <w:pPr>
                    <w:pStyle w:val="34"/>
                    <w:keepNext w:val="0"/>
                    <w:keepLines w:val="0"/>
                    <w:pageBreakBefore w:val="0"/>
                    <w:widowControl w:val="0"/>
                    <w:kinsoku/>
                    <w:wordWrap/>
                    <w:overflowPunct/>
                    <w:topLinePunct w:val="0"/>
                    <w:autoSpaceDE/>
                    <w:autoSpaceDN/>
                    <w:bidi w:val="0"/>
                    <w:adjustRightInd w:val="0"/>
                    <w:snapToGrid w:val="0"/>
                    <w:spacing w:after="0"/>
                    <w:ind w:left="34" w:leftChars="0" w:hanging="34" w:hangingChars="19"/>
                    <w:jc w:val="center"/>
                    <w:textAlignment w:val="auto"/>
                    <w:rPr>
                      <w:rFonts w:hint="eastAsia" w:ascii="Times New Roman" w:hAnsi="Times New Roman" w:eastAsia="宋体" w:cs="Times New Roman"/>
                      <w:color w:val="auto"/>
                      <w:sz w:val="18"/>
                      <w:szCs w:val="18"/>
                      <w:highlight w:val="none"/>
                      <w:lang w:eastAsia="zh-CN"/>
                    </w:rPr>
                  </w:pPr>
                  <w:r>
                    <w:rPr>
                      <w:rFonts w:hint="eastAsia" w:cs="Times New Roman"/>
                      <w:color w:val="auto"/>
                      <w:sz w:val="18"/>
                      <w:szCs w:val="18"/>
                      <w:highlight w:val="none"/>
                      <w:lang w:val="en-US" w:eastAsia="zh-CN"/>
                    </w:rPr>
                    <w:t>新增布袋除尘器收尘直接回用生产；硅溶胶废包装桶由供货厂家回收循环使用</w:t>
                  </w:r>
                </w:p>
              </w:tc>
            </w:tr>
            <w:tr w14:paraId="5BF47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1" w:type="dxa"/>
                  <w:bottom w:w="0" w:type="dxa"/>
                  <w:right w:w="51" w:type="dxa"/>
                </w:tblCellMar>
              </w:tblPrEx>
              <w:trPr>
                <w:trHeight w:val="437" w:hRule="atLeast"/>
                <w:jc w:val="center"/>
              </w:trPr>
              <w:tc>
                <w:tcPr>
                  <w:tcW w:w="773" w:type="pct"/>
                  <w:vMerge w:val="continue"/>
                  <w:vAlign w:val="center"/>
                </w:tcPr>
                <w:p w14:paraId="57FADDD1">
                  <w:pPr>
                    <w:pStyle w:val="34"/>
                    <w:keepNext w:val="0"/>
                    <w:keepLines w:val="0"/>
                    <w:pageBreakBefore w:val="0"/>
                    <w:widowControl w:val="0"/>
                    <w:kinsoku/>
                    <w:wordWrap/>
                    <w:overflowPunct/>
                    <w:topLinePunct w:val="0"/>
                    <w:autoSpaceDE/>
                    <w:autoSpaceDN/>
                    <w:bidi w:val="0"/>
                    <w:adjustRightInd w:val="0"/>
                    <w:snapToGrid w:val="0"/>
                    <w:spacing w:after="0"/>
                    <w:ind w:left="59" w:leftChars="0" w:hanging="59" w:hangingChars="33"/>
                    <w:jc w:val="center"/>
                    <w:textAlignment w:val="auto"/>
                    <w:rPr>
                      <w:rFonts w:hint="default" w:ascii="Times New Roman" w:hAnsi="Times New Roman" w:cs="Times New Roman"/>
                      <w:color w:val="auto"/>
                      <w:sz w:val="18"/>
                      <w:szCs w:val="18"/>
                      <w:highlight w:val="none"/>
                    </w:rPr>
                  </w:pPr>
                </w:p>
              </w:tc>
              <w:tc>
                <w:tcPr>
                  <w:tcW w:w="945" w:type="pct"/>
                  <w:vAlign w:val="center"/>
                </w:tcPr>
                <w:p w14:paraId="79ED674B">
                  <w:pPr>
                    <w:pStyle w:val="34"/>
                    <w:keepNext w:val="0"/>
                    <w:keepLines w:val="0"/>
                    <w:pageBreakBefore w:val="0"/>
                    <w:widowControl w:val="0"/>
                    <w:kinsoku/>
                    <w:wordWrap/>
                    <w:overflowPunct/>
                    <w:topLinePunct w:val="0"/>
                    <w:autoSpaceDE/>
                    <w:autoSpaceDN/>
                    <w:bidi w:val="0"/>
                    <w:adjustRightInd w:val="0"/>
                    <w:snapToGrid w:val="0"/>
                    <w:spacing w:after="0"/>
                    <w:ind w:left="34" w:leftChars="0" w:hanging="34" w:hangingChars="19"/>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废气处理控制</w:t>
                  </w:r>
                </w:p>
              </w:tc>
              <w:tc>
                <w:tcPr>
                  <w:tcW w:w="1420" w:type="pct"/>
                  <w:tcBorders>
                    <w:right w:val="single" w:color="auto" w:sz="4" w:space="0"/>
                  </w:tcBorders>
                  <w:vAlign w:val="center"/>
                </w:tcPr>
                <w:p w14:paraId="2CE01C4D">
                  <w:pPr>
                    <w:pStyle w:val="34"/>
                    <w:keepNext w:val="0"/>
                    <w:keepLines w:val="0"/>
                    <w:pageBreakBefore w:val="0"/>
                    <w:widowControl w:val="0"/>
                    <w:kinsoku/>
                    <w:wordWrap/>
                    <w:overflowPunct/>
                    <w:topLinePunct w:val="0"/>
                    <w:autoSpaceDE/>
                    <w:autoSpaceDN/>
                    <w:bidi w:val="0"/>
                    <w:adjustRightInd w:val="0"/>
                    <w:snapToGrid w:val="0"/>
                    <w:spacing w:after="0"/>
                    <w:ind w:left="34" w:leftChars="0" w:hanging="34" w:hangingChars="19"/>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1#</w:t>
                  </w:r>
                  <w:r>
                    <w:rPr>
                      <w:rFonts w:hint="default" w:ascii="Times New Roman" w:hAnsi="Times New Roman" w:cs="Times New Roman"/>
                      <w:color w:val="auto"/>
                      <w:sz w:val="18"/>
                      <w:szCs w:val="18"/>
                      <w:highlight w:val="none"/>
                    </w:rPr>
                    <w:t>电炉烘干产生的</w:t>
                  </w:r>
                  <w:r>
                    <w:rPr>
                      <w:rFonts w:hint="eastAsia" w:cs="Times New Roman"/>
                      <w:color w:val="auto"/>
                      <w:sz w:val="18"/>
                      <w:szCs w:val="18"/>
                      <w:highlight w:val="none"/>
                      <w:lang w:val="en-US" w:eastAsia="zh-CN"/>
                    </w:rPr>
                    <w:t>VOCs经1#二级活性炭吸附装置处理后由15m高排气筒（DA001）有组织排放；2#</w:t>
                  </w:r>
                  <w:r>
                    <w:rPr>
                      <w:rFonts w:hint="default" w:ascii="Times New Roman" w:hAnsi="Times New Roman" w:cs="Times New Roman"/>
                      <w:color w:val="auto"/>
                      <w:sz w:val="18"/>
                      <w:szCs w:val="18"/>
                      <w:highlight w:val="none"/>
                    </w:rPr>
                    <w:t>电炉烘干产生的</w:t>
                  </w:r>
                  <w:r>
                    <w:rPr>
                      <w:rFonts w:hint="eastAsia" w:cs="Times New Roman"/>
                      <w:color w:val="auto"/>
                      <w:sz w:val="18"/>
                      <w:szCs w:val="18"/>
                      <w:highlight w:val="none"/>
                      <w:lang w:val="en-US" w:eastAsia="zh-CN"/>
                    </w:rPr>
                    <w:t>VOCs经2#二级活性炭吸附装置处理后由15m高排气筒（DA002）有组织排放；原料堆放过程、打浆机喂料过程、切割产品过程产生的粉尘、结合剂挥发产生的VOCs无组织排放</w:t>
                  </w:r>
                  <w:r>
                    <w:rPr>
                      <w:rFonts w:hint="default" w:ascii="Times New Roman" w:hAnsi="Times New Roman" w:cs="Times New Roman"/>
                      <w:color w:val="auto"/>
                      <w:sz w:val="18"/>
                      <w:szCs w:val="18"/>
                      <w:highlight w:val="none"/>
                    </w:rPr>
                    <w:t>。</w:t>
                  </w:r>
                </w:p>
              </w:tc>
              <w:tc>
                <w:tcPr>
                  <w:tcW w:w="930" w:type="pct"/>
                  <w:tcBorders>
                    <w:right w:val="single" w:color="auto" w:sz="4" w:space="0"/>
                  </w:tcBorders>
                  <w:vAlign w:val="center"/>
                </w:tcPr>
                <w:p w14:paraId="7CECBB67">
                  <w:pPr>
                    <w:pStyle w:val="34"/>
                    <w:keepNext w:val="0"/>
                    <w:keepLines w:val="0"/>
                    <w:pageBreakBefore w:val="0"/>
                    <w:widowControl w:val="0"/>
                    <w:kinsoku/>
                    <w:wordWrap/>
                    <w:overflowPunct/>
                    <w:topLinePunct w:val="0"/>
                    <w:autoSpaceDE/>
                    <w:autoSpaceDN/>
                    <w:bidi w:val="0"/>
                    <w:adjustRightInd w:val="0"/>
                    <w:snapToGrid w:val="0"/>
                    <w:spacing w:after="0"/>
                    <w:ind w:left="34" w:leftChars="0" w:hanging="34" w:hangingChars="19"/>
                    <w:jc w:val="center"/>
                    <w:textAlignment w:val="auto"/>
                    <w:rPr>
                      <w:rFonts w:hint="default" w:ascii="Times New Roman" w:hAnsi="Times New Roman" w:cs="Times New Roman"/>
                      <w:color w:val="auto"/>
                      <w:sz w:val="18"/>
                      <w:szCs w:val="18"/>
                      <w:highlight w:val="none"/>
                      <w:lang w:val="en-US"/>
                    </w:rPr>
                  </w:pPr>
                  <w:r>
                    <w:rPr>
                      <w:rFonts w:hint="eastAsia" w:ascii="Times New Roman" w:hAnsi="Times New Roman" w:cs="Times New Roman"/>
                      <w:color w:val="auto"/>
                      <w:sz w:val="18"/>
                      <w:szCs w:val="18"/>
                      <w:highlight w:val="none"/>
                      <w:lang w:val="en-US" w:eastAsia="zh-CN"/>
                    </w:rPr>
                    <w:t>现有1#电炉烘干产生的VOCs经1#二级活性炭吸附装置处理后由15m高排气筒（DA001）有组织排放；2#电炉烘干产生的VOCs经2#二级活性炭吸附装置处理后由15m高排气筒（DA002）有组织排放</w:t>
                  </w:r>
                  <w:r>
                    <w:rPr>
                      <w:rFonts w:hint="eastAsia" w:cs="Times New Roman"/>
                      <w:color w:val="auto"/>
                      <w:sz w:val="18"/>
                      <w:szCs w:val="18"/>
                      <w:highlight w:val="none"/>
                      <w:lang w:val="en-US" w:eastAsia="zh-CN"/>
                    </w:rPr>
                    <w:t>；改扩建项目精加工工序产生的粉尘经集气罩收集，布袋除尘器处理后无组织排放</w:t>
                  </w:r>
                </w:p>
              </w:tc>
              <w:tc>
                <w:tcPr>
                  <w:tcW w:w="930" w:type="pct"/>
                  <w:tcBorders>
                    <w:right w:val="single" w:color="auto" w:sz="4" w:space="0"/>
                  </w:tcBorders>
                  <w:vAlign w:val="center"/>
                </w:tcPr>
                <w:p w14:paraId="199057B9">
                  <w:pPr>
                    <w:pStyle w:val="34"/>
                    <w:keepNext w:val="0"/>
                    <w:keepLines w:val="0"/>
                    <w:pageBreakBefore w:val="0"/>
                    <w:widowControl w:val="0"/>
                    <w:kinsoku/>
                    <w:wordWrap/>
                    <w:overflowPunct/>
                    <w:topLinePunct w:val="0"/>
                    <w:autoSpaceDE/>
                    <w:autoSpaceDN/>
                    <w:bidi w:val="0"/>
                    <w:adjustRightInd w:val="0"/>
                    <w:snapToGrid w:val="0"/>
                    <w:spacing w:after="0"/>
                    <w:ind w:left="34" w:leftChars="0" w:hanging="34" w:hangingChars="19"/>
                    <w:jc w:val="center"/>
                    <w:textAlignment w:val="auto"/>
                    <w:rPr>
                      <w:rFonts w:hint="default"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lang w:val="en-US" w:eastAsia="zh-CN"/>
                    </w:rPr>
                    <w:t>新增</w:t>
                  </w:r>
                  <w:r>
                    <w:rPr>
                      <w:rFonts w:hint="eastAsia" w:cs="Times New Roman"/>
                      <w:color w:val="auto"/>
                      <w:sz w:val="18"/>
                      <w:szCs w:val="18"/>
                      <w:highlight w:val="none"/>
                      <w:lang w:val="en-US" w:eastAsia="zh-CN"/>
                    </w:rPr>
                    <w:t>精加工工序产生的粉尘经集气罩收集，布袋除尘器处理后无组织排放</w:t>
                  </w:r>
                </w:p>
              </w:tc>
            </w:tr>
          </w:tbl>
          <w:p w14:paraId="649EB1E1">
            <w:pPr>
              <w:spacing w:line="360" w:lineRule="auto"/>
              <w:ind w:firstLine="420" w:firstLineChars="200"/>
              <w:rPr>
                <w:rFonts w:hint="default" w:ascii="Times New Roman" w:hAnsi="Times New Roman" w:cs="Times New Roman"/>
                <w:color w:val="auto"/>
                <w:szCs w:val="21"/>
              </w:rPr>
            </w:pPr>
            <w:r>
              <w:rPr>
                <w:rFonts w:hint="default" w:ascii="Times New Roman" w:hAnsi="Times New Roman" w:eastAsia="黑体" w:cs="Times New Roman"/>
                <w:color w:val="auto"/>
                <w:szCs w:val="21"/>
              </w:rPr>
              <w:t>6、工程总投资及环保投资：</w:t>
            </w:r>
            <w:r>
              <w:rPr>
                <w:rFonts w:hint="eastAsia" w:ascii="Times New Roman" w:hAnsi="Times New Roman" w:eastAsia="宋体" w:cs="Times New Roman"/>
                <w:color w:val="auto"/>
                <w:szCs w:val="21"/>
                <w:lang w:val="en-US" w:eastAsia="zh-CN"/>
              </w:rPr>
              <w:t>本项目</w:t>
            </w:r>
            <w:r>
              <w:rPr>
                <w:rFonts w:hint="default" w:ascii="Times New Roman" w:hAnsi="Times New Roman" w:eastAsia="宋体" w:cs="Times New Roman"/>
                <w:color w:val="auto"/>
                <w:szCs w:val="21"/>
              </w:rPr>
              <w:t>投</w:t>
            </w:r>
            <w:r>
              <w:rPr>
                <w:rFonts w:hint="default" w:ascii="Times New Roman" w:hAnsi="Times New Roman" w:cs="Times New Roman"/>
                <w:color w:val="auto"/>
                <w:szCs w:val="21"/>
              </w:rPr>
              <w:t>资</w:t>
            </w:r>
            <w:r>
              <w:rPr>
                <w:rFonts w:hint="eastAsia" w:cs="Times New Roman"/>
                <w:color w:val="auto"/>
                <w:szCs w:val="21"/>
                <w:lang w:val="en-US" w:eastAsia="zh-CN"/>
              </w:rPr>
              <w:t>50</w:t>
            </w:r>
            <w:r>
              <w:rPr>
                <w:rFonts w:hint="default" w:ascii="Times New Roman" w:hAnsi="Times New Roman" w:cs="Times New Roman"/>
                <w:color w:val="auto"/>
                <w:szCs w:val="21"/>
              </w:rPr>
              <w:t>0万元，其中环保投资</w:t>
            </w:r>
            <w:r>
              <w:rPr>
                <w:rFonts w:hint="default" w:ascii="Times New Roman" w:hAnsi="Times New Roman" w:cs="Times New Roman"/>
                <w:color w:val="auto"/>
                <w:szCs w:val="21"/>
                <w:lang w:val="en-US" w:eastAsia="zh-CN"/>
              </w:rPr>
              <w:t>30</w:t>
            </w:r>
            <w:r>
              <w:rPr>
                <w:rFonts w:hint="default" w:ascii="Times New Roman" w:hAnsi="Times New Roman" w:cs="Times New Roman"/>
                <w:color w:val="auto"/>
                <w:szCs w:val="21"/>
              </w:rPr>
              <w:t>万元，占总投资的</w:t>
            </w:r>
            <w:r>
              <w:rPr>
                <w:rFonts w:hint="default" w:ascii="Times New Roman" w:hAnsi="Times New Roman" w:cs="Times New Roman"/>
                <w:color w:val="auto"/>
                <w:szCs w:val="21"/>
                <w:lang w:val="en-US" w:eastAsia="zh-CN"/>
              </w:rPr>
              <w:t>6</w:t>
            </w:r>
            <w:r>
              <w:rPr>
                <w:rFonts w:hint="default" w:ascii="Times New Roman" w:hAnsi="Times New Roman" w:cs="Times New Roman"/>
                <w:color w:val="auto"/>
                <w:szCs w:val="21"/>
              </w:rPr>
              <w:t>%。</w:t>
            </w:r>
          </w:p>
          <w:p w14:paraId="41DE7A43">
            <w:pPr>
              <w:spacing w:line="360" w:lineRule="auto"/>
              <w:ind w:firstLine="420" w:firstLineChars="200"/>
              <w:rPr>
                <w:rFonts w:hint="default" w:ascii="Times New Roman" w:hAnsi="Times New Roman" w:cs="Times New Roman"/>
                <w:color w:val="auto"/>
                <w:kern w:val="0"/>
                <w:szCs w:val="21"/>
              </w:rPr>
            </w:pPr>
            <w:r>
              <w:rPr>
                <w:rFonts w:hint="default" w:ascii="Times New Roman" w:hAnsi="Times New Roman" w:eastAsia="黑体" w:cs="Times New Roman"/>
                <w:color w:val="auto"/>
                <w:szCs w:val="21"/>
              </w:rPr>
              <w:t>7、劳动制度及定员</w:t>
            </w:r>
            <w:r>
              <w:rPr>
                <w:rFonts w:hint="default" w:ascii="Times New Roman" w:hAnsi="Times New Roman" w:eastAsia="黑体" w:cs="Times New Roman"/>
                <w:color w:val="auto"/>
                <w:kern w:val="0"/>
                <w:szCs w:val="21"/>
                <w:lang w:eastAsia="zh-CN"/>
              </w:rPr>
              <w:t>：</w:t>
            </w:r>
            <w:r>
              <w:rPr>
                <w:rFonts w:hint="eastAsia" w:ascii="Times New Roman" w:hAnsi="Times New Roman" w:eastAsia="宋体" w:cs="Times New Roman"/>
                <w:color w:val="auto"/>
                <w:kern w:val="0"/>
                <w:szCs w:val="21"/>
                <w:lang w:val="en-US" w:eastAsia="zh-CN"/>
              </w:rPr>
              <w:t>现有项目劳动定员为20人，</w:t>
            </w:r>
            <w:r>
              <w:rPr>
                <w:rFonts w:hint="eastAsia" w:ascii="Times New Roman" w:hAnsi="Times New Roman" w:eastAsia="宋体" w:cs="Times New Roman"/>
                <w:color w:val="auto"/>
                <w:kern w:val="0"/>
                <w:szCs w:val="21"/>
                <w:lang w:eastAsia="zh-CN"/>
              </w:rPr>
              <w:t>本项目</w:t>
            </w:r>
            <w:r>
              <w:rPr>
                <w:rFonts w:hint="default" w:ascii="Times New Roman" w:hAnsi="Times New Roman" w:cs="Times New Roman"/>
                <w:color w:val="auto"/>
                <w:kern w:val="0"/>
                <w:szCs w:val="21"/>
              </w:rPr>
              <w:t>新增劳动定员为</w:t>
            </w:r>
            <w:r>
              <w:rPr>
                <w:rFonts w:hint="eastAsia" w:cs="Times New Roman"/>
                <w:color w:val="auto"/>
                <w:kern w:val="0"/>
                <w:szCs w:val="21"/>
                <w:lang w:val="en-US" w:eastAsia="zh-CN"/>
              </w:rPr>
              <w:t>16</w:t>
            </w:r>
            <w:r>
              <w:rPr>
                <w:rFonts w:hint="default" w:ascii="Times New Roman" w:hAnsi="Times New Roman" w:cs="Times New Roman"/>
                <w:color w:val="auto"/>
                <w:kern w:val="0"/>
                <w:szCs w:val="21"/>
              </w:rPr>
              <w:t>人，项目年运行300天，</w:t>
            </w:r>
            <w:r>
              <w:rPr>
                <w:rFonts w:hint="eastAsia" w:cs="Times New Roman"/>
                <w:color w:val="auto"/>
                <w:kern w:val="0"/>
                <w:szCs w:val="21"/>
                <w:lang w:val="en-US" w:eastAsia="zh-CN"/>
              </w:rPr>
              <w:t>现有生产线为两班倒，每班12h，本项目新增生产线为</w:t>
            </w:r>
            <w:r>
              <w:rPr>
                <w:rFonts w:hint="default" w:ascii="Times New Roman" w:hAnsi="Times New Roman" w:cs="Times New Roman"/>
                <w:color w:val="auto"/>
                <w:kern w:val="0"/>
                <w:szCs w:val="21"/>
              </w:rPr>
              <w:t>白班一班</w:t>
            </w:r>
            <w:r>
              <w:rPr>
                <w:rFonts w:hint="eastAsia" w:cs="Times New Roman"/>
                <w:color w:val="auto"/>
                <w:kern w:val="0"/>
                <w:szCs w:val="21"/>
                <w:lang w:val="en-US" w:eastAsia="zh-CN"/>
              </w:rPr>
              <w:t>12</w:t>
            </w:r>
            <w:r>
              <w:rPr>
                <w:rFonts w:hint="default" w:ascii="Times New Roman" w:hAnsi="Times New Roman" w:cs="Times New Roman"/>
                <w:color w:val="auto"/>
                <w:kern w:val="0"/>
                <w:szCs w:val="21"/>
              </w:rPr>
              <w:t>小时工作制。</w:t>
            </w:r>
          </w:p>
          <w:p w14:paraId="5477BBC7">
            <w:pPr>
              <w:spacing w:line="360" w:lineRule="auto"/>
              <w:ind w:firstLine="420" w:firstLineChars="200"/>
              <w:jc w:val="left"/>
              <w:rPr>
                <w:rFonts w:hint="default" w:ascii="Times New Roman" w:hAnsi="Times New Roman" w:cs="Times New Roman"/>
                <w:color w:val="auto"/>
                <w:szCs w:val="21"/>
              </w:rPr>
            </w:pPr>
            <w:r>
              <w:rPr>
                <w:rFonts w:hint="default" w:ascii="Times New Roman" w:hAnsi="Times New Roman" w:eastAsia="黑体" w:cs="Times New Roman"/>
                <w:color w:val="auto"/>
                <w:szCs w:val="21"/>
              </w:rPr>
              <w:t>8、生产日期：</w:t>
            </w:r>
            <w:r>
              <w:rPr>
                <w:rFonts w:hint="default" w:ascii="Times New Roman" w:hAnsi="Times New Roman" w:cs="Times New Roman"/>
                <w:color w:val="auto"/>
                <w:kern w:val="0"/>
                <w:szCs w:val="21"/>
              </w:rPr>
              <w:t>本项目拟于202</w:t>
            </w:r>
            <w:r>
              <w:rPr>
                <w:rFonts w:hint="eastAsia" w:cs="Times New Roman"/>
                <w:color w:val="auto"/>
                <w:kern w:val="0"/>
                <w:szCs w:val="21"/>
                <w:lang w:val="en-US" w:eastAsia="zh-CN"/>
              </w:rPr>
              <w:t>5</w:t>
            </w:r>
            <w:r>
              <w:rPr>
                <w:rFonts w:hint="default" w:ascii="Times New Roman" w:hAnsi="Times New Roman" w:cs="Times New Roman"/>
                <w:color w:val="auto"/>
                <w:kern w:val="0"/>
                <w:szCs w:val="21"/>
              </w:rPr>
              <w:t>年</w:t>
            </w:r>
            <w:r>
              <w:rPr>
                <w:rFonts w:hint="eastAsia" w:cs="Times New Roman"/>
                <w:color w:val="auto"/>
                <w:kern w:val="0"/>
                <w:szCs w:val="21"/>
                <w:lang w:val="en-US" w:eastAsia="zh-CN"/>
              </w:rPr>
              <w:t>5</w:t>
            </w:r>
            <w:r>
              <w:rPr>
                <w:rFonts w:hint="default" w:ascii="Times New Roman" w:hAnsi="Times New Roman" w:cs="Times New Roman"/>
                <w:color w:val="auto"/>
                <w:kern w:val="0"/>
                <w:szCs w:val="21"/>
              </w:rPr>
              <w:t>月投产。</w:t>
            </w:r>
          </w:p>
          <w:p w14:paraId="30E11816">
            <w:pPr>
              <w:spacing w:line="360" w:lineRule="auto"/>
              <w:ind w:firstLine="420" w:firstLineChars="200"/>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rPr>
              <w:t>9、原辅材料及能源消耗</w:t>
            </w:r>
          </w:p>
          <w:p w14:paraId="5106BB00">
            <w:pPr>
              <w:pStyle w:val="85"/>
              <w:ind w:left="0" w:leftChars="0"/>
              <w:rPr>
                <w:rFonts w:hint="default" w:ascii="Times New Roman" w:hAnsi="Times New Roman" w:cs="Times New Roman"/>
                <w:color w:val="auto"/>
                <w:highlight w:val="none"/>
              </w:rPr>
            </w:pPr>
            <w:r>
              <w:rPr>
                <w:rFonts w:hint="default" w:ascii="Times New Roman" w:hAnsi="Times New Roman" w:cs="Times New Roman"/>
                <w:color w:val="auto"/>
                <w:highlight w:val="none"/>
              </w:rPr>
              <w:t>（1）主要原辅材料及能源消耗用量</w:t>
            </w:r>
          </w:p>
          <w:p w14:paraId="366B7824">
            <w:pPr>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本项目主要原辅材料及能源消耗，具体情况见表2-</w:t>
            </w:r>
            <w:r>
              <w:rPr>
                <w:rFonts w:hint="default" w:ascii="Times New Roman" w:hAnsi="Times New Roman" w:cs="Times New Roman"/>
                <w:snapToGrid w:val="0"/>
                <w:color w:val="auto"/>
                <w:kern w:val="0"/>
                <w:szCs w:val="21"/>
                <w:highlight w:val="none"/>
                <w:lang w:val="en-US" w:eastAsia="zh-CN"/>
              </w:rPr>
              <w:t>3</w:t>
            </w:r>
            <w:r>
              <w:rPr>
                <w:rFonts w:hint="default" w:ascii="Times New Roman" w:hAnsi="Times New Roman" w:cs="Times New Roman"/>
                <w:snapToGrid w:val="0"/>
                <w:color w:val="auto"/>
                <w:kern w:val="0"/>
                <w:szCs w:val="21"/>
                <w:highlight w:val="none"/>
              </w:rPr>
              <w:t>。</w:t>
            </w:r>
          </w:p>
          <w:p w14:paraId="30996BA1">
            <w:pPr>
              <w:pStyle w:val="85"/>
              <w:spacing w:after="0"/>
              <w:ind w:left="0" w:leftChars="0"/>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表2-</w:t>
            </w:r>
            <w:r>
              <w:rPr>
                <w:rFonts w:hint="default"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rPr>
              <w:t>主要原辅料及能源消耗</w:t>
            </w:r>
          </w:p>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1194"/>
              <w:gridCol w:w="814"/>
              <w:gridCol w:w="1354"/>
              <w:gridCol w:w="1626"/>
              <w:gridCol w:w="1626"/>
              <w:gridCol w:w="1990"/>
            </w:tblGrid>
            <w:tr w14:paraId="0ED1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63" w:type="pct"/>
                  <w:vAlign w:val="center"/>
                </w:tcPr>
                <w:p w14:paraId="31B5597D">
                  <w:pPr>
                    <w:tabs>
                      <w:tab w:val="left" w:pos="1680"/>
                    </w:tabs>
                    <w:spacing w:line="0" w:lineRule="atLeast"/>
                    <w:ind w:right="-108"/>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序号</w:t>
                  </w:r>
                </w:p>
              </w:tc>
              <w:tc>
                <w:tcPr>
                  <w:tcW w:w="657" w:type="pct"/>
                  <w:vAlign w:val="center"/>
                </w:tcPr>
                <w:p w14:paraId="6CB9D962">
                  <w:pPr>
                    <w:tabs>
                      <w:tab w:val="left" w:pos="1680"/>
                    </w:tabs>
                    <w:spacing w:line="0" w:lineRule="atLeast"/>
                    <w:ind w:right="-108"/>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名称</w:t>
                  </w:r>
                </w:p>
              </w:tc>
              <w:tc>
                <w:tcPr>
                  <w:tcW w:w="448" w:type="pct"/>
                  <w:vAlign w:val="center"/>
                </w:tcPr>
                <w:p w14:paraId="5970A6F1">
                  <w:pPr>
                    <w:tabs>
                      <w:tab w:val="left" w:pos="1680"/>
                    </w:tabs>
                    <w:spacing w:line="0" w:lineRule="atLeast"/>
                    <w:ind w:right="-108"/>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单位</w:t>
                  </w:r>
                </w:p>
              </w:tc>
              <w:tc>
                <w:tcPr>
                  <w:tcW w:w="745" w:type="pct"/>
                  <w:vAlign w:val="center"/>
                </w:tcPr>
                <w:p w14:paraId="2E68E035">
                  <w:pPr>
                    <w:tabs>
                      <w:tab w:val="left" w:pos="1680"/>
                    </w:tabs>
                    <w:spacing w:line="0" w:lineRule="atLeast"/>
                    <w:ind w:right="-108"/>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现有项目用量</w:t>
                  </w:r>
                </w:p>
              </w:tc>
              <w:tc>
                <w:tcPr>
                  <w:tcW w:w="895" w:type="pct"/>
                  <w:vAlign w:val="center"/>
                </w:tcPr>
                <w:p w14:paraId="68A45E95">
                  <w:pPr>
                    <w:tabs>
                      <w:tab w:val="left" w:pos="1680"/>
                    </w:tabs>
                    <w:spacing w:line="0" w:lineRule="atLeast"/>
                    <w:ind w:right="-108"/>
                    <w:jc w:val="center"/>
                    <w:rPr>
                      <w:rFonts w:hint="default" w:ascii="Times New Roman" w:hAnsi="Times New Roman" w:cs="Times New Roman"/>
                      <w:b/>
                      <w:color w:val="auto"/>
                      <w:sz w:val="18"/>
                      <w:szCs w:val="18"/>
                      <w:highlight w:val="none"/>
                    </w:rPr>
                  </w:pPr>
                  <w:r>
                    <w:rPr>
                      <w:rFonts w:hint="eastAsia" w:cs="Times New Roman"/>
                      <w:b/>
                      <w:color w:val="auto"/>
                      <w:sz w:val="18"/>
                      <w:szCs w:val="18"/>
                      <w:highlight w:val="none"/>
                      <w:lang w:eastAsia="zh-CN"/>
                    </w:rPr>
                    <w:t>改扩建项目新增</w:t>
                  </w:r>
                  <w:r>
                    <w:rPr>
                      <w:rFonts w:hint="default" w:ascii="Times New Roman" w:hAnsi="Times New Roman" w:cs="Times New Roman"/>
                      <w:b/>
                      <w:color w:val="auto"/>
                      <w:sz w:val="18"/>
                      <w:szCs w:val="18"/>
                      <w:highlight w:val="none"/>
                    </w:rPr>
                    <w:t>用量</w:t>
                  </w:r>
                </w:p>
              </w:tc>
              <w:tc>
                <w:tcPr>
                  <w:tcW w:w="895" w:type="pct"/>
                  <w:vAlign w:val="center"/>
                </w:tcPr>
                <w:p w14:paraId="1C881C78">
                  <w:pPr>
                    <w:tabs>
                      <w:tab w:val="left" w:pos="1680"/>
                    </w:tabs>
                    <w:spacing w:line="0" w:lineRule="atLeast"/>
                    <w:ind w:right="-108"/>
                    <w:jc w:val="center"/>
                    <w:rPr>
                      <w:rFonts w:hint="default" w:ascii="Times New Roman" w:hAnsi="Times New Roman" w:cs="Times New Roman"/>
                      <w:b/>
                      <w:color w:val="auto"/>
                      <w:sz w:val="18"/>
                      <w:szCs w:val="18"/>
                      <w:highlight w:val="none"/>
                    </w:rPr>
                  </w:pPr>
                  <w:r>
                    <w:rPr>
                      <w:rFonts w:hint="eastAsia" w:cs="Times New Roman"/>
                      <w:b/>
                      <w:color w:val="auto"/>
                      <w:sz w:val="18"/>
                      <w:szCs w:val="18"/>
                      <w:highlight w:val="none"/>
                      <w:lang w:eastAsia="zh-CN"/>
                    </w:rPr>
                    <w:t>改扩建项目完成</w:t>
                  </w:r>
                  <w:r>
                    <w:rPr>
                      <w:rFonts w:hint="default" w:ascii="Times New Roman" w:hAnsi="Times New Roman" w:cs="Times New Roman"/>
                      <w:b/>
                      <w:color w:val="auto"/>
                      <w:sz w:val="18"/>
                      <w:szCs w:val="18"/>
                      <w:highlight w:val="none"/>
                    </w:rPr>
                    <w:t>后全厂用量</w:t>
                  </w:r>
                </w:p>
              </w:tc>
              <w:tc>
                <w:tcPr>
                  <w:tcW w:w="1095" w:type="pct"/>
                  <w:vAlign w:val="center"/>
                </w:tcPr>
                <w:p w14:paraId="7636E878">
                  <w:pPr>
                    <w:tabs>
                      <w:tab w:val="left" w:pos="1680"/>
                    </w:tabs>
                    <w:spacing w:line="0" w:lineRule="atLeast"/>
                    <w:ind w:right="-108"/>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备注</w:t>
                  </w:r>
                </w:p>
              </w:tc>
            </w:tr>
            <w:tr w14:paraId="6DD7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63" w:type="pct"/>
                  <w:vAlign w:val="center"/>
                </w:tcPr>
                <w:p w14:paraId="49AA9055">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w:t>
                  </w:r>
                </w:p>
              </w:tc>
              <w:tc>
                <w:tcPr>
                  <w:tcW w:w="657" w:type="pct"/>
                  <w:shd w:val="clear" w:color="auto" w:fill="auto"/>
                  <w:vAlign w:val="center"/>
                </w:tcPr>
                <w:p w14:paraId="4381C413">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陶瓷纤维棉</w:t>
                  </w:r>
                </w:p>
              </w:tc>
              <w:tc>
                <w:tcPr>
                  <w:tcW w:w="448" w:type="pct"/>
                  <w:vAlign w:val="center"/>
                </w:tcPr>
                <w:p w14:paraId="7C20B0EE">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t/a</w:t>
                  </w:r>
                </w:p>
              </w:tc>
              <w:tc>
                <w:tcPr>
                  <w:tcW w:w="745" w:type="pct"/>
                  <w:vAlign w:val="center"/>
                </w:tcPr>
                <w:p w14:paraId="6360988F">
                  <w:pPr>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188</w:t>
                  </w:r>
                </w:p>
              </w:tc>
              <w:tc>
                <w:tcPr>
                  <w:tcW w:w="895" w:type="pct"/>
                  <w:vAlign w:val="center"/>
                </w:tcPr>
                <w:p w14:paraId="153C5EAD">
                  <w:pPr>
                    <w:tabs>
                      <w:tab w:val="left" w:pos="1680"/>
                    </w:tabs>
                    <w:spacing w:line="0" w:lineRule="atLeast"/>
                    <w:ind w:right="-108" w:rightChars="0"/>
                    <w:jc w:val="center"/>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sz w:val="18"/>
                      <w:szCs w:val="18"/>
                      <w:highlight w:val="none"/>
                      <w:lang w:val="en-US" w:eastAsia="zh-CN"/>
                    </w:rPr>
                    <w:t>282</w:t>
                  </w:r>
                </w:p>
              </w:tc>
              <w:tc>
                <w:tcPr>
                  <w:tcW w:w="895" w:type="pct"/>
                  <w:vAlign w:val="center"/>
                </w:tcPr>
                <w:p w14:paraId="18E97E1A">
                  <w:pPr>
                    <w:tabs>
                      <w:tab w:val="left" w:pos="1680"/>
                    </w:tabs>
                    <w:spacing w:line="0" w:lineRule="atLeast"/>
                    <w:ind w:right="-108" w:rightChars="0"/>
                    <w:jc w:val="center"/>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color w:val="auto"/>
                      <w:sz w:val="18"/>
                      <w:szCs w:val="18"/>
                      <w:highlight w:val="none"/>
                      <w:lang w:val="en-US" w:eastAsia="zh-CN"/>
                    </w:rPr>
                    <w:t>470</w:t>
                  </w:r>
                </w:p>
              </w:tc>
              <w:tc>
                <w:tcPr>
                  <w:tcW w:w="1095" w:type="pct"/>
                  <w:vAlign w:val="center"/>
                </w:tcPr>
                <w:p w14:paraId="798B4C6D">
                  <w:pPr>
                    <w:tabs>
                      <w:tab w:val="left" w:pos="1680"/>
                    </w:tabs>
                    <w:spacing w:line="0" w:lineRule="atLeast"/>
                    <w:ind w:right="-108" w:rightChars="0"/>
                    <w:jc w:val="center"/>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cs="Times New Roman"/>
                      <w:bCs/>
                      <w:color w:val="auto"/>
                      <w:sz w:val="18"/>
                      <w:szCs w:val="18"/>
                      <w:highlight w:val="none"/>
                    </w:rPr>
                    <w:t>外购</w:t>
                  </w:r>
                  <w:r>
                    <w:rPr>
                      <w:rFonts w:hint="eastAsia" w:cs="Times New Roman"/>
                      <w:bCs/>
                      <w:color w:val="auto"/>
                      <w:sz w:val="18"/>
                      <w:szCs w:val="18"/>
                      <w:highlight w:val="none"/>
                      <w:lang w:eastAsia="zh-CN"/>
                    </w:rPr>
                    <w:t>，</w:t>
                  </w:r>
                  <w:r>
                    <w:rPr>
                      <w:rFonts w:hint="eastAsia" w:cs="Times New Roman"/>
                      <w:bCs/>
                      <w:color w:val="auto"/>
                      <w:sz w:val="18"/>
                      <w:szCs w:val="18"/>
                      <w:highlight w:val="none"/>
                      <w:lang w:val="en-US" w:eastAsia="zh-CN"/>
                    </w:rPr>
                    <w:t>袋装，1t/袋</w:t>
                  </w:r>
                </w:p>
              </w:tc>
            </w:tr>
            <w:tr w14:paraId="286A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63" w:type="pct"/>
                  <w:vAlign w:val="center"/>
                </w:tcPr>
                <w:p w14:paraId="7E5AC19B">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2</w:t>
                  </w:r>
                </w:p>
              </w:tc>
              <w:tc>
                <w:tcPr>
                  <w:tcW w:w="657" w:type="pct"/>
                  <w:shd w:val="clear" w:color="auto" w:fill="auto"/>
                  <w:vAlign w:val="center"/>
                </w:tcPr>
                <w:p w14:paraId="782F4BEB">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结合剂</w:t>
                  </w:r>
                </w:p>
              </w:tc>
              <w:tc>
                <w:tcPr>
                  <w:tcW w:w="448" w:type="pct"/>
                  <w:vAlign w:val="center"/>
                </w:tcPr>
                <w:p w14:paraId="7CFB4115">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t/a</w:t>
                  </w:r>
                </w:p>
              </w:tc>
              <w:tc>
                <w:tcPr>
                  <w:tcW w:w="745" w:type="pct"/>
                  <w:vAlign w:val="center"/>
                </w:tcPr>
                <w:p w14:paraId="1F03E684">
                  <w:pPr>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50</w:t>
                  </w:r>
                </w:p>
              </w:tc>
              <w:tc>
                <w:tcPr>
                  <w:tcW w:w="895" w:type="pct"/>
                  <w:vAlign w:val="center"/>
                </w:tcPr>
                <w:p w14:paraId="7C2F6222">
                  <w:pPr>
                    <w:tabs>
                      <w:tab w:val="left" w:pos="1680"/>
                    </w:tabs>
                    <w:spacing w:line="0" w:lineRule="atLeast"/>
                    <w:ind w:right="-108" w:rightChars="0"/>
                    <w:jc w:val="center"/>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0</w:t>
                  </w:r>
                </w:p>
              </w:tc>
              <w:tc>
                <w:tcPr>
                  <w:tcW w:w="895" w:type="pct"/>
                  <w:vAlign w:val="center"/>
                </w:tcPr>
                <w:p w14:paraId="6A727481">
                  <w:pPr>
                    <w:tabs>
                      <w:tab w:val="left" w:pos="1680"/>
                    </w:tabs>
                    <w:spacing w:line="0" w:lineRule="atLeast"/>
                    <w:ind w:right="-108" w:rightChars="0"/>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50</w:t>
                  </w:r>
                </w:p>
              </w:tc>
              <w:tc>
                <w:tcPr>
                  <w:tcW w:w="1095" w:type="pct"/>
                  <w:vAlign w:val="center"/>
                </w:tcPr>
                <w:p w14:paraId="29B7D2AF">
                  <w:pPr>
                    <w:tabs>
                      <w:tab w:val="left" w:pos="1680"/>
                    </w:tabs>
                    <w:spacing w:line="0" w:lineRule="atLeast"/>
                    <w:ind w:right="-108" w:rightChars="0"/>
                    <w:jc w:val="center"/>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外购，桶装，25kg/桶、50kg/桶，最大储存量为2t</w:t>
                  </w:r>
                </w:p>
              </w:tc>
            </w:tr>
            <w:tr w14:paraId="33FE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63" w:type="pct"/>
                  <w:vAlign w:val="center"/>
                </w:tcPr>
                <w:p w14:paraId="3D055712">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3</w:t>
                  </w:r>
                </w:p>
              </w:tc>
              <w:tc>
                <w:tcPr>
                  <w:tcW w:w="657" w:type="pct"/>
                  <w:vAlign w:val="center"/>
                </w:tcPr>
                <w:p w14:paraId="3FF0AED2">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硅溶胶</w:t>
                  </w:r>
                </w:p>
              </w:tc>
              <w:tc>
                <w:tcPr>
                  <w:tcW w:w="448" w:type="pct"/>
                  <w:vAlign w:val="center"/>
                </w:tcPr>
                <w:p w14:paraId="4B3CB15C">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t/a</w:t>
                  </w:r>
                </w:p>
              </w:tc>
              <w:tc>
                <w:tcPr>
                  <w:tcW w:w="745" w:type="pct"/>
                  <w:vAlign w:val="center"/>
                </w:tcPr>
                <w:p w14:paraId="6B5AF004">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0</w:t>
                  </w:r>
                </w:p>
              </w:tc>
              <w:tc>
                <w:tcPr>
                  <w:tcW w:w="895" w:type="pct"/>
                  <w:vAlign w:val="center"/>
                </w:tcPr>
                <w:p w14:paraId="0639CE2F">
                  <w:pPr>
                    <w:tabs>
                      <w:tab w:val="left" w:pos="1680"/>
                    </w:tabs>
                    <w:spacing w:line="0" w:lineRule="atLeast"/>
                    <w:ind w:right="-108" w:rightChars="0"/>
                    <w:jc w:val="center"/>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sz w:val="18"/>
                      <w:szCs w:val="18"/>
                      <w:highlight w:val="none"/>
                      <w:lang w:val="en-US" w:eastAsia="zh-CN"/>
                    </w:rPr>
                    <w:t>75</w:t>
                  </w:r>
                </w:p>
              </w:tc>
              <w:tc>
                <w:tcPr>
                  <w:tcW w:w="895" w:type="pct"/>
                  <w:vAlign w:val="center"/>
                </w:tcPr>
                <w:p w14:paraId="068FF38C">
                  <w:pPr>
                    <w:tabs>
                      <w:tab w:val="left" w:pos="1680"/>
                    </w:tabs>
                    <w:spacing w:line="0" w:lineRule="atLeast"/>
                    <w:ind w:right="-108" w:rightChars="0"/>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75</w:t>
                  </w:r>
                </w:p>
              </w:tc>
              <w:tc>
                <w:tcPr>
                  <w:tcW w:w="1095" w:type="pct"/>
                  <w:vAlign w:val="center"/>
                </w:tcPr>
                <w:p w14:paraId="15EE2F5F">
                  <w:pPr>
                    <w:tabs>
                      <w:tab w:val="left" w:pos="1680"/>
                    </w:tabs>
                    <w:spacing w:line="0" w:lineRule="atLeast"/>
                    <w:ind w:right="-108" w:rightChars="0"/>
                    <w:jc w:val="center"/>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外购，桶装，25kg/桶、50kg/桶，最大储存量为2t</w:t>
                  </w:r>
                </w:p>
              </w:tc>
            </w:tr>
            <w:tr w14:paraId="6F25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63" w:type="pct"/>
                  <w:vAlign w:val="center"/>
                </w:tcPr>
                <w:p w14:paraId="487E94B9">
                  <w:pPr>
                    <w:jc w:val="center"/>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4</w:t>
                  </w:r>
                </w:p>
              </w:tc>
              <w:tc>
                <w:tcPr>
                  <w:tcW w:w="657" w:type="pct"/>
                  <w:vAlign w:val="center"/>
                </w:tcPr>
                <w:p w14:paraId="180D271D">
                  <w:pPr>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包装箱</w:t>
                  </w:r>
                </w:p>
              </w:tc>
              <w:tc>
                <w:tcPr>
                  <w:tcW w:w="448" w:type="pct"/>
                  <w:vAlign w:val="center"/>
                </w:tcPr>
                <w:p w14:paraId="5407B457">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t/a</w:t>
                  </w:r>
                </w:p>
              </w:tc>
              <w:tc>
                <w:tcPr>
                  <w:tcW w:w="745" w:type="pct"/>
                  <w:vAlign w:val="center"/>
                </w:tcPr>
                <w:p w14:paraId="128E80C7">
                  <w:pPr>
                    <w:jc w:val="center"/>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0.8</w:t>
                  </w:r>
                </w:p>
              </w:tc>
              <w:tc>
                <w:tcPr>
                  <w:tcW w:w="895" w:type="pct"/>
                  <w:vAlign w:val="center"/>
                </w:tcPr>
                <w:p w14:paraId="7BF0EB35">
                  <w:pPr>
                    <w:tabs>
                      <w:tab w:val="left" w:pos="1680"/>
                    </w:tabs>
                    <w:spacing w:line="0" w:lineRule="atLeast"/>
                    <w:ind w:right="-108"/>
                    <w:jc w:val="center"/>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1</w:t>
                  </w:r>
                </w:p>
              </w:tc>
              <w:tc>
                <w:tcPr>
                  <w:tcW w:w="895" w:type="pct"/>
                  <w:vAlign w:val="center"/>
                </w:tcPr>
                <w:p w14:paraId="237FCF6D">
                  <w:pPr>
                    <w:tabs>
                      <w:tab w:val="left" w:pos="1680"/>
                    </w:tabs>
                    <w:spacing w:line="0" w:lineRule="atLeast"/>
                    <w:ind w:right="-108"/>
                    <w:jc w:val="center"/>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1.8</w:t>
                  </w:r>
                </w:p>
              </w:tc>
              <w:tc>
                <w:tcPr>
                  <w:tcW w:w="1095" w:type="pct"/>
                  <w:vAlign w:val="center"/>
                </w:tcPr>
                <w:p w14:paraId="1EAF9397">
                  <w:pPr>
                    <w:tabs>
                      <w:tab w:val="left" w:pos="1680"/>
                    </w:tabs>
                    <w:spacing w:line="0" w:lineRule="atLeast"/>
                    <w:ind w:right="-108"/>
                    <w:jc w:val="center"/>
                    <w:rPr>
                      <w:rFonts w:hint="default" w:ascii="Times New Roman" w:hAnsi="Times New Roman" w:cs="Times New Roman"/>
                      <w:color w:val="auto"/>
                      <w:sz w:val="18"/>
                      <w:szCs w:val="18"/>
                      <w:highlight w:val="none"/>
                    </w:rPr>
                  </w:pPr>
                  <w:r>
                    <w:rPr>
                      <w:rFonts w:hint="default" w:ascii="Times New Roman" w:hAnsi="Times New Roman" w:cs="Times New Roman"/>
                      <w:bCs/>
                      <w:color w:val="auto"/>
                      <w:sz w:val="18"/>
                      <w:szCs w:val="18"/>
                      <w:highlight w:val="none"/>
                    </w:rPr>
                    <w:t>外购</w:t>
                  </w:r>
                </w:p>
              </w:tc>
            </w:tr>
            <w:tr w14:paraId="3CDC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63" w:type="pct"/>
                  <w:vAlign w:val="center"/>
                </w:tcPr>
                <w:p w14:paraId="3E43E6AC">
                  <w:pPr>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5</w:t>
                  </w:r>
                </w:p>
              </w:tc>
              <w:tc>
                <w:tcPr>
                  <w:tcW w:w="657" w:type="pct"/>
                  <w:vAlign w:val="center"/>
                </w:tcPr>
                <w:p w14:paraId="2E5D9E53">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水</w:t>
                  </w:r>
                </w:p>
              </w:tc>
              <w:tc>
                <w:tcPr>
                  <w:tcW w:w="448" w:type="pct"/>
                  <w:vAlign w:val="center"/>
                </w:tcPr>
                <w:p w14:paraId="24F9C3EC">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m</w:t>
                  </w:r>
                  <w:r>
                    <w:rPr>
                      <w:rFonts w:hint="default" w:ascii="Times New Roman" w:hAnsi="Times New Roman" w:cs="Times New Roman"/>
                      <w:color w:val="auto"/>
                      <w:sz w:val="18"/>
                      <w:szCs w:val="18"/>
                      <w:highlight w:val="none"/>
                      <w:vertAlign w:val="superscript"/>
                    </w:rPr>
                    <w:t>3</w:t>
                  </w:r>
                  <w:r>
                    <w:rPr>
                      <w:rFonts w:hint="default" w:ascii="Times New Roman" w:hAnsi="Times New Roman" w:cs="Times New Roman"/>
                      <w:color w:val="auto"/>
                      <w:sz w:val="18"/>
                      <w:szCs w:val="18"/>
                      <w:highlight w:val="none"/>
                    </w:rPr>
                    <w:t>/a</w:t>
                  </w:r>
                </w:p>
              </w:tc>
              <w:tc>
                <w:tcPr>
                  <w:tcW w:w="745" w:type="pct"/>
                  <w:vAlign w:val="center"/>
                </w:tcPr>
                <w:p w14:paraId="4ED48234">
                  <w:pPr>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192</w:t>
                  </w:r>
                </w:p>
              </w:tc>
              <w:tc>
                <w:tcPr>
                  <w:tcW w:w="895" w:type="pct"/>
                  <w:vAlign w:val="center"/>
                </w:tcPr>
                <w:p w14:paraId="15175C56">
                  <w:pPr>
                    <w:tabs>
                      <w:tab w:val="left" w:pos="1680"/>
                    </w:tabs>
                    <w:spacing w:line="0" w:lineRule="atLeast"/>
                    <w:ind w:right="-108"/>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228</w:t>
                  </w:r>
                </w:p>
              </w:tc>
              <w:tc>
                <w:tcPr>
                  <w:tcW w:w="895" w:type="pct"/>
                  <w:vAlign w:val="center"/>
                </w:tcPr>
                <w:p w14:paraId="2B088331">
                  <w:pPr>
                    <w:tabs>
                      <w:tab w:val="left" w:pos="1680"/>
                    </w:tabs>
                    <w:spacing w:line="0" w:lineRule="atLeast"/>
                    <w:ind w:right="-108"/>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420</w:t>
                  </w:r>
                </w:p>
              </w:tc>
              <w:tc>
                <w:tcPr>
                  <w:tcW w:w="1095" w:type="pct"/>
                  <w:vAlign w:val="center"/>
                </w:tcPr>
                <w:p w14:paraId="378AD7D0">
                  <w:pPr>
                    <w:tabs>
                      <w:tab w:val="left" w:pos="1680"/>
                    </w:tabs>
                    <w:spacing w:line="0" w:lineRule="atLeast"/>
                    <w:ind w:right="-108"/>
                    <w:jc w:val="center"/>
                    <w:rPr>
                      <w:rFonts w:hint="default" w:ascii="Times New Roman" w:hAnsi="Times New Roman" w:cs="Times New Roman"/>
                      <w:bCs/>
                      <w:color w:val="auto"/>
                      <w:sz w:val="18"/>
                      <w:szCs w:val="18"/>
                      <w:highlight w:val="none"/>
                    </w:rPr>
                  </w:pPr>
                  <w:r>
                    <w:rPr>
                      <w:rFonts w:hint="default" w:ascii="Times New Roman" w:hAnsi="Times New Roman" w:cs="Times New Roman"/>
                      <w:color w:val="auto"/>
                      <w:sz w:val="18"/>
                      <w:szCs w:val="18"/>
                      <w:highlight w:val="none"/>
                    </w:rPr>
                    <w:t>由淄川区昆仑镇水利服务站提供</w:t>
                  </w:r>
                </w:p>
              </w:tc>
            </w:tr>
            <w:tr w14:paraId="6211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63" w:type="pct"/>
                  <w:vAlign w:val="center"/>
                </w:tcPr>
                <w:p w14:paraId="17E44132">
                  <w:pPr>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6</w:t>
                  </w:r>
                </w:p>
              </w:tc>
              <w:tc>
                <w:tcPr>
                  <w:tcW w:w="657" w:type="pct"/>
                  <w:vAlign w:val="center"/>
                </w:tcPr>
                <w:p w14:paraId="4A7A0B95">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电</w:t>
                  </w:r>
                </w:p>
              </w:tc>
              <w:tc>
                <w:tcPr>
                  <w:tcW w:w="448" w:type="pct"/>
                  <w:vAlign w:val="center"/>
                </w:tcPr>
                <w:p w14:paraId="21BAAC0D">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万kwh</w:t>
                  </w:r>
                </w:p>
              </w:tc>
              <w:tc>
                <w:tcPr>
                  <w:tcW w:w="745" w:type="pct"/>
                  <w:vAlign w:val="center"/>
                </w:tcPr>
                <w:p w14:paraId="6D67CD85">
                  <w:pPr>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70</w:t>
                  </w:r>
                </w:p>
              </w:tc>
              <w:tc>
                <w:tcPr>
                  <w:tcW w:w="895" w:type="pct"/>
                  <w:vAlign w:val="center"/>
                </w:tcPr>
                <w:p w14:paraId="38BDA5B8">
                  <w:pPr>
                    <w:tabs>
                      <w:tab w:val="left" w:pos="1680"/>
                    </w:tabs>
                    <w:spacing w:line="0" w:lineRule="atLeast"/>
                    <w:ind w:right="-108"/>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100</w:t>
                  </w:r>
                </w:p>
              </w:tc>
              <w:tc>
                <w:tcPr>
                  <w:tcW w:w="895" w:type="pct"/>
                  <w:vAlign w:val="center"/>
                </w:tcPr>
                <w:p w14:paraId="03B1782B">
                  <w:pPr>
                    <w:tabs>
                      <w:tab w:val="left" w:pos="1680"/>
                    </w:tabs>
                    <w:spacing w:line="0" w:lineRule="atLeast"/>
                    <w:ind w:right="-108"/>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170</w:t>
                  </w:r>
                </w:p>
              </w:tc>
              <w:tc>
                <w:tcPr>
                  <w:tcW w:w="1095" w:type="pct"/>
                  <w:vAlign w:val="center"/>
                </w:tcPr>
                <w:p w14:paraId="1EC06E1F">
                  <w:pPr>
                    <w:tabs>
                      <w:tab w:val="left" w:pos="1680"/>
                    </w:tabs>
                    <w:spacing w:line="0" w:lineRule="atLeast"/>
                    <w:ind w:right="-108"/>
                    <w:jc w:val="center"/>
                    <w:rPr>
                      <w:rFonts w:hint="default" w:ascii="Times New Roman" w:hAnsi="Times New Roman" w:cs="Times New Roman"/>
                      <w:bCs/>
                      <w:color w:val="auto"/>
                      <w:sz w:val="18"/>
                      <w:szCs w:val="18"/>
                      <w:highlight w:val="none"/>
                    </w:rPr>
                  </w:pPr>
                  <w:r>
                    <w:rPr>
                      <w:rFonts w:hint="default" w:ascii="Times New Roman" w:hAnsi="Times New Roman" w:cs="Times New Roman"/>
                      <w:color w:val="auto"/>
                      <w:sz w:val="18"/>
                      <w:szCs w:val="18"/>
                      <w:highlight w:val="none"/>
                    </w:rPr>
                    <w:t>由淄川国家电网昆仑供电所线路接入</w:t>
                  </w:r>
                </w:p>
              </w:tc>
            </w:tr>
          </w:tbl>
          <w:p w14:paraId="2065E5DE">
            <w:pPr>
              <w:spacing w:line="360" w:lineRule="auto"/>
              <w:ind w:firstLine="420" w:firstLineChars="20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10、主要生产设备</w:t>
            </w:r>
          </w:p>
          <w:p w14:paraId="154CE691">
            <w:pPr>
              <w:spacing w:line="360" w:lineRule="auto"/>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本项目主要生产设备见表2-</w:t>
            </w:r>
            <w:r>
              <w:rPr>
                <w:rFonts w:hint="default" w:ascii="Times New Roman" w:hAnsi="Times New Roman" w:cs="Times New Roman" w:eastAsiaTheme="minorEastAsia"/>
                <w:color w:val="auto"/>
                <w:kern w:val="0"/>
                <w:szCs w:val="21"/>
                <w:lang w:val="en-US" w:eastAsia="zh-CN"/>
              </w:rPr>
              <w:t>4</w:t>
            </w:r>
            <w:r>
              <w:rPr>
                <w:rFonts w:hint="default" w:ascii="Times New Roman" w:hAnsi="Times New Roman" w:cs="Times New Roman" w:eastAsiaTheme="minorEastAsia"/>
                <w:color w:val="auto"/>
                <w:kern w:val="0"/>
                <w:szCs w:val="21"/>
              </w:rPr>
              <w:t>。</w:t>
            </w:r>
          </w:p>
          <w:p w14:paraId="795C6A8D">
            <w:pPr>
              <w:pStyle w:val="85"/>
              <w:spacing w:after="0"/>
              <w:ind w:left="0" w:leftChars="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表2-</w:t>
            </w:r>
            <w:r>
              <w:rPr>
                <w:rFonts w:hint="default" w:ascii="Times New Roman" w:hAnsi="Times New Roman" w:eastAsia="黑体" w:cs="Times New Roman"/>
                <w:color w:val="auto"/>
                <w:szCs w:val="21"/>
                <w:lang w:val="en-US" w:eastAsia="zh-CN"/>
              </w:rPr>
              <w:t>4</w:t>
            </w:r>
            <w:r>
              <w:rPr>
                <w:rFonts w:hint="default" w:ascii="Times New Roman" w:hAnsi="Times New Roman" w:eastAsia="黑体" w:cs="Times New Roman"/>
                <w:color w:val="auto"/>
                <w:szCs w:val="21"/>
              </w:rPr>
              <w:t xml:space="preserve"> 项目主要生产及环保设备</w:t>
            </w:r>
          </w:p>
          <w:tbl>
            <w:tblPr>
              <w:tblStyle w:val="8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578"/>
              <w:gridCol w:w="583"/>
              <w:gridCol w:w="828"/>
              <w:gridCol w:w="1326"/>
              <w:gridCol w:w="1557"/>
              <w:gridCol w:w="1904"/>
              <w:gridCol w:w="1904"/>
            </w:tblGrid>
            <w:tr w14:paraId="1DA6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right w:val="single" w:color="auto" w:sz="4" w:space="0"/>
                  </w:tcBorders>
                  <w:vAlign w:val="center"/>
                </w:tcPr>
                <w:p w14:paraId="5B14472A">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序号</w:t>
                  </w:r>
                </w:p>
              </w:tc>
              <w:tc>
                <w:tcPr>
                  <w:tcW w:w="639" w:type="pct"/>
                  <w:gridSpan w:val="2"/>
                  <w:tcBorders>
                    <w:top w:val="single" w:color="auto" w:sz="4" w:space="0"/>
                    <w:left w:val="single" w:color="auto" w:sz="4" w:space="0"/>
                    <w:right w:val="single" w:color="auto" w:sz="4" w:space="0"/>
                  </w:tcBorders>
                  <w:vAlign w:val="center"/>
                </w:tcPr>
                <w:p w14:paraId="6F356031">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设备名称</w:t>
                  </w:r>
                </w:p>
              </w:tc>
              <w:tc>
                <w:tcPr>
                  <w:tcW w:w="456" w:type="pct"/>
                  <w:tcBorders>
                    <w:top w:val="single" w:color="auto" w:sz="4" w:space="0"/>
                    <w:left w:val="single" w:color="auto" w:sz="4" w:space="0"/>
                    <w:right w:val="single" w:color="auto" w:sz="4" w:space="0"/>
                  </w:tcBorders>
                  <w:vAlign w:val="center"/>
                </w:tcPr>
                <w:p w14:paraId="005C9093">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规格</w:t>
                  </w:r>
                </w:p>
              </w:tc>
              <w:tc>
                <w:tcPr>
                  <w:tcW w:w="730" w:type="pct"/>
                  <w:tcBorders>
                    <w:top w:val="single" w:color="auto" w:sz="4" w:space="0"/>
                    <w:left w:val="single" w:color="auto" w:sz="4" w:space="0"/>
                    <w:bottom w:val="single" w:color="auto" w:sz="4" w:space="0"/>
                    <w:right w:val="single" w:color="auto" w:sz="4" w:space="0"/>
                  </w:tcBorders>
                  <w:vAlign w:val="center"/>
                </w:tcPr>
                <w:p w14:paraId="367D2618">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现有项目数量（台/套）</w:t>
                  </w:r>
                </w:p>
              </w:tc>
              <w:tc>
                <w:tcPr>
                  <w:tcW w:w="857" w:type="pct"/>
                  <w:tcBorders>
                    <w:top w:val="single" w:color="auto" w:sz="4" w:space="0"/>
                    <w:left w:val="single" w:color="auto" w:sz="4" w:space="0"/>
                    <w:right w:val="single" w:color="auto" w:sz="4" w:space="0"/>
                  </w:tcBorders>
                  <w:vAlign w:val="center"/>
                </w:tcPr>
                <w:p w14:paraId="73828AC3">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ascii="Times New Roman" w:hAnsi="Times New Roman" w:cs="Times New Roman"/>
                      <w:b/>
                      <w:color w:val="auto"/>
                      <w:sz w:val="18"/>
                      <w:szCs w:val="18"/>
                      <w:highlight w:val="none"/>
                    </w:rPr>
                  </w:pPr>
                  <w:r>
                    <w:rPr>
                      <w:rFonts w:hint="eastAsia" w:cs="Times New Roman"/>
                      <w:b/>
                      <w:color w:val="auto"/>
                      <w:sz w:val="18"/>
                      <w:szCs w:val="18"/>
                      <w:highlight w:val="none"/>
                      <w:lang w:eastAsia="zh-CN"/>
                    </w:rPr>
                    <w:t>改扩建项目新增</w:t>
                  </w:r>
                  <w:r>
                    <w:rPr>
                      <w:rFonts w:hint="default" w:ascii="Times New Roman" w:hAnsi="Times New Roman" w:cs="Times New Roman"/>
                      <w:b/>
                      <w:color w:val="auto"/>
                      <w:sz w:val="18"/>
                      <w:szCs w:val="18"/>
                      <w:highlight w:val="none"/>
                    </w:rPr>
                    <w:t>数量（台/套）</w:t>
                  </w:r>
                </w:p>
              </w:tc>
              <w:tc>
                <w:tcPr>
                  <w:tcW w:w="1048" w:type="pct"/>
                  <w:tcBorders>
                    <w:top w:val="single" w:color="auto" w:sz="4" w:space="0"/>
                    <w:left w:val="single" w:color="auto" w:sz="4" w:space="0"/>
                    <w:right w:val="single" w:color="auto" w:sz="4" w:space="0"/>
                  </w:tcBorders>
                  <w:vAlign w:val="center"/>
                </w:tcPr>
                <w:p w14:paraId="352D3D46">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ascii="Times New Roman" w:hAnsi="Times New Roman" w:cs="Times New Roman"/>
                      <w:b/>
                      <w:color w:val="auto"/>
                      <w:sz w:val="18"/>
                      <w:szCs w:val="18"/>
                      <w:highlight w:val="none"/>
                    </w:rPr>
                  </w:pPr>
                  <w:r>
                    <w:rPr>
                      <w:rFonts w:hint="eastAsia" w:cs="Times New Roman"/>
                      <w:b/>
                      <w:color w:val="auto"/>
                      <w:sz w:val="18"/>
                      <w:szCs w:val="18"/>
                      <w:highlight w:val="none"/>
                      <w:lang w:eastAsia="zh-CN"/>
                    </w:rPr>
                    <w:t>改扩建项目完成</w:t>
                  </w:r>
                  <w:r>
                    <w:rPr>
                      <w:rFonts w:hint="default" w:ascii="Times New Roman" w:hAnsi="Times New Roman" w:cs="Times New Roman"/>
                      <w:b/>
                      <w:color w:val="auto"/>
                      <w:sz w:val="18"/>
                      <w:szCs w:val="18"/>
                      <w:highlight w:val="none"/>
                    </w:rPr>
                    <w:t>后全厂数量（台/套）</w:t>
                  </w:r>
                </w:p>
              </w:tc>
              <w:tc>
                <w:tcPr>
                  <w:tcW w:w="1048" w:type="pct"/>
                  <w:tcBorders>
                    <w:top w:val="single" w:color="auto" w:sz="4" w:space="0"/>
                    <w:left w:val="single" w:color="auto" w:sz="4" w:space="0"/>
                    <w:right w:val="single" w:color="auto" w:sz="4" w:space="0"/>
                  </w:tcBorders>
                  <w:vAlign w:val="center"/>
                </w:tcPr>
                <w:p w14:paraId="32C89A66">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cs="Times New Roman"/>
                      <w:b/>
                      <w:color w:val="auto"/>
                      <w:sz w:val="18"/>
                      <w:szCs w:val="18"/>
                      <w:highlight w:val="none"/>
                      <w:lang w:val="en-US" w:eastAsia="zh-CN"/>
                    </w:rPr>
                  </w:pPr>
                  <w:r>
                    <w:rPr>
                      <w:rFonts w:hint="eastAsia" w:cs="Times New Roman"/>
                      <w:b/>
                      <w:color w:val="auto"/>
                      <w:sz w:val="18"/>
                      <w:szCs w:val="18"/>
                      <w:highlight w:val="none"/>
                      <w:lang w:val="en-US" w:eastAsia="zh-CN"/>
                    </w:rPr>
                    <w:t>备注</w:t>
                  </w:r>
                </w:p>
              </w:tc>
            </w:tr>
            <w:tr w14:paraId="2AD5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right w:val="single" w:color="auto" w:sz="4" w:space="0"/>
                  </w:tcBorders>
                  <w:vAlign w:val="center"/>
                </w:tcPr>
                <w:p w14:paraId="31F76416">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w:t>
                  </w:r>
                </w:p>
              </w:tc>
              <w:tc>
                <w:tcPr>
                  <w:tcW w:w="639" w:type="pct"/>
                  <w:gridSpan w:val="2"/>
                  <w:tcBorders>
                    <w:top w:val="single" w:color="auto" w:sz="4" w:space="0"/>
                    <w:left w:val="single" w:color="auto" w:sz="4" w:space="0"/>
                    <w:right w:val="single" w:color="auto" w:sz="4" w:space="0"/>
                  </w:tcBorders>
                  <w:shd w:val="clear" w:color="auto" w:fill="auto"/>
                  <w:vAlign w:val="center"/>
                </w:tcPr>
                <w:p w14:paraId="72DBAA64">
                  <w:pPr>
                    <w:tabs>
                      <w:tab w:val="left" w:pos="1680"/>
                    </w:tabs>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rPr>
                    <w:t>打浆机</w:t>
                  </w:r>
                </w:p>
              </w:tc>
              <w:tc>
                <w:tcPr>
                  <w:tcW w:w="456" w:type="pct"/>
                  <w:tcBorders>
                    <w:top w:val="single" w:color="auto" w:sz="4" w:space="0"/>
                    <w:left w:val="single" w:color="auto" w:sz="4" w:space="0"/>
                    <w:right w:val="single" w:color="auto" w:sz="4" w:space="0"/>
                  </w:tcBorders>
                  <w:shd w:val="clear" w:color="auto" w:fill="auto"/>
                  <w:vAlign w:val="center"/>
                </w:tcPr>
                <w:p w14:paraId="627DEC6A">
                  <w:pPr>
                    <w:tabs>
                      <w:tab w:val="left" w:pos="1680"/>
                    </w:tabs>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vAlign w:val="center"/>
                </w:tcPr>
                <w:p w14:paraId="03E14065">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2</w:t>
                  </w:r>
                </w:p>
              </w:tc>
              <w:tc>
                <w:tcPr>
                  <w:tcW w:w="857" w:type="pct"/>
                  <w:tcBorders>
                    <w:left w:val="single" w:color="auto" w:sz="4" w:space="0"/>
                    <w:right w:val="single" w:color="auto" w:sz="4" w:space="0"/>
                  </w:tcBorders>
                  <w:vAlign w:val="center"/>
                </w:tcPr>
                <w:p w14:paraId="06A3EA8D">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w:t>
                  </w:r>
                </w:p>
              </w:tc>
              <w:tc>
                <w:tcPr>
                  <w:tcW w:w="1048" w:type="pct"/>
                  <w:tcBorders>
                    <w:left w:val="single" w:color="auto" w:sz="4" w:space="0"/>
                    <w:right w:val="single" w:color="auto" w:sz="4" w:space="0"/>
                  </w:tcBorders>
                  <w:shd w:val="clear" w:color="auto" w:fill="auto"/>
                  <w:vAlign w:val="center"/>
                </w:tcPr>
                <w:p w14:paraId="3CCBCDF4">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vAlign w:val="center"/>
                </w:tcPr>
                <w:p w14:paraId="12B9A6D5">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利旧</w:t>
                  </w:r>
                </w:p>
              </w:tc>
            </w:tr>
            <w:tr w14:paraId="75A1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right w:val="single" w:color="auto" w:sz="4" w:space="0"/>
                  </w:tcBorders>
                  <w:vAlign w:val="center"/>
                </w:tcPr>
                <w:p w14:paraId="2AF0F2AA">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2</w:t>
                  </w:r>
                </w:p>
              </w:tc>
              <w:tc>
                <w:tcPr>
                  <w:tcW w:w="639" w:type="pct"/>
                  <w:gridSpan w:val="2"/>
                  <w:tcBorders>
                    <w:top w:val="single" w:color="auto" w:sz="4" w:space="0"/>
                    <w:left w:val="single" w:color="auto" w:sz="4" w:space="0"/>
                    <w:right w:val="single" w:color="auto" w:sz="4" w:space="0"/>
                  </w:tcBorders>
                  <w:shd w:val="clear" w:color="auto" w:fill="auto"/>
                  <w:vAlign w:val="center"/>
                </w:tcPr>
                <w:p w14:paraId="7F521BDC">
                  <w:pPr>
                    <w:tabs>
                      <w:tab w:val="left" w:pos="1680"/>
                    </w:tabs>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圆形</w:t>
                  </w:r>
                  <w:r>
                    <w:rPr>
                      <w:rFonts w:hint="eastAsia" w:ascii="宋体" w:hAnsi="宋体"/>
                      <w:color w:val="auto"/>
                      <w:sz w:val="18"/>
                      <w:szCs w:val="18"/>
                      <w:lang w:eastAsia="zh-CN"/>
                    </w:rPr>
                    <w:t>配浆池</w:t>
                  </w:r>
                </w:p>
              </w:tc>
              <w:tc>
                <w:tcPr>
                  <w:tcW w:w="456" w:type="pct"/>
                  <w:tcBorders>
                    <w:top w:val="single" w:color="auto" w:sz="4" w:space="0"/>
                    <w:left w:val="single" w:color="auto" w:sz="4" w:space="0"/>
                    <w:right w:val="single" w:color="auto" w:sz="4" w:space="0"/>
                  </w:tcBorders>
                  <w:shd w:val="clear" w:color="auto" w:fill="auto"/>
                  <w:vAlign w:val="center"/>
                </w:tcPr>
                <w:p w14:paraId="087A0BFC">
                  <w:pPr>
                    <w:tabs>
                      <w:tab w:val="left" w:pos="1680"/>
                    </w:tabs>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rPr>
                    <w:t>9 m</w:t>
                  </w:r>
                  <w:r>
                    <w:rPr>
                      <w:color w:val="auto"/>
                      <w:sz w:val="18"/>
                      <w:szCs w:val="18"/>
                      <w:vertAlign w:val="superscript"/>
                    </w:rPr>
                    <w:t>3</w:t>
                  </w:r>
                </w:p>
              </w:tc>
              <w:tc>
                <w:tcPr>
                  <w:tcW w:w="730" w:type="pct"/>
                  <w:tcBorders>
                    <w:top w:val="single" w:color="auto" w:sz="4" w:space="0"/>
                    <w:left w:val="single" w:color="auto" w:sz="4" w:space="0"/>
                    <w:bottom w:val="single" w:color="auto" w:sz="4" w:space="0"/>
                    <w:right w:val="single" w:color="auto" w:sz="4" w:space="0"/>
                  </w:tcBorders>
                  <w:vAlign w:val="center"/>
                </w:tcPr>
                <w:p w14:paraId="60384230">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2</w:t>
                  </w:r>
                </w:p>
              </w:tc>
              <w:tc>
                <w:tcPr>
                  <w:tcW w:w="857" w:type="pct"/>
                  <w:tcBorders>
                    <w:left w:val="single" w:color="auto" w:sz="4" w:space="0"/>
                    <w:right w:val="single" w:color="auto" w:sz="4" w:space="0"/>
                  </w:tcBorders>
                  <w:vAlign w:val="center"/>
                </w:tcPr>
                <w:p w14:paraId="2A6E6F2E">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0</w:t>
                  </w:r>
                </w:p>
              </w:tc>
              <w:tc>
                <w:tcPr>
                  <w:tcW w:w="1048" w:type="pct"/>
                  <w:tcBorders>
                    <w:left w:val="single" w:color="auto" w:sz="4" w:space="0"/>
                    <w:right w:val="single" w:color="auto" w:sz="4" w:space="0"/>
                  </w:tcBorders>
                  <w:shd w:val="clear" w:color="auto" w:fill="auto"/>
                  <w:vAlign w:val="center"/>
                </w:tcPr>
                <w:p w14:paraId="24719E48">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vAlign w:val="center"/>
                </w:tcPr>
                <w:p w14:paraId="2E80F180">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利旧</w:t>
                  </w:r>
                </w:p>
              </w:tc>
            </w:tr>
            <w:tr w14:paraId="4BF9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right w:val="single" w:color="auto" w:sz="4" w:space="0"/>
                  </w:tcBorders>
                  <w:vAlign w:val="center"/>
                </w:tcPr>
                <w:p w14:paraId="565C77E5">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3</w:t>
                  </w:r>
                </w:p>
              </w:tc>
              <w:tc>
                <w:tcPr>
                  <w:tcW w:w="639" w:type="pct"/>
                  <w:gridSpan w:val="2"/>
                  <w:tcBorders>
                    <w:top w:val="single" w:color="auto" w:sz="4" w:space="0"/>
                    <w:left w:val="single" w:color="auto" w:sz="4" w:space="0"/>
                    <w:right w:val="single" w:color="auto" w:sz="4" w:space="0"/>
                  </w:tcBorders>
                  <w:shd w:val="clear" w:color="auto" w:fill="auto"/>
                  <w:vAlign w:val="center"/>
                </w:tcPr>
                <w:p w14:paraId="1807C18A">
                  <w:pPr>
                    <w:tabs>
                      <w:tab w:val="left" w:pos="1680"/>
                    </w:tabs>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rPr>
                    <w:t>搅拌机</w:t>
                  </w:r>
                </w:p>
              </w:tc>
              <w:tc>
                <w:tcPr>
                  <w:tcW w:w="456" w:type="pct"/>
                  <w:tcBorders>
                    <w:top w:val="single" w:color="auto" w:sz="4" w:space="0"/>
                    <w:left w:val="single" w:color="auto" w:sz="4" w:space="0"/>
                    <w:right w:val="single" w:color="auto" w:sz="4" w:space="0"/>
                  </w:tcBorders>
                  <w:shd w:val="clear" w:color="auto" w:fill="auto"/>
                  <w:vAlign w:val="center"/>
                </w:tcPr>
                <w:p w14:paraId="2B85AB95">
                  <w:pPr>
                    <w:tabs>
                      <w:tab w:val="left" w:pos="1680"/>
                    </w:tabs>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vAlign w:val="center"/>
                </w:tcPr>
                <w:p w14:paraId="78928AFF">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3</w:t>
                  </w:r>
                </w:p>
              </w:tc>
              <w:tc>
                <w:tcPr>
                  <w:tcW w:w="857" w:type="pct"/>
                  <w:tcBorders>
                    <w:left w:val="single" w:color="auto" w:sz="4" w:space="0"/>
                    <w:right w:val="single" w:color="auto" w:sz="4" w:space="0"/>
                  </w:tcBorders>
                  <w:vAlign w:val="center"/>
                </w:tcPr>
                <w:p w14:paraId="06A8AF33">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0</w:t>
                  </w:r>
                </w:p>
              </w:tc>
              <w:tc>
                <w:tcPr>
                  <w:tcW w:w="1048" w:type="pct"/>
                  <w:tcBorders>
                    <w:left w:val="single" w:color="auto" w:sz="4" w:space="0"/>
                    <w:right w:val="single" w:color="auto" w:sz="4" w:space="0"/>
                  </w:tcBorders>
                  <w:shd w:val="clear" w:color="auto" w:fill="auto"/>
                  <w:vAlign w:val="center"/>
                </w:tcPr>
                <w:p w14:paraId="299C42ED">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2</w:t>
                  </w:r>
                </w:p>
              </w:tc>
              <w:tc>
                <w:tcPr>
                  <w:tcW w:w="1048" w:type="pct"/>
                  <w:tcBorders>
                    <w:left w:val="single" w:color="auto" w:sz="4" w:space="0"/>
                    <w:right w:val="single" w:color="auto" w:sz="4" w:space="0"/>
                  </w:tcBorders>
                  <w:vAlign w:val="center"/>
                </w:tcPr>
                <w:p w14:paraId="4D901A8F">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利旧</w:t>
                  </w:r>
                </w:p>
              </w:tc>
            </w:tr>
            <w:tr w14:paraId="6EAD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right w:val="single" w:color="auto" w:sz="4" w:space="0"/>
                  </w:tcBorders>
                  <w:vAlign w:val="center"/>
                </w:tcPr>
                <w:p w14:paraId="0E8F2480">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4</w:t>
                  </w:r>
                </w:p>
              </w:tc>
              <w:tc>
                <w:tcPr>
                  <w:tcW w:w="639" w:type="pct"/>
                  <w:gridSpan w:val="2"/>
                  <w:tcBorders>
                    <w:top w:val="single" w:color="auto" w:sz="4" w:space="0"/>
                    <w:left w:val="single" w:color="auto" w:sz="4" w:space="0"/>
                    <w:right w:val="single" w:color="auto" w:sz="4" w:space="0"/>
                  </w:tcBorders>
                  <w:shd w:val="clear" w:color="auto" w:fill="auto"/>
                  <w:vAlign w:val="center"/>
                </w:tcPr>
                <w:p w14:paraId="58CF1909">
                  <w:pPr>
                    <w:tabs>
                      <w:tab w:val="left" w:pos="1680"/>
                    </w:tabs>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方形</w:t>
                  </w:r>
                  <w:r>
                    <w:rPr>
                      <w:rFonts w:hint="eastAsia" w:ascii="宋体" w:hAnsi="宋体"/>
                      <w:color w:val="auto"/>
                      <w:sz w:val="18"/>
                      <w:szCs w:val="18"/>
                      <w:lang w:eastAsia="zh-CN"/>
                    </w:rPr>
                    <w:t>配浆池</w:t>
                  </w:r>
                </w:p>
              </w:tc>
              <w:tc>
                <w:tcPr>
                  <w:tcW w:w="456" w:type="pct"/>
                  <w:tcBorders>
                    <w:top w:val="single" w:color="auto" w:sz="4" w:space="0"/>
                    <w:left w:val="single" w:color="auto" w:sz="4" w:space="0"/>
                    <w:right w:val="single" w:color="auto" w:sz="4" w:space="0"/>
                  </w:tcBorders>
                  <w:shd w:val="clear" w:color="auto" w:fill="auto"/>
                  <w:vAlign w:val="center"/>
                </w:tcPr>
                <w:p w14:paraId="2D104443">
                  <w:pPr>
                    <w:tabs>
                      <w:tab w:val="left" w:pos="1680"/>
                    </w:tabs>
                    <w:jc w:val="center"/>
                    <w:rPr>
                      <w:rFonts w:hint="default" w:ascii="Times New Roman" w:hAnsi="Times New Roman" w:eastAsia="宋体" w:cs="Times New Roman"/>
                      <w:color w:val="auto"/>
                      <w:kern w:val="2"/>
                      <w:sz w:val="18"/>
                      <w:szCs w:val="18"/>
                      <w:lang w:val="en-US" w:eastAsia="zh-CN" w:bidi="ar-SA"/>
                    </w:rPr>
                  </w:pPr>
                  <w:r>
                    <w:rPr>
                      <w:rFonts w:hint="eastAsia"/>
                      <w:color w:val="auto"/>
                      <w:sz w:val="18"/>
                      <w:szCs w:val="18"/>
                    </w:rPr>
                    <w:t>27m</w:t>
                  </w:r>
                  <w:r>
                    <w:rPr>
                      <w:color w:val="auto"/>
                      <w:sz w:val="18"/>
                      <w:szCs w:val="18"/>
                      <w:vertAlign w:val="superscript"/>
                    </w:rPr>
                    <w:t>3</w:t>
                  </w:r>
                </w:p>
              </w:tc>
              <w:tc>
                <w:tcPr>
                  <w:tcW w:w="730" w:type="pct"/>
                  <w:tcBorders>
                    <w:top w:val="single" w:color="auto" w:sz="4" w:space="0"/>
                    <w:left w:val="single" w:color="auto" w:sz="4" w:space="0"/>
                    <w:bottom w:val="single" w:color="auto" w:sz="4" w:space="0"/>
                    <w:right w:val="single" w:color="auto" w:sz="4" w:space="0"/>
                  </w:tcBorders>
                  <w:vAlign w:val="center"/>
                </w:tcPr>
                <w:p w14:paraId="5F18CA78">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2</w:t>
                  </w:r>
                </w:p>
              </w:tc>
              <w:tc>
                <w:tcPr>
                  <w:tcW w:w="857" w:type="pct"/>
                  <w:tcBorders>
                    <w:top w:val="single" w:color="auto" w:sz="4" w:space="0"/>
                    <w:left w:val="single" w:color="auto" w:sz="4" w:space="0"/>
                    <w:right w:val="single" w:color="auto" w:sz="4" w:space="0"/>
                  </w:tcBorders>
                  <w:vAlign w:val="center"/>
                </w:tcPr>
                <w:p w14:paraId="64C759E1">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0</w:t>
                  </w:r>
                </w:p>
              </w:tc>
              <w:tc>
                <w:tcPr>
                  <w:tcW w:w="1048" w:type="pct"/>
                  <w:tcBorders>
                    <w:top w:val="single" w:color="auto" w:sz="4" w:space="0"/>
                    <w:left w:val="single" w:color="auto" w:sz="4" w:space="0"/>
                    <w:right w:val="single" w:color="auto" w:sz="4" w:space="0"/>
                  </w:tcBorders>
                  <w:shd w:val="clear" w:color="auto" w:fill="auto"/>
                  <w:vAlign w:val="center"/>
                </w:tcPr>
                <w:p w14:paraId="1813A262">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top w:val="single" w:color="auto" w:sz="4" w:space="0"/>
                    <w:left w:val="single" w:color="auto" w:sz="4" w:space="0"/>
                    <w:right w:val="single" w:color="auto" w:sz="4" w:space="0"/>
                  </w:tcBorders>
                  <w:vAlign w:val="center"/>
                </w:tcPr>
                <w:p w14:paraId="176B85DA">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利旧</w:t>
                  </w:r>
                </w:p>
              </w:tc>
            </w:tr>
            <w:tr w14:paraId="16C2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right w:val="single" w:color="auto" w:sz="4" w:space="0"/>
                  </w:tcBorders>
                  <w:vAlign w:val="center"/>
                </w:tcPr>
                <w:p w14:paraId="67232EAE">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5</w:t>
                  </w:r>
                </w:p>
              </w:tc>
              <w:tc>
                <w:tcPr>
                  <w:tcW w:w="639" w:type="pct"/>
                  <w:gridSpan w:val="2"/>
                  <w:tcBorders>
                    <w:top w:val="single" w:color="auto" w:sz="4" w:space="0"/>
                    <w:left w:val="single" w:color="auto" w:sz="4" w:space="0"/>
                    <w:right w:val="single" w:color="auto" w:sz="4" w:space="0"/>
                  </w:tcBorders>
                  <w:shd w:val="clear" w:color="auto" w:fill="auto"/>
                  <w:vAlign w:val="center"/>
                </w:tcPr>
                <w:p w14:paraId="72981040">
                  <w:pPr>
                    <w:tabs>
                      <w:tab w:val="left" w:pos="1680"/>
                    </w:tabs>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rPr>
                    <w:t>真空泵</w:t>
                  </w:r>
                </w:p>
              </w:tc>
              <w:tc>
                <w:tcPr>
                  <w:tcW w:w="456" w:type="pct"/>
                  <w:tcBorders>
                    <w:top w:val="single" w:color="auto" w:sz="4" w:space="0"/>
                    <w:left w:val="single" w:color="auto" w:sz="4" w:space="0"/>
                    <w:right w:val="single" w:color="auto" w:sz="4" w:space="0"/>
                  </w:tcBorders>
                  <w:shd w:val="clear" w:color="auto" w:fill="auto"/>
                  <w:vAlign w:val="center"/>
                </w:tcPr>
                <w:p w14:paraId="0DB4A563">
                  <w:pPr>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vAlign w:val="center"/>
                </w:tcPr>
                <w:p w14:paraId="2B48243F">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3</w:t>
                  </w:r>
                </w:p>
              </w:tc>
              <w:tc>
                <w:tcPr>
                  <w:tcW w:w="857" w:type="pct"/>
                  <w:tcBorders>
                    <w:top w:val="single" w:color="auto" w:sz="4" w:space="0"/>
                    <w:left w:val="single" w:color="auto" w:sz="4" w:space="0"/>
                    <w:right w:val="single" w:color="auto" w:sz="4" w:space="0"/>
                  </w:tcBorders>
                  <w:vAlign w:val="center"/>
                </w:tcPr>
                <w:p w14:paraId="3228CFA2">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0</w:t>
                  </w:r>
                </w:p>
              </w:tc>
              <w:tc>
                <w:tcPr>
                  <w:tcW w:w="1048" w:type="pct"/>
                  <w:tcBorders>
                    <w:top w:val="single" w:color="auto" w:sz="4" w:space="0"/>
                    <w:left w:val="single" w:color="auto" w:sz="4" w:space="0"/>
                    <w:right w:val="single" w:color="auto" w:sz="4" w:space="0"/>
                  </w:tcBorders>
                  <w:shd w:val="clear" w:color="auto" w:fill="auto"/>
                  <w:vAlign w:val="center"/>
                </w:tcPr>
                <w:p w14:paraId="0F2179B5">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3</w:t>
                  </w:r>
                </w:p>
              </w:tc>
              <w:tc>
                <w:tcPr>
                  <w:tcW w:w="1048" w:type="pct"/>
                  <w:tcBorders>
                    <w:top w:val="single" w:color="auto" w:sz="4" w:space="0"/>
                    <w:left w:val="single" w:color="auto" w:sz="4" w:space="0"/>
                    <w:right w:val="single" w:color="auto" w:sz="4" w:space="0"/>
                  </w:tcBorders>
                  <w:vAlign w:val="center"/>
                </w:tcPr>
                <w:p w14:paraId="45AE9049">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利旧</w:t>
                  </w:r>
                </w:p>
              </w:tc>
            </w:tr>
            <w:tr w14:paraId="379F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restart"/>
                  <w:tcBorders>
                    <w:top w:val="single" w:color="auto" w:sz="4" w:space="0"/>
                    <w:left w:val="single" w:color="auto" w:sz="4" w:space="0"/>
                    <w:right w:val="single" w:color="auto" w:sz="4" w:space="0"/>
                  </w:tcBorders>
                  <w:vAlign w:val="center"/>
                </w:tcPr>
                <w:p w14:paraId="61B42A64">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6</w:t>
                  </w:r>
                </w:p>
              </w:tc>
              <w:tc>
                <w:tcPr>
                  <w:tcW w:w="318" w:type="pct"/>
                  <w:vMerge w:val="restart"/>
                  <w:tcBorders>
                    <w:top w:val="single" w:color="auto" w:sz="4" w:space="0"/>
                    <w:left w:val="single" w:color="auto" w:sz="4" w:space="0"/>
                    <w:right w:val="single" w:color="auto" w:sz="4" w:space="0"/>
                  </w:tcBorders>
                  <w:shd w:val="clear" w:color="auto" w:fill="auto"/>
                  <w:vAlign w:val="center"/>
                </w:tcPr>
                <w:p w14:paraId="7AB46747">
                  <w:pPr>
                    <w:tabs>
                      <w:tab w:val="left" w:pos="1680"/>
                    </w:tabs>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rPr>
                    <w:t>电炉生产线</w:t>
                  </w:r>
                </w:p>
              </w:tc>
              <w:tc>
                <w:tcPr>
                  <w:tcW w:w="321" w:type="pct"/>
                  <w:tcBorders>
                    <w:top w:val="single" w:color="auto" w:sz="4" w:space="0"/>
                    <w:left w:val="single" w:color="auto" w:sz="4" w:space="0"/>
                    <w:right w:val="single" w:color="auto" w:sz="4" w:space="0"/>
                  </w:tcBorders>
                  <w:shd w:val="clear" w:color="auto" w:fill="auto"/>
                  <w:vAlign w:val="center"/>
                </w:tcPr>
                <w:p w14:paraId="5E69A026">
                  <w:pPr>
                    <w:tabs>
                      <w:tab w:val="left" w:pos="1680"/>
                    </w:tabs>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电炉</w:t>
                  </w:r>
                </w:p>
              </w:tc>
              <w:tc>
                <w:tcPr>
                  <w:tcW w:w="456" w:type="pct"/>
                  <w:tcBorders>
                    <w:top w:val="single" w:color="auto" w:sz="4" w:space="0"/>
                    <w:left w:val="single" w:color="auto" w:sz="4" w:space="0"/>
                    <w:right w:val="single" w:color="auto" w:sz="4" w:space="0"/>
                  </w:tcBorders>
                  <w:shd w:val="clear" w:color="auto" w:fill="auto"/>
                  <w:vAlign w:val="center"/>
                </w:tcPr>
                <w:p w14:paraId="38BEE5EC">
                  <w:pPr>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vAlign w:val="center"/>
                </w:tcPr>
                <w:p w14:paraId="1CA7F5E3">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2</w:t>
                  </w:r>
                </w:p>
              </w:tc>
              <w:tc>
                <w:tcPr>
                  <w:tcW w:w="857" w:type="pct"/>
                  <w:tcBorders>
                    <w:top w:val="single" w:color="auto" w:sz="4" w:space="0"/>
                    <w:left w:val="single" w:color="auto" w:sz="4" w:space="0"/>
                    <w:right w:val="single" w:color="auto" w:sz="4" w:space="0"/>
                  </w:tcBorders>
                  <w:vAlign w:val="center"/>
                </w:tcPr>
                <w:p w14:paraId="4A1ED047">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1</w:t>
                  </w:r>
                </w:p>
              </w:tc>
              <w:tc>
                <w:tcPr>
                  <w:tcW w:w="1048" w:type="pct"/>
                  <w:tcBorders>
                    <w:top w:val="single" w:color="auto" w:sz="4" w:space="0"/>
                    <w:left w:val="single" w:color="auto" w:sz="4" w:space="0"/>
                    <w:right w:val="single" w:color="auto" w:sz="4" w:space="0"/>
                  </w:tcBorders>
                  <w:shd w:val="clear" w:color="auto" w:fill="auto"/>
                  <w:vAlign w:val="center"/>
                </w:tcPr>
                <w:p w14:paraId="2A0787F9">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3</w:t>
                  </w:r>
                </w:p>
              </w:tc>
              <w:tc>
                <w:tcPr>
                  <w:tcW w:w="1048" w:type="pct"/>
                  <w:vMerge w:val="restart"/>
                  <w:tcBorders>
                    <w:top w:val="single" w:color="auto" w:sz="4" w:space="0"/>
                    <w:left w:val="single" w:color="auto" w:sz="4" w:space="0"/>
                    <w:right w:val="single" w:color="auto" w:sz="4" w:space="0"/>
                  </w:tcBorders>
                  <w:vAlign w:val="center"/>
                </w:tcPr>
                <w:p w14:paraId="1B1A5566">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新增1条生产线</w:t>
                  </w:r>
                </w:p>
              </w:tc>
            </w:tr>
            <w:tr w14:paraId="7B1B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tcBorders>
                    <w:left w:val="single" w:color="auto" w:sz="4" w:space="0"/>
                    <w:right w:val="single" w:color="auto" w:sz="4" w:space="0"/>
                  </w:tcBorders>
                  <w:vAlign w:val="center"/>
                </w:tcPr>
                <w:p w14:paraId="72F40884">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eastAsia" w:cs="Times New Roman"/>
                      <w:color w:val="auto"/>
                      <w:kern w:val="2"/>
                      <w:sz w:val="18"/>
                      <w:szCs w:val="18"/>
                      <w:highlight w:val="none"/>
                      <w:lang w:val="en-US" w:eastAsia="zh-CN" w:bidi="ar-SA"/>
                    </w:rPr>
                  </w:pPr>
                </w:p>
              </w:tc>
              <w:tc>
                <w:tcPr>
                  <w:tcW w:w="318" w:type="pct"/>
                  <w:vMerge w:val="continue"/>
                  <w:tcBorders>
                    <w:left w:val="single" w:color="auto" w:sz="4" w:space="0"/>
                    <w:right w:val="single" w:color="auto" w:sz="4" w:space="0"/>
                  </w:tcBorders>
                  <w:vAlign w:val="center"/>
                </w:tcPr>
                <w:p w14:paraId="6CF0F4FB">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eastAsia" w:cs="Times New Roman"/>
                      <w:color w:val="auto"/>
                      <w:sz w:val="18"/>
                      <w:szCs w:val="18"/>
                      <w:highlight w:val="none"/>
                      <w:lang w:val="en-US" w:eastAsia="zh-CN"/>
                    </w:rPr>
                  </w:pPr>
                </w:p>
              </w:tc>
              <w:tc>
                <w:tcPr>
                  <w:tcW w:w="321" w:type="pct"/>
                  <w:tcBorders>
                    <w:top w:val="single" w:color="auto" w:sz="4" w:space="0"/>
                    <w:left w:val="single" w:color="auto" w:sz="4" w:space="0"/>
                    <w:right w:val="single" w:color="auto" w:sz="4" w:space="0"/>
                  </w:tcBorders>
                  <w:vAlign w:val="center"/>
                </w:tcPr>
                <w:p w14:paraId="5602B7C9">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卷纸装置</w:t>
                  </w:r>
                </w:p>
              </w:tc>
              <w:tc>
                <w:tcPr>
                  <w:tcW w:w="456" w:type="pct"/>
                  <w:tcBorders>
                    <w:top w:val="single" w:color="auto" w:sz="4" w:space="0"/>
                    <w:left w:val="single" w:color="auto" w:sz="4" w:space="0"/>
                    <w:right w:val="single" w:color="auto" w:sz="4" w:space="0"/>
                  </w:tcBorders>
                  <w:vAlign w:val="center"/>
                </w:tcPr>
                <w:p w14:paraId="1ECE5370">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cs="Times New Roman"/>
                      <w:color w:val="auto"/>
                      <w:kern w:val="2"/>
                      <w:sz w:val="18"/>
                      <w:szCs w:val="18"/>
                      <w:lang w:val="en-US" w:eastAsia="zh-CN" w:bidi="ar-SA"/>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vAlign w:val="center"/>
                </w:tcPr>
                <w:p w14:paraId="6D9F5C65">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2</w:t>
                  </w:r>
                </w:p>
              </w:tc>
              <w:tc>
                <w:tcPr>
                  <w:tcW w:w="857" w:type="pct"/>
                  <w:tcBorders>
                    <w:top w:val="single" w:color="auto" w:sz="4" w:space="0"/>
                    <w:left w:val="single" w:color="auto" w:sz="4" w:space="0"/>
                    <w:right w:val="single" w:color="auto" w:sz="4" w:space="0"/>
                  </w:tcBorders>
                  <w:vAlign w:val="center"/>
                </w:tcPr>
                <w:p w14:paraId="44F493A1">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1</w:t>
                  </w:r>
                </w:p>
              </w:tc>
              <w:tc>
                <w:tcPr>
                  <w:tcW w:w="1048" w:type="pct"/>
                  <w:tcBorders>
                    <w:top w:val="single" w:color="auto" w:sz="4" w:space="0"/>
                    <w:left w:val="single" w:color="auto" w:sz="4" w:space="0"/>
                    <w:right w:val="single" w:color="auto" w:sz="4" w:space="0"/>
                  </w:tcBorders>
                  <w:shd w:val="clear" w:color="auto" w:fill="auto"/>
                  <w:vAlign w:val="center"/>
                </w:tcPr>
                <w:p w14:paraId="0C2DE6B0">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3</w:t>
                  </w:r>
                </w:p>
              </w:tc>
              <w:tc>
                <w:tcPr>
                  <w:tcW w:w="1048" w:type="pct"/>
                  <w:vMerge w:val="continue"/>
                  <w:tcBorders>
                    <w:left w:val="single" w:color="auto" w:sz="4" w:space="0"/>
                    <w:right w:val="single" w:color="auto" w:sz="4" w:space="0"/>
                  </w:tcBorders>
                  <w:vAlign w:val="center"/>
                </w:tcPr>
                <w:p w14:paraId="455CC829">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cs="Times New Roman"/>
                      <w:color w:val="auto"/>
                      <w:sz w:val="18"/>
                      <w:szCs w:val="18"/>
                      <w:highlight w:val="none"/>
                      <w:lang w:val="en-US" w:eastAsia="zh-CN"/>
                    </w:rPr>
                  </w:pPr>
                </w:p>
              </w:tc>
            </w:tr>
            <w:tr w14:paraId="21EA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tcBorders>
                    <w:left w:val="single" w:color="auto" w:sz="4" w:space="0"/>
                    <w:right w:val="single" w:color="auto" w:sz="4" w:space="0"/>
                  </w:tcBorders>
                  <w:vAlign w:val="center"/>
                </w:tcPr>
                <w:p w14:paraId="47B30673">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eastAsia" w:cs="Times New Roman"/>
                      <w:color w:val="auto"/>
                      <w:kern w:val="2"/>
                      <w:sz w:val="18"/>
                      <w:szCs w:val="18"/>
                      <w:highlight w:val="none"/>
                      <w:lang w:val="en-US" w:eastAsia="zh-CN" w:bidi="ar-SA"/>
                    </w:rPr>
                  </w:pPr>
                </w:p>
              </w:tc>
              <w:tc>
                <w:tcPr>
                  <w:tcW w:w="318" w:type="pct"/>
                  <w:vMerge w:val="continue"/>
                  <w:tcBorders>
                    <w:left w:val="single" w:color="auto" w:sz="4" w:space="0"/>
                    <w:right w:val="single" w:color="auto" w:sz="4" w:space="0"/>
                  </w:tcBorders>
                  <w:vAlign w:val="center"/>
                </w:tcPr>
                <w:p w14:paraId="4D6A5EE3">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eastAsia" w:cs="Times New Roman"/>
                      <w:color w:val="auto"/>
                      <w:sz w:val="18"/>
                      <w:szCs w:val="18"/>
                      <w:highlight w:val="none"/>
                      <w:lang w:val="en-US" w:eastAsia="zh-CN"/>
                    </w:rPr>
                  </w:pPr>
                </w:p>
              </w:tc>
              <w:tc>
                <w:tcPr>
                  <w:tcW w:w="321" w:type="pct"/>
                  <w:tcBorders>
                    <w:top w:val="single" w:color="auto" w:sz="4" w:space="0"/>
                    <w:left w:val="single" w:color="auto" w:sz="4" w:space="0"/>
                    <w:right w:val="single" w:color="auto" w:sz="4" w:space="0"/>
                  </w:tcBorders>
                  <w:vAlign w:val="center"/>
                </w:tcPr>
                <w:p w14:paraId="2C1A8D47">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上胶、吸胶装置</w:t>
                  </w:r>
                </w:p>
              </w:tc>
              <w:tc>
                <w:tcPr>
                  <w:tcW w:w="456" w:type="pct"/>
                  <w:tcBorders>
                    <w:top w:val="single" w:color="auto" w:sz="4" w:space="0"/>
                    <w:left w:val="single" w:color="auto" w:sz="4" w:space="0"/>
                    <w:right w:val="single" w:color="auto" w:sz="4" w:space="0"/>
                  </w:tcBorders>
                  <w:vAlign w:val="center"/>
                </w:tcPr>
                <w:p w14:paraId="7537BC32">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cs="Times New Roman"/>
                      <w:color w:val="auto"/>
                      <w:kern w:val="2"/>
                      <w:sz w:val="18"/>
                      <w:szCs w:val="18"/>
                      <w:lang w:val="en-US" w:eastAsia="zh-CN" w:bidi="ar-SA"/>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vAlign w:val="center"/>
                </w:tcPr>
                <w:p w14:paraId="2E1FCE2F">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2</w:t>
                  </w:r>
                </w:p>
              </w:tc>
              <w:tc>
                <w:tcPr>
                  <w:tcW w:w="857" w:type="pct"/>
                  <w:tcBorders>
                    <w:top w:val="single" w:color="auto" w:sz="4" w:space="0"/>
                    <w:left w:val="single" w:color="auto" w:sz="4" w:space="0"/>
                    <w:right w:val="single" w:color="auto" w:sz="4" w:space="0"/>
                  </w:tcBorders>
                  <w:vAlign w:val="center"/>
                </w:tcPr>
                <w:p w14:paraId="34F55960">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1</w:t>
                  </w:r>
                </w:p>
              </w:tc>
              <w:tc>
                <w:tcPr>
                  <w:tcW w:w="1048" w:type="pct"/>
                  <w:tcBorders>
                    <w:top w:val="single" w:color="auto" w:sz="4" w:space="0"/>
                    <w:left w:val="single" w:color="auto" w:sz="4" w:space="0"/>
                    <w:right w:val="single" w:color="auto" w:sz="4" w:space="0"/>
                  </w:tcBorders>
                  <w:shd w:val="clear" w:color="auto" w:fill="auto"/>
                  <w:vAlign w:val="center"/>
                </w:tcPr>
                <w:p w14:paraId="32523757">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3</w:t>
                  </w:r>
                </w:p>
              </w:tc>
              <w:tc>
                <w:tcPr>
                  <w:tcW w:w="1048" w:type="pct"/>
                  <w:vMerge w:val="continue"/>
                  <w:tcBorders>
                    <w:left w:val="single" w:color="auto" w:sz="4" w:space="0"/>
                    <w:right w:val="single" w:color="auto" w:sz="4" w:space="0"/>
                  </w:tcBorders>
                  <w:vAlign w:val="center"/>
                </w:tcPr>
                <w:p w14:paraId="6CBE05DD">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cs="Times New Roman"/>
                      <w:color w:val="auto"/>
                      <w:sz w:val="18"/>
                      <w:szCs w:val="18"/>
                      <w:highlight w:val="none"/>
                      <w:lang w:val="en-US" w:eastAsia="zh-CN"/>
                    </w:rPr>
                  </w:pPr>
                </w:p>
              </w:tc>
            </w:tr>
            <w:tr w14:paraId="5BF6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tcBorders>
                    <w:left w:val="single" w:color="auto" w:sz="4" w:space="0"/>
                    <w:right w:val="single" w:color="auto" w:sz="4" w:space="0"/>
                  </w:tcBorders>
                  <w:vAlign w:val="center"/>
                </w:tcPr>
                <w:p w14:paraId="28E65F17">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eastAsia" w:cs="Times New Roman"/>
                      <w:color w:val="auto"/>
                      <w:kern w:val="2"/>
                      <w:sz w:val="18"/>
                      <w:szCs w:val="18"/>
                      <w:highlight w:val="none"/>
                      <w:lang w:val="en-US" w:eastAsia="zh-CN" w:bidi="ar-SA"/>
                    </w:rPr>
                  </w:pPr>
                </w:p>
              </w:tc>
              <w:tc>
                <w:tcPr>
                  <w:tcW w:w="318" w:type="pct"/>
                  <w:vMerge w:val="continue"/>
                  <w:tcBorders>
                    <w:left w:val="single" w:color="auto" w:sz="4" w:space="0"/>
                    <w:right w:val="single" w:color="auto" w:sz="4" w:space="0"/>
                  </w:tcBorders>
                  <w:vAlign w:val="center"/>
                </w:tcPr>
                <w:p w14:paraId="26D04352">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eastAsia" w:cs="Times New Roman"/>
                      <w:color w:val="auto"/>
                      <w:sz w:val="18"/>
                      <w:szCs w:val="18"/>
                      <w:highlight w:val="none"/>
                      <w:lang w:val="en-US" w:eastAsia="zh-CN"/>
                    </w:rPr>
                  </w:pPr>
                </w:p>
              </w:tc>
              <w:tc>
                <w:tcPr>
                  <w:tcW w:w="321" w:type="pct"/>
                  <w:tcBorders>
                    <w:top w:val="single" w:color="auto" w:sz="4" w:space="0"/>
                    <w:left w:val="single" w:color="auto" w:sz="4" w:space="0"/>
                    <w:right w:val="single" w:color="auto" w:sz="4" w:space="0"/>
                  </w:tcBorders>
                  <w:vAlign w:val="center"/>
                </w:tcPr>
                <w:p w14:paraId="5C0D13C8">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压滤装置</w:t>
                  </w:r>
                </w:p>
              </w:tc>
              <w:tc>
                <w:tcPr>
                  <w:tcW w:w="456" w:type="pct"/>
                  <w:tcBorders>
                    <w:top w:val="single" w:color="auto" w:sz="4" w:space="0"/>
                    <w:left w:val="single" w:color="auto" w:sz="4" w:space="0"/>
                    <w:right w:val="single" w:color="auto" w:sz="4" w:space="0"/>
                  </w:tcBorders>
                  <w:vAlign w:val="center"/>
                </w:tcPr>
                <w:p w14:paraId="7BC12808">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cs="Times New Roman"/>
                      <w:color w:val="auto"/>
                      <w:kern w:val="2"/>
                      <w:sz w:val="18"/>
                      <w:szCs w:val="18"/>
                      <w:lang w:val="en-US" w:eastAsia="zh-CN" w:bidi="ar-SA"/>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vAlign w:val="center"/>
                </w:tcPr>
                <w:p w14:paraId="514231E4">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2</w:t>
                  </w:r>
                </w:p>
              </w:tc>
              <w:tc>
                <w:tcPr>
                  <w:tcW w:w="857" w:type="pct"/>
                  <w:tcBorders>
                    <w:top w:val="single" w:color="auto" w:sz="4" w:space="0"/>
                    <w:left w:val="single" w:color="auto" w:sz="4" w:space="0"/>
                    <w:right w:val="single" w:color="auto" w:sz="4" w:space="0"/>
                  </w:tcBorders>
                  <w:vAlign w:val="center"/>
                </w:tcPr>
                <w:p w14:paraId="157CB49D">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1</w:t>
                  </w:r>
                </w:p>
              </w:tc>
              <w:tc>
                <w:tcPr>
                  <w:tcW w:w="1048" w:type="pct"/>
                  <w:tcBorders>
                    <w:top w:val="single" w:color="auto" w:sz="4" w:space="0"/>
                    <w:left w:val="single" w:color="auto" w:sz="4" w:space="0"/>
                    <w:right w:val="single" w:color="auto" w:sz="4" w:space="0"/>
                  </w:tcBorders>
                  <w:shd w:val="clear" w:color="auto" w:fill="auto"/>
                  <w:vAlign w:val="center"/>
                </w:tcPr>
                <w:p w14:paraId="61B5974F">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3</w:t>
                  </w:r>
                </w:p>
              </w:tc>
              <w:tc>
                <w:tcPr>
                  <w:tcW w:w="1048" w:type="pct"/>
                  <w:vMerge w:val="continue"/>
                  <w:tcBorders>
                    <w:left w:val="single" w:color="auto" w:sz="4" w:space="0"/>
                    <w:right w:val="single" w:color="auto" w:sz="4" w:space="0"/>
                  </w:tcBorders>
                  <w:vAlign w:val="center"/>
                </w:tcPr>
                <w:p w14:paraId="15D40935">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cs="Times New Roman"/>
                      <w:color w:val="auto"/>
                      <w:sz w:val="18"/>
                      <w:szCs w:val="18"/>
                      <w:highlight w:val="none"/>
                      <w:lang w:val="en-US" w:eastAsia="zh-CN"/>
                    </w:rPr>
                  </w:pPr>
                </w:p>
              </w:tc>
            </w:tr>
            <w:tr w14:paraId="6311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vMerge w:val="continue"/>
                  <w:tcBorders>
                    <w:left w:val="single" w:color="auto" w:sz="4" w:space="0"/>
                    <w:right w:val="single" w:color="auto" w:sz="4" w:space="0"/>
                  </w:tcBorders>
                  <w:vAlign w:val="center"/>
                </w:tcPr>
                <w:p w14:paraId="13889EFD">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eastAsia" w:cs="Times New Roman"/>
                      <w:color w:val="auto"/>
                      <w:kern w:val="2"/>
                      <w:sz w:val="18"/>
                      <w:szCs w:val="18"/>
                      <w:highlight w:val="none"/>
                      <w:lang w:val="en-US" w:eastAsia="zh-CN" w:bidi="ar-SA"/>
                    </w:rPr>
                  </w:pPr>
                </w:p>
              </w:tc>
              <w:tc>
                <w:tcPr>
                  <w:tcW w:w="318" w:type="pct"/>
                  <w:vMerge w:val="continue"/>
                  <w:tcBorders>
                    <w:left w:val="single" w:color="auto" w:sz="4" w:space="0"/>
                    <w:right w:val="single" w:color="auto" w:sz="4" w:space="0"/>
                  </w:tcBorders>
                  <w:vAlign w:val="center"/>
                </w:tcPr>
                <w:p w14:paraId="1B318B0E">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eastAsia" w:cs="Times New Roman"/>
                      <w:color w:val="auto"/>
                      <w:sz w:val="18"/>
                      <w:szCs w:val="18"/>
                      <w:highlight w:val="none"/>
                      <w:lang w:val="en-US" w:eastAsia="zh-CN"/>
                    </w:rPr>
                  </w:pPr>
                </w:p>
              </w:tc>
              <w:tc>
                <w:tcPr>
                  <w:tcW w:w="321" w:type="pct"/>
                  <w:tcBorders>
                    <w:top w:val="single" w:color="auto" w:sz="4" w:space="0"/>
                    <w:left w:val="single" w:color="auto" w:sz="4" w:space="0"/>
                    <w:right w:val="single" w:color="auto" w:sz="4" w:space="0"/>
                  </w:tcBorders>
                  <w:vAlign w:val="center"/>
                </w:tcPr>
                <w:p w14:paraId="5192E258">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吸干装置</w:t>
                  </w:r>
                </w:p>
              </w:tc>
              <w:tc>
                <w:tcPr>
                  <w:tcW w:w="456" w:type="pct"/>
                  <w:tcBorders>
                    <w:top w:val="single" w:color="auto" w:sz="4" w:space="0"/>
                    <w:left w:val="single" w:color="auto" w:sz="4" w:space="0"/>
                    <w:right w:val="single" w:color="auto" w:sz="4" w:space="0"/>
                  </w:tcBorders>
                  <w:vAlign w:val="center"/>
                </w:tcPr>
                <w:p w14:paraId="0273EEEF">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cs="Times New Roman"/>
                      <w:color w:val="auto"/>
                      <w:kern w:val="2"/>
                      <w:sz w:val="18"/>
                      <w:szCs w:val="18"/>
                      <w:lang w:val="en-US" w:eastAsia="zh-CN" w:bidi="ar-SA"/>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vAlign w:val="center"/>
                </w:tcPr>
                <w:p w14:paraId="380EFFE4">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2</w:t>
                  </w:r>
                </w:p>
              </w:tc>
              <w:tc>
                <w:tcPr>
                  <w:tcW w:w="857" w:type="pct"/>
                  <w:tcBorders>
                    <w:top w:val="single" w:color="auto" w:sz="4" w:space="0"/>
                    <w:left w:val="single" w:color="auto" w:sz="4" w:space="0"/>
                    <w:right w:val="single" w:color="auto" w:sz="4" w:space="0"/>
                  </w:tcBorders>
                  <w:vAlign w:val="center"/>
                </w:tcPr>
                <w:p w14:paraId="0A419946">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1</w:t>
                  </w:r>
                </w:p>
              </w:tc>
              <w:tc>
                <w:tcPr>
                  <w:tcW w:w="1048" w:type="pct"/>
                  <w:tcBorders>
                    <w:top w:val="single" w:color="auto" w:sz="4" w:space="0"/>
                    <w:left w:val="single" w:color="auto" w:sz="4" w:space="0"/>
                    <w:right w:val="single" w:color="auto" w:sz="4" w:space="0"/>
                  </w:tcBorders>
                  <w:shd w:val="clear" w:color="auto" w:fill="auto"/>
                  <w:vAlign w:val="center"/>
                </w:tcPr>
                <w:p w14:paraId="216C009F">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3</w:t>
                  </w:r>
                </w:p>
              </w:tc>
              <w:tc>
                <w:tcPr>
                  <w:tcW w:w="1048" w:type="pct"/>
                  <w:vMerge w:val="continue"/>
                  <w:tcBorders>
                    <w:left w:val="single" w:color="auto" w:sz="4" w:space="0"/>
                    <w:right w:val="single" w:color="auto" w:sz="4" w:space="0"/>
                  </w:tcBorders>
                  <w:vAlign w:val="center"/>
                </w:tcPr>
                <w:p w14:paraId="6EF5798F">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cs="Times New Roman"/>
                      <w:color w:val="auto"/>
                      <w:sz w:val="18"/>
                      <w:szCs w:val="18"/>
                      <w:highlight w:val="none"/>
                      <w:lang w:val="en-US" w:eastAsia="zh-CN"/>
                    </w:rPr>
                  </w:pPr>
                </w:p>
              </w:tc>
            </w:tr>
            <w:tr w14:paraId="5621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right w:val="single" w:color="auto" w:sz="4" w:space="0"/>
                  </w:tcBorders>
                  <w:vAlign w:val="center"/>
                </w:tcPr>
                <w:p w14:paraId="54D70A04">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7</w:t>
                  </w:r>
                </w:p>
              </w:tc>
              <w:tc>
                <w:tcPr>
                  <w:tcW w:w="639" w:type="pct"/>
                  <w:gridSpan w:val="2"/>
                  <w:tcBorders>
                    <w:top w:val="single" w:color="auto" w:sz="4" w:space="0"/>
                    <w:left w:val="single" w:color="auto" w:sz="4" w:space="0"/>
                    <w:right w:val="single" w:color="auto" w:sz="4" w:space="0"/>
                  </w:tcBorders>
                  <w:vAlign w:val="center"/>
                </w:tcPr>
                <w:p w14:paraId="2CE127D1">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二级活性炭吸附装置</w:t>
                  </w:r>
                </w:p>
              </w:tc>
              <w:tc>
                <w:tcPr>
                  <w:tcW w:w="456" w:type="pct"/>
                  <w:tcBorders>
                    <w:top w:val="single" w:color="auto" w:sz="4" w:space="0"/>
                    <w:left w:val="single" w:color="auto" w:sz="4" w:space="0"/>
                    <w:right w:val="single" w:color="auto" w:sz="4" w:space="0"/>
                  </w:tcBorders>
                  <w:vAlign w:val="center"/>
                </w:tcPr>
                <w:p w14:paraId="09E94E13">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cs="Times New Roman"/>
                      <w:color w:val="auto"/>
                      <w:sz w:val="18"/>
                      <w:szCs w:val="18"/>
                      <w:highlight w:val="none"/>
                      <w:lang w:val="en-US" w:eastAsia="zh-CN"/>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vAlign w:val="center"/>
                </w:tcPr>
                <w:p w14:paraId="5164C331">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2</w:t>
                  </w:r>
                </w:p>
              </w:tc>
              <w:tc>
                <w:tcPr>
                  <w:tcW w:w="857" w:type="pct"/>
                  <w:tcBorders>
                    <w:top w:val="single" w:color="auto" w:sz="4" w:space="0"/>
                    <w:left w:val="single" w:color="auto" w:sz="4" w:space="0"/>
                    <w:right w:val="single" w:color="auto" w:sz="4" w:space="0"/>
                  </w:tcBorders>
                  <w:vAlign w:val="center"/>
                </w:tcPr>
                <w:p w14:paraId="15D24570">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eastAsia="宋体" w:cs="Times New Roman"/>
                      <w:color w:val="auto"/>
                      <w:sz w:val="18"/>
                      <w:szCs w:val="18"/>
                      <w:highlight w:val="none"/>
                      <w:lang w:eastAsia="zh-CN"/>
                    </w:rPr>
                  </w:pPr>
                  <w:r>
                    <w:rPr>
                      <w:rFonts w:hint="eastAsia" w:cs="Times New Roman"/>
                      <w:color w:val="auto"/>
                      <w:sz w:val="18"/>
                      <w:szCs w:val="18"/>
                      <w:highlight w:val="none"/>
                      <w:lang w:val="en-US" w:eastAsia="zh-CN"/>
                    </w:rPr>
                    <w:t>0</w:t>
                  </w:r>
                </w:p>
              </w:tc>
              <w:tc>
                <w:tcPr>
                  <w:tcW w:w="1048" w:type="pct"/>
                  <w:tcBorders>
                    <w:top w:val="single" w:color="auto" w:sz="4" w:space="0"/>
                    <w:left w:val="single" w:color="auto" w:sz="4" w:space="0"/>
                    <w:right w:val="single" w:color="auto" w:sz="4" w:space="0"/>
                  </w:tcBorders>
                  <w:shd w:val="clear" w:color="auto" w:fill="auto"/>
                  <w:vAlign w:val="center"/>
                </w:tcPr>
                <w:p w14:paraId="42C01E24">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2</w:t>
                  </w:r>
                </w:p>
              </w:tc>
              <w:tc>
                <w:tcPr>
                  <w:tcW w:w="1048" w:type="pct"/>
                  <w:tcBorders>
                    <w:top w:val="single" w:color="auto" w:sz="4" w:space="0"/>
                    <w:left w:val="single" w:color="auto" w:sz="4" w:space="0"/>
                    <w:right w:val="single" w:color="auto" w:sz="4" w:space="0"/>
                  </w:tcBorders>
                  <w:vAlign w:val="center"/>
                </w:tcPr>
                <w:p w14:paraId="0EB5B324">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ascii="Times New Roman" w:hAnsi="Times New Roman" w:eastAsia="宋体" w:cs="Times New Roman"/>
                      <w:color w:val="auto"/>
                      <w:sz w:val="18"/>
                      <w:szCs w:val="18"/>
                      <w:highlight w:val="none"/>
                      <w:lang w:eastAsia="zh-CN"/>
                    </w:rPr>
                  </w:pPr>
                  <w:r>
                    <w:rPr>
                      <w:rFonts w:hint="eastAsia" w:cs="Times New Roman"/>
                      <w:color w:val="auto"/>
                      <w:sz w:val="18"/>
                      <w:szCs w:val="18"/>
                      <w:highlight w:val="none"/>
                      <w:lang w:val="en-US" w:eastAsia="zh-CN"/>
                    </w:rPr>
                    <w:t>利旧</w:t>
                  </w:r>
                </w:p>
              </w:tc>
            </w:tr>
            <w:tr w14:paraId="0FB7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right w:val="single" w:color="auto" w:sz="4" w:space="0"/>
                  </w:tcBorders>
                  <w:vAlign w:val="center"/>
                </w:tcPr>
                <w:p w14:paraId="260466EB">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8</w:t>
                  </w:r>
                </w:p>
              </w:tc>
              <w:tc>
                <w:tcPr>
                  <w:tcW w:w="639" w:type="pct"/>
                  <w:gridSpan w:val="2"/>
                  <w:tcBorders>
                    <w:top w:val="single" w:color="auto" w:sz="4" w:space="0"/>
                    <w:left w:val="single" w:color="auto" w:sz="4" w:space="0"/>
                    <w:right w:val="single" w:color="auto" w:sz="4" w:space="0"/>
                  </w:tcBorders>
                  <w:vAlign w:val="center"/>
                </w:tcPr>
                <w:p w14:paraId="4BB47DCE">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打浆机</w:t>
                  </w:r>
                </w:p>
              </w:tc>
              <w:tc>
                <w:tcPr>
                  <w:tcW w:w="456" w:type="pct"/>
                  <w:tcBorders>
                    <w:top w:val="single" w:color="auto" w:sz="4" w:space="0"/>
                    <w:left w:val="single" w:color="auto" w:sz="4" w:space="0"/>
                    <w:right w:val="single" w:color="auto" w:sz="4" w:space="0"/>
                  </w:tcBorders>
                  <w:vAlign w:val="center"/>
                </w:tcPr>
                <w:p w14:paraId="61264FB6">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3m</w:t>
                  </w:r>
                  <w:r>
                    <w:rPr>
                      <w:rFonts w:hint="eastAsia" w:cs="Times New Roman"/>
                      <w:color w:val="auto"/>
                      <w:sz w:val="18"/>
                      <w:szCs w:val="18"/>
                      <w:highlight w:val="none"/>
                      <w:vertAlign w:val="superscript"/>
                      <w:lang w:val="en-US" w:eastAsia="zh-CN"/>
                    </w:rPr>
                    <w:t>3</w:t>
                  </w:r>
                </w:p>
              </w:tc>
              <w:tc>
                <w:tcPr>
                  <w:tcW w:w="730" w:type="pct"/>
                  <w:tcBorders>
                    <w:top w:val="single" w:color="auto" w:sz="4" w:space="0"/>
                    <w:left w:val="single" w:color="auto" w:sz="4" w:space="0"/>
                    <w:bottom w:val="single" w:color="auto" w:sz="4" w:space="0"/>
                    <w:right w:val="single" w:color="auto" w:sz="4" w:space="0"/>
                  </w:tcBorders>
                  <w:vAlign w:val="center"/>
                </w:tcPr>
                <w:p w14:paraId="7647C100">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w:t>
                  </w:r>
                </w:p>
              </w:tc>
              <w:tc>
                <w:tcPr>
                  <w:tcW w:w="857" w:type="pct"/>
                  <w:tcBorders>
                    <w:top w:val="single" w:color="auto" w:sz="4" w:space="0"/>
                    <w:left w:val="single" w:color="auto" w:sz="4" w:space="0"/>
                    <w:right w:val="single" w:color="auto" w:sz="4" w:space="0"/>
                  </w:tcBorders>
                  <w:shd w:val="clear" w:color="auto" w:fill="auto"/>
                  <w:vAlign w:val="center"/>
                </w:tcPr>
                <w:p w14:paraId="159C44E5">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top w:val="single" w:color="auto" w:sz="4" w:space="0"/>
                    <w:left w:val="single" w:color="auto" w:sz="4" w:space="0"/>
                    <w:right w:val="single" w:color="auto" w:sz="4" w:space="0"/>
                  </w:tcBorders>
                  <w:shd w:val="clear" w:color="auto" w:fill="auto"/>
                  <w:vAlign w:val="center"/>
                </w:tcPr>
                <w:p w14:paraId="6B69E4B8">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top w:val="single" w:color="auto" w:sz="4" w:space="0"/>
                    <w:left w:val="single" w:color="auto" w:sz="4" w:space="0"/>
                    <w:right w:val="single" w:color="auto" w:sz="4" w:space="0"/>
                  </w:tcBorders>
                  <w:vAlign w:val="center"/>
                </w:tcPr>
                <w:p w14:paraId="408E7987">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新增</w:t>
                  </w:r>
                </w:p>
              </w:tc>
            </w:tr>
            <w:tr w14:paraId="6342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right w:val="single" w:color="auto" w:sz="4" w:space="0"/>
                  </w:tcBorders>
                  <w:vAlign w:val="center"/>
                </w:tcPr>
                <w:p w14:paraId="3AA09B92">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9</w:t>
                  </w:r>
                </w:p>
              </w:tc>
              <w:tc>
                <w:tcPr>
                  <w:tcW w:w="639" w:type="pct"/>
                  <w:gridSpan w:val="2"/>
                  <w:tcBorders>
                    <w:top w:val="single" w:color="auto" w:sz="4" w:space="0"/>
                    <w:left w:val="single" w:color="auto" w:sz="4" w:space="0"/>
                    <w:right w:val="single" w:color="auto" w:sz="4" w:space="0"/>
                  </w:tcBorders>
                  <w:vAlign w:val="center"/>
                </w:tcPr>
                <w:p w14:paraId="6FED2B0E">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供浆泵</w:t>
                  </w:r>
                </w:p>
              </w:tc>
              <w:tc>
                <w:tcPr>
                  <w:tcW w:w="456" w:type="pct"/>
                  <w:tcBorders>
                    <w:top w:val="single" w:color="auto" w:sz="4" w:space="0"/>
                    <w:left w:val="single" w:color="auto" w:sz="4" w:space="0"/>
                    <w:right w:val="single" w:color="auto" w:sz="4" w:space="0"/>
                  </w:tcBorders>
                  <w:vAlign w:val="center"/>
                </w:tcPr>
                <w:p w14:paraId="262062E0">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vAlign w:val="center"/>
                </w:tcPr>
                <w:p w14:paraId="6A8DAB79">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w:t>
                  </w:r>
                </w:p>
              </w:tc>
              <w:tc>
                <w:tcPr>
                  <w:tcW w:w="857" w:type="pct"/>
                  <w:tcBorders>
                    <w:top w:val="single" w:color="auto" w:sz="4" w:space="0"/>
                    <w:left w:val="single" w:color="auto" w:sz="4" w:space="0"/>
                    <w:right w:val="single" w:color="auto" w:sz="4" w:space="0"/>
                  </w:tcBorders>
                  <w:shd w:val="clear" w:color="auto" w:fill="auto"/>
                  <w:vAlign w:val="center"/>
                </w:tcPr>
                <w:p w14:paraId="08E8E257">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top w:val="single" w:color="auto" w:sz="4" w:space="0"/>
                    <w:left w:val="single" w:color="auto" w:sz="4" w:space="0"/>
                    <w:right w:val="single" w:color="auto" w:sz="4" w:space="0"/>
                  </w:tcBorders>
                  <w:shd w:val="clear" w:color="auto" w:fill="auto"/>
                  <w:vAlign w:val="center"/>
                </w:tcPr>
                <w:p w14:paraId="1A25B4F6">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top w:val="single" w:color="auto" w:sz="4" w:space="0"/>
                    <w:left w:val="single" w:color="auto" w:sz="4" w:space="0"/>
                    <w:right w:val="single" w:color="auto" w:sz="4" w:space="0"/>
                  </w:tcBorders>
                  <w:vAlign w:val="center"/>
                </w:tcPr>
                <w:p w14:paraId="33D8AD72">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新增</w:t>
                  </w:r>
                </w:p>
              </w:tc>
            </w:tr>
            <w:tr w14:paraId="0E07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right w:val="single" w:color="auto" w:sz="4" w:space="0"/>
                  </w:tcBorders>
                  <w:vAlign w:val="center"/>
                </w:tcPr>
                <w:p w14:paraId="0592F2AE">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10</w:t>
                  </w:r>
                </w:p>
              </w:tc>
              <w:tc>
                <w:tcPr>
                  <w:tcW w:w="639" w:type="pct"/>
                  <w:gridSpan w:val="2"/>
                  <w:tcBorders>
                    <w:top w:val="single" w:color="auto" w:sz="4" w:space="0"/>
                    <w:left w:val="single" w:color="auto" w:sz="4" w:space="0"/>
                    <w:right w:val="single" w:color="auto" w:sz="4" w:space="0"/>
                  </w:tcBorders>
                  <w:vAlign w:val="center"/>
                </w:tcPr>
                <w:p w14:paraId="6B5D0936">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高浓除渣器</w:t>
                  </w:r>
                </w:p>
              </w:tc>
              <w:tc>
                <w:tcPr>
                  <w:tcW w:w="456" w:type="pct"/>
                  <w:tcBorders>
                    <w:top w:val="single" w:color="auto" w:sz="4" w:space="0"/>
                    <w:left w:val="single" w:color="auto" w:sz="4" w:space="0"/>
                    <w:right w:val="single" w:color="auto" w:sz="4" w:space="0"/>
                  </w:tcBorders>
                  <w:vAlign w:val="center"/>
                </w:tcPr>
                <w:p w14:paraId="77DDB926">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vAlign w:val="center"/>
                </w:tcPr>
                <w:p w14:paraId="27C1190E">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w:t>
                  </w:r>
                </w:p>
              </w:tc>
              <w:tc>
                <w:tcPr>
                  <w:tcW w:w="857" w:type="pct"/>
                  <w:tcBorders>
                    <w:left w:val="single" w:color="auto" w:sz="4" w:space="0"/>
                    <w:right w:val="single" w:color="auto" w:sz="4" w:space="0"/>
                  </w:tcBorders>
                  <w:shd w:val="clear" w:color="auto" w:fill="auto"/>
                  <w:vAlign w:val="center"/>
                </w:tcPr>
                <w:p w14:paraId="7214067C">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shd w:val="clear" w:color="auto" w:fill="auto"/>
                  <w:vAlign w:val="center"/>
                </w:tcPr>
                <w:p w14:paraId="55B4FB62">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vAlign w:val="center"/>
                </w:tcPr>
                <w:p w14:paraId="2A90166A">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新增</w:t>
                  </w:r>
                </w:p>
              </w:tc>
            </w:tr>
            <w:tr w14:paraId="67D6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right w:val="single" w:color="auto" w:sz="4" w:space="0"/>
                  </w:tcBorders>
                  <w:vAlign w:val="center"/>
                </w:tcPr>
                <w:p w14:paraId="4E715165">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11</w:t>
                  </w:r>
                </w:p>
              </w:tc>
              <w:tc>
                <w:tcPr>
                  <w:tcW w:w="639" w:type="pct"/>
                  <w:gridSpan w:val="2"/>
                  <w:tcBorders>
                    <w:top w:val="single" w:color="auto" w:sz="4" w:space="0"/>
                    <w:left w:val="single" w:color="auto" w:sz="4" w:space="0"/>
                    <w:right w:val="single" w:color="auto" w:sz="4" w:space="0"/>
                  </w:tcBorders>
                  <w:vAlign w:val="center"/>
                </w:tcPr>
                <w:p w14:paraId="425E9424">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配浆池（带搅拌）</w:t>
                  </w:r>
                </w:p>
              </w:tc>
              <w:tc>
                <w:tcPr>
                  <w:tcW w:w="456" w:type="pct"/>
                  <w:tcBorders>
                    <w:top w:val="single" w:color="auto" w:sz="4" w:space="0"/>
                    <w:left w:val="single" w:color="auto" w:sz="4" w:space="0"/>
                    <w:right w:val="single" w:color="auto" w:sz="4" w:space="0"/>
                  </w:tcBorders>
                  <w:vAlign w:val="center"/>
                </w:tcPr>
                <w:p w14:paraId="45AF66F9">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vAlign w:val="center"/>
                </w:tcPr>
                <w:p w14:paraId="0F38F347">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w:t>
                  </w:r>
                </w:p>
              </w:tc>
              <w:tc>
                <w:tcPr>
                  <w:tcW w:w="857" w:type="pct"/>
                  <w:tcBorders>
                    <w:left w:val="single" w:color="auto" w:sz="4" w:space="0"/>
                    <w:right w:val="single" w:color="auto" w:sz="4" w:space="0"/>
                  </w:tcBorders>
                  <w:shd w:val="clear" w:color="auto" w:fill="auto"/>
                  <w:vAlign w:val="center"/>
                </w:tcPr>
                <w:p w14:paraId="58C52886">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2</w:t>
                  </w:r>
                </w:p>
              </w:tc>
              <w:tc>
                <w:tcPr>
                  <w:tcW w:w="1048" w:type="pct"/>
                  <w:tcBorders>
                    <w:left w:val="single" w:color="auto" w:sz="4" w:space="0"/>
                    <w:right w:val="single" w:color="auto" w:sz="4" w:space="0"/>
                  </w:tcBorders>
                  <w:shd w:val="clear" w:color="auto" w:fill="auto"/>
                  <w:vAlign w:val="center"/>
                </w:tcPr>
                <w:p w14:paraId="5E4E6F40">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2</w:t>
                  </w:r>
                </w:p>
              </w:tc>
              <w:tc>
                <w:tcPr>
                  <w:tcW w:w="1048" w:type="pct"/>
                  <w:tcBorders>
                    <w:left w:val="single" w:color="auto" w:sz="4" w:space="0"/>
                    <w:right w:val="single" w:color="auto" w:sz="4" w:space="0"/>
                  </w:tcBorders>
                  <w:vAlign w:val="center"/>
                </w:tcPr>
                <w:p w14:paraId="09CA19B4">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新增</w:t>
                  </w:r>
                </w:p>
              </w:tc>
            </w:tr>
            <w:tr w14:paraId="5C56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right w:val="single" w:color="auto" w:sz="4" w:space="0"/>
                  </w:tcBorders>
                  <w:vAlign w:val="center"/>
                </w:tcPr>
                <w:p w14:paraId="47F98E37">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12</w:t>
                  </w:r>
                </w:p>
              </w:tc>
              <w:tc>
                <w:tcPr>
                  <w:tcW w:w="639" w:type="pct"/>
                  <w:gridSpan w:val="2"/>
                  <w:tcBorders>
                    <w:top w:val="single" w:color="auto" w:sz="4" w:space="0"/>
                    <w:left w:val="single" w:color="auto" w:sz="4" w:space="0"/>
                    <w:right w:val="single" w:color="auto" w:sz="4" w:space="0"/>
                  </w:tcBorders>
                  <w:vAlign w:val="center"/>
                </w:tcPr>
                <w:p w14:paraId="3DD26A81">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全自动成型机</w:t>
                  </w:r>
                </w:p>
              </w:tc>
              <w:tc>
                <w:tcPr>
                  <w:tcW w:w="456" w:type="pct"/>
                  <w:tcBorders>
                    <w:top w:val="single" w:color="auto" w:sz="4" w:space="0"/>
                    <w:left w:val="single" w:color="auto" w:sz="4" w:space="0"/>
                    <w:right w:val="single" w:color="auto" w:sz="4" w:space="0"/>
                  </w:tcBorders>
                  <w:vAlign w:val="center"/>
                </w:tcPr>
                <w:p w14:paraId="467F8078">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vAlign w:val="center"/>
                </w:tcPr>
                <w:p w14:paraId="5AB77FC1">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w:t>
                  </w:r>
                </w:p>
              </w:tc>
              <w:tc>
                <w:tcPr>
                  <w:tcW w:w="857" w:type="pct"/>
                  <w:tcBorders>
                    <w:left w:val="single" w:color="auto" w:sz="4" w:space="0"/>
                    <w:right w:val="single" w:color="auto" w:sz="4" w:space="0"/>
                  </w:tcBorders>
                  <w:shd w:val="clear" w:color="auto" w:fill="auto"/>
                  <w:vAlign w:val="center"/>
                </w:tcPr>
                <w:p w14:paraId="070391B6">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shd w:val="clear" w:color="auto" w:fill="auto"/>
                  <w:vAlign w:val="center"/>
                </w:tcPr>
                <w:p w14:paraId="1EB841F8">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vAlign w:val="center"/>
                </w:tcPr>
                <w:p w14:paraId="43A65DC3">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新增</w:t>
                  </w:r>
                </w:p>
              </w:tc>
            </w:tr>
            <w:tr w14:paraId="6F76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right w:val="single" w:color="auto" w:sz="4" w:space="0"/>
                  </w:tcBorders>
                  <w:vAlign w:val="center"/>
                </w:tcPr>
                <w:p w14:paraId="7FB7EB2B">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13</w:t>
                  </w:r>
                </w:p>
              </w:tc>
              <w:tc>
                <w:tcPr>
                  <w:tcW w:w="639" w:type="pct"/>
                  <w:gridSpan w:val="2"/>
                  <w:tcBorders>
                    <w:top w:val="single" w:color="auto" w:sz="4" w:space="0"/>
                    <w:left w:val="single" w:color="auto" w:sz="4" w:space="0"/>
                    <w:right w:val="single" w:color="auto" w:sz="4" w:space="0"/>
                  </w:tcBorders>
                  <w:vAlign w:val="center"/>
                </w:tcPr>
                <w:p w14:paraId="2B73C622">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气水分离器</w:t>
                  </w:r>
                </w:p>
              </w:tc>
              <w:tc>
                <w:tcPr>
                  <w:tcW w:w="456" w:type="pct"/>
                  <w:tcBorders>
                    <w:top w:val="single" w:color="auto" w:sz="4" w:space="0"/>
                    <w:left w:val="single" w:color="auto" w:sz="4" w:space="0"/>
                    <w:right w:val="single" w:color="auto" w:sz="4" w:space="0"/>
                  </w:tcBorders>
                  <w:vAlign w:val="center"/>
                </w:tcPr>
                <w:p w14:paraId="0C7EF024">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vAlign w:val="center"/>
                </w:tcPr>
                <w:p w14:paraId="5E9312A2">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w:t>
                  </w:r>
                </w:p>
              </w:tc>
              <w:tc>
                <w:tcPr>
                  <w:tcW w:w="857" w:type="pct"/>
                  <w:tcBorders>
                    <w:left w:val="single" w:color="auto" w:sz="4" w:space="0"/>
                    <w:right w:val="single" w:color="auto" w:sz="4" w:space="0"/>
                  </w:tcBorders>
                  <w:shd w:val="clear" w:color="auto" w:fill="auto"/>
                  <w:vAlign w:val="center"/>
                </w:tcPr>
                <w:p w14:paraId="5817BE71">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shd w:val="clear" w:color="auto" w:fill="auto"/>
                  <w:vAlign w:val="center"/>
                </w:tcPr>
                <w:p w14:paraId="7D15BA00">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vAlign w:val="center"/>
                </w:tcPr>
                <w:p w14:paraId="6AC4BA68">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新增</w:t>
                  </w:r>
                </w:p>
              </w:tc>
            </w:tr>
            <w:tr w14:paraId="5522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right w:val="single" w:color="auto" w:sz="4" w:space="0"/>
                  </w:tcBorders>
                  <w:vAlign w:val="center"/>
                </w:tcPr>
                <w:p w14:paraId="063932EF">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14</w:t>
                  </w:r>
                </w:p>
              </w:tc>
              <w:tc>
                <w:tcPr>
                  <w:tcW w:w="639" w:type="pct"/>
                  <w:gridSpan w:val="2"/>
                  <w:tcBorders>
                    <w:top w:val="single" w:color="auto" w:sz="4" w:space="0"/>
                    <w:left w:val="single" w:color="auto" w:sz="4" w:space="0"/>
                    <w:right w:val="single" w:color="auto" w:sz="4" w:space="0"/>
                  </w:tcBorders>
                  <w:vAlign w:val="center"/>
                </w:tcPr>
                <w:p w14:paraId="42AF5C59">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真空泵</w:t>
                  </w:r>
                </w:p>
              </w:tc>
              <w:tc>
                <w:tcPr>
                  <w:tcW w:w="456" w:type="pct"/>
                  <w:tcBorders>
                    <w:top w:val="single" w:color="auto" w:sz="4" w:space="0"/>
                    <w:left w:val="single" w:color="auto" w:sz="4" w:space="0"/>
                    <w:right w:val="single" w:color="auto" w:sz="4" w:space="0"/>
                  </w:tcBorders>
                  <w:vAlign w:val="center"/>
                </w:tcPr>
                <w:p w14:paraId="5E024F57">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vAlign w:val="center"/>
                </w:tcPr>
                <w:p w14:paraId="2115D497">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w:t>
                  </w:r>
                </w:p>
              </w:tc>
              <w:tc>
                <w:tcPr>
                  <w:tcW w:w="857" w:type="pct"/>
                  <w:tcBorders>
                    <w:left w:val="single" w:color="auto" w:sz="4" w:space="0"/>
                    <w:right w:val="single" w:color="auto" w:sz="4" w:space="0"/>
                  </w:tcBorders>
                  <w:shd w:val="clear" w:color="auto" w:fill="auto"/>
                  <w:vAlign w:val="center"/>
                </w:tcPr>
                <w:p w14:paraId="4C2C0F19">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shd w:val="clear" w:color="auto" w:fill="auto"/>
                  <w:vAlign w:val="center"/>
                </w:tcPr>
                <w:p w14:paraId="4907A2D7">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vAlign w:val="center"/>
                </w:tcPr>
                <w:p w14:paraId="1A5039B0">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新增</w:t>
                  </w:r>
                </w:p>
              </w:tc>
            </w:tr>
            <w:tr w14:paraId="5B5D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right w:val="single" w:color="auto" w:sz="4" w:space="0"/>
                  </w:tcBorders>
                  <w:vAlign w:val="center"/>
                </w:tcPr>
                <w:p w14:paraId="091B4521">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15</w:t>
                  </w:r>
                </w:p>
              </w:tc>
              <w:tc>
                <w:tcPr>
                  <w:tcW w:w="639" w:type="pct"/>
                  <w:gridSpan w:val="2"/>
                  <w:tcBorders>
                    <w:top w:val="single" w:color="auto" w:sz="4" w:space="0"/>
                    <w:left w:val="single" w:color="auto" w:sz="4" w:space="0"/>
                    <w:right w:val="single" w:color="auto" w:sz="4" w:space="0"/>
                  </w:tcBorders>
                  <w:vAlign w:val="center"/>
                </w:tcPr>
                <w:p w14:paraId="53B98C57">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接料平台</w:t>
                  </w:r>
                </w:p>
              </w:tc>
              <w:tc>
                <w:tcPr>
                  <w:tcW w:w="456" w:type="pct"/>
                  <w:tcBorders>
                    <w:top w:val="single" w:color="auto" w:sz="4" w:space="0"/>
                    <w:left w:val="single" w:color="auto" w:sz="4" w:space="0"/>
                    <w:right w:val="single" w:color="auto" w:sz="4" w:space="0"/>
                  </w:tcBorders>
                  <w:vAlign w:val="center"/>
                </w:tcPr>
                <w:p w14:paraId="6D0A9FE5">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vAlign w:val="center"/>
                </w:tcPr>
                <w:p w14:paraId="0DADE394">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w:t>
                  </w:r>
                </w:p>
              </w:tc>
              <w:tc>
                <w:tcPr>
                  <w:tcW w:w="857" w:type="pct"/>
                  <w:tcBorders>
                    <w:left w:val="single" w:color="auto" w:sz="4" w:space="0"/>
                    <w:right w:val="single" w:color="auto" w:sz="4" w:space="0"/>
                  </w:tcBorders>
                  <w:shd w:val="clear" w:color="auto" w:fill="auto"/>
                  <w:vAlign w:val="center"/>
                </w:tcPr>
                <w:p w14:paraId="6B4324CC">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shd w:val="clear" w:color="auto" w:fill="auto"/>
                  <w:vAlign w:val="center"/>
                </w:tcPr>
                <w:p w14:paraId="41B15AA6">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vAlign w:val="center"/>
                </w:tcPr>
                <w:p w14:paraId="1E969E3A">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新增</w:t>
                  </w:r>
                </w:p>
              </w:tc>
            </w:tr>
            <w:tr w14:paraId="5776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right w:val="single" w:color="auto" w:sz="4" w:space="0"/>
                  </w:tcBorders>
                  <w:vAlign w:val="center"/>
                </w:tcPr>
                <w:p w14:paraId="2C4876C2">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16</w:t>
                  </w:r>
                </w:p>
              </w:tc>
              <w:tc>
                <w:tcPr>
                  <w:tcW w:w="639" w:type="pct"/>
                  <w:gridSpan w:val="2"/>
                  <w:tcBorders>
                    <w:top w:val="single" w:color="auto" w:sz="4" w:space="0"/>
                    <w:left w:val="single" w:color="auto" w:sz="4" w:space="0"/>
                    <w:right w:val="single" w:color="auto" w:sz="4" w:space="0"/>
                  </w:tcBorders>
                  <w:vAlign w:val="center"/>
                </w:tcPr>
                <w:p w14:paraId="6B76A112">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辊压机</w:t>
                  </w:r>
                </w:p>
              </w:tc>
              <w:tc>
                <w:tcPr>
                  <w:tcW w:w="456" w:type="pct"/>
                  <w:tcBorders>
                    <w:top w:val="single" w:color="auto" w:sz="4" w:space="0"/>
                    <w:left w:val="single" w:color="auto" w:sz="4" w:space="0"/>
                    <w:right w:val="single" w:color="auto" w:sz="4" w:space="0"/>
                  </w:tcBorders>
                  <w:vAlign w:val="center"/>
                </w:tcPr>
                <w:p w14:paraId="0A7D5D25">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vAlign w:val="center"/>
                </w:tcPr>
                <w:p w14:paraId="04C62155">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w:t>
                  </w:r>
                </w:p>
              </w:tc>
              <w:tc>
                <w:tcPr>
                  <w:tcW w:w="857" w:type="pct"/>
                  <w:tcBorders>
                    <w:left w:val="single" w:color="auto" w:sz="4" w:space="0"/>
                    <w:right w:val="single" w:color="auto" w:sz="4" w:space="0"/>
                  </w:tcBorders>
                  <w:shd w:val="clear" w:color="auto" w:fill="auto"/>
                  <w:vAlign w:val="center"/>
                </w:tcPr>
                <w:p w14:paraId="1F91B7DB">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shd w:val="clear" w:color="auto" w:fill="auto"/>
                  <w:vAlign w:val="center"/>
                </w:tcPr>
                <w:p w14:paraId="30BFFBF0">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vAlign w:val="center"/>
                </w:tcPr>
                <w:p w14:paraId="7DACBF51">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新增</w:t>
                  </w:r>
                </w:p>
              </w:tc>
            </w:tr>
            <w:tr w14:paraId="4C7E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right w:val="single" w:color="auto" w:sz="4" w:space="0"/>
                  </w:tcBorders>
                  <w:vAlign w:val="center"/>
                </w:tcPr>
                <w:p w14:paraId="37115273">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17</w:t>
                  </w:r>
                </w:p>
              </w:tc>
              <w:tc>
                <w:tcPr>
                  <w:tcW w:w="639" w:type="pct"/>
                  <w:gridSpan w:val="2"/>
                  <w:tcBorders>
                    <w:top w:val="single" w:color="auto" w:sz="4" w:space="0"/>
                    <w:left w:val="single" w:color="auto" w:sz="4" w:space="0"/>
                    <w:right w:val="single" w:color="auto" w:sz="4" w:space="0"/>
                  </w:tcBorders>
                  <w:vAlign w:val="center"/>
                </w:tcPr>
                <w:p w14:paraId="2D86F34E">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干燥小车</w:t>
                  </w:r>
                </w:p>
              </w:tc>
              <w:tc>
                <w:tcPr>
                  <w:tcW w:w="456" w:type="pct"/>
                  <w:tcBorders>
                    <w:top w:val="single" w:color="auto" w:sz="4" w:space="0"/>
                    <w:left w:val="single" w:color="auto" w:sz="4" w:space="0"/>
                    <w:right w:val="single" w:color="auto" w:sz="4" w:space="0"/>
                  </w:tcBorders>
                  <w:vAlign w:val="center"/>
                </w:tcPr>
                <w:p w14:paraId="49792EFD">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vAlign w:val="center"/>
                </w:tcPr>
                <w:p w14:paraId="616FAB38">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w:t>
                  </w:r>
                </w:p>
              </w:tc>
              <w:tc>
                <w:tcPr>
                  <w:tcW w:w="857" w:type="pct"/>
                  <w:tcBorders>
                    <w:left w:val="single" w:color="auto" w:sz="4" w:space="0"/>
                    <w:right w:val="single" w:color="auto" w:sz="4" w:space="0"/>
                  </w:tcBorders>
                  <w:shd w:val="clear" w:color="auto" w:fill="auto"/>
                  <w:vAlign w:val="center"/>
                </w:tcPr>
                <w:p w14:paraId="7F39282A">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20</w:t>
                  </w:r>
                </w:p>
              </w:tc>
              <w:tc>
                <w:tcPr>
                  <w:tcW w:w="1048" w:type="pct"/>
                  <w:tcBorders>
                    <w:left w:val="single" w:color="auto" w:sz="4" w:space="0"/>
                    <w:right w:val="single" w:color="auto" w:sz="4" w:space="0"/>
                  </w:tcBorders>
                  <w:shd w:val="clear" w:color="auto" w:fill="auto"/>
                  <w:vAlign w:val="center"/>
                </w:tcPr>
                <w:p w14:paraId="323B7D75">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20</w:t>
                  </w:r>
                </w:p>
              </w:tc>
              <w:tc>
                <w:tcPr>
                  <w:tcW w:w="1048" w:type="pct"/>
                  <w:tcBorders>
                    <w:left w:val="single" w:color="auto" w:sz="4" w:space="0"/>
                    <w:right w:val="single" w:color="auto" w:sz="4" w:space="0"/>
                  </w:tcBorders>
                  <w:vAlign w:val="center"/>
                </w:tcPr>
                <w:p w14:paraId="59CA079B">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新增</w:t>
                  </w:r>
                </w:p>
              </w:tc>
            </w:tr>
            <w:tr w14:paraId="4FF3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right w:val="single" w:color="auto" w:sz="4" w:space="0"/>
                  </w:tcBorders>
                  <w:vAlign w:val="center"/>
                </w:tcPr>
                <w:p w14:paraId="78052638">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18</w:t>
                  </w:r>
                </w:p>
              </w:tc>
              <w:tc>
                <w:tcPr>
                  <w:tcW w:w="639" w:type="pct"/>
                  <w:gridSpan w:val="2"/>
                  <w:tcBorders>
                    <w:top w:val="single" w:color="auto" w:sz="4" w:space="0"/>
                    <w:left w:val="single" w:color="auto" w:sz="4" w:space="0"/>
                    <w:right w:val="single" w:color="auto" w:sz="4" w:space="0"/>
                  </w:tcBorders>
                  <w:vAlign w:val="center"/>
                </w:tcPr>
                <w:p w14:paraId="7B6F2016">
                  <w:pPr>
                    <w:keepNext w:val="0"/>
                    <w:keepLines w:val="0"/>
                    <w:pageBreakBefore w:val="0"/>
                    <w:widowControl w:val="0"/>
                    <w:tabs>
                      <w:tab w:val="left" w:pos="1680"/>
                    </w:tabs>
                    <w:kinsoku/>
                    <w:wordWrap/>
                    <w:overflowPunct/>
                    <w:topLinePunct w:val="0"/>
                    <w:autoSpaceDE/>
                    <w:autoSpaceDN/>
                    <w:bidi w:val="0"/>
                    <w:adjustRightInd w:val="0"/>
                    <w:snapToGrid w:val="0"/>
                    <w:ind w:right="0"/>
                    <w:jc w:val="center"/>
                    <w:textAlignment w:val="auto"/>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托盘</w:t>
                  </w:r>
                </w:p>
              </w:tc>
              <w:tc>
                <w:tcPr>
                  <w:tcW w:w="456" w:type="pct"/>
                  <w:tcBorders>
                    <w:top w:val="single" w:color="auto" w:sz="4" w:space="0"/>
                    <w:left w:val="single" w:color="auto" w:sz="4" w:space="0"/>
                    <w:right w:val="single" w:color="auto" w:sz="4" w:space="0"/>
                  </w:tcBorders>
                  <w:vAlign w:val="center"/>
                </w:tcPr>
                <w:p w14:paraId="59314745">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vAlign w:val="center"/>
                </w:tcPr>
                <w:p w14:paraId="50EE54EA">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w:t>
                  </w:r>
                </w:p>
              </w:tc>
              <w:tc>
                <w:tcPr>
                  <w:tcW w:w="857" w:type="pct"/>
                  <w:tcBorders>
                    <w:left w:val="single" w:color="auto" w:sz="4" w:space="0"/>
                    <w:right w:val="single" w:color="auto" w:sz="4" w:space="0"/>
                  </w:tcBorders>
                  <w:shd w:val="clear" w:color="auto" w:fill="auto"/>
                  <w:vAlign w:val="center"/>
                </w:tcPr>
                <w:p w14:paraId="15B6F582">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60</w:t>
                  </w:r>
                </w:p>
              </w:tc>
              <w:tc>
                <w:tcPr>
                  <w:tcW w:w="1048" w:type="pct"/>
                  <w:tcBorders>
                    <w:left w:val="single" w:color="auto" w:sz="4" w:space="0"/>
                    <w:right w:val="single" w:color="auto" w:sz="4" w:space="0"/>
                  </w:tcBorders>
                  <w:shd w:val="clear" w:color="auto" w:fill="auto"/>
                  <w:vAlign w:val="center"/>
                </w:tcPr>
                <w:p w14:paraId="59FF4BEC">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60</w:t>
                  </w:r>
                </w:p>
              </w:tc>
              <w:tc>
                <w:tcPr>
                  <w:tcW w:w="1048" w:type="pct"/>
                  <w:tcBorders>
                    <w:left w:val="single" w:color="auto" w:sz="4" w:space="0"/>
                    <w:right w:val="single" w:color="auto" w:sz="4" w:space="0"/>
                  </w:tcBorders>
                  <w:vAlign w:val="center"/>
                </w:tcPr>
                <w:p w14:paraId="7643287D">
                  <w:pPr>
                    <w:keepNext w:val="0"/>
                    <w:keepLines w:val="0"/>
                    <w:pageBreakBefore w:val="0"/>
                    <w:widowControl w:val="0"/>
                    <w:kinsoku/>
                    <w:wordWrap/>
                    <w:overflowPunct/>
                    <w:topLinePunct w:val="0"/>
                    <w:autoSpaceDE/>
                    <w:autoSpaceDN/>
                    <w:bidi w:val="0"/>
                    <w:adjustRightInd w:val="0"/>
                    <w:snapToGrid w:val="0"/>
                    <w:ind w:right="0"/>
                    <w:jc w:val="center"/>
                    <w:textAlignment w:val="auto"/>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新增</w:t>
                  </w:r>
                </w:p>
              </w:tc>
            </w:tr>
            <w:tr w14:paraId="6905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right w:val="single" w:color="auto" w:sz="4" w:space="0"/>
                  </w:tcBorders>
                  <w:vAlign w:val="center"/>
                </w:tcPr>
                <w:p w14:paraId="0DB9FAD0">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19</w:t>
                  </w:r>
                </w:p>
              </w:tc>
              <w:tc>
                <w:tcPr>
                  <w:tcW w:w="639" w:type="pct"/>
                  <w:gridSpan w:val="2"/>
                  <w:tcBorders>
                    <w:top w:val="single" w:color="auto" w:sz="4" w:space="0"/>
                    <w:left w:val="single" w:color="auto" w:sz="4" w:space="0"/>
                    <w:right w:val="single" w:color="auto" w:sz="4" w:space="0"/>
                  </w:tcBorders>
                  <w:shd w:val="clear" w:color="auto" w:fill="auto"/>
                  <w:vAlign w:val="center"/>
                </w:tcPr>
                <w:p w14:paraId="1086EA34">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循环水池</w:t>
                  </w:r>
                </w:p>
              </w:tc>
              <w:tc>
                <w:tcPr>
                  <w:tcW w:w="456" w:type="pct"/>
                  <w:tcBorders>
                    <w:top w:val="single" w:color="auto" w:sz="4" w:space="0"/>
                    <w:left w:val="single" w:color="auto" w:sz="4" w:space="0"/>
                    <w:right w:val="single" w:color="auto" w:sz="4" w:space="0"/>
                  </w:tcBorders>
                  <w:shd w:val="clear" w:color="auto" w:fill="auto"/>
                  <w:vAlign w:val="center"/>
                </w:tcPr>
                <w:p w14:paraId="5479797B">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45E8D6BB">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0</w:t>
                  </w:r>
                </w:p>
              </w:tc>
              <w:tc>
                <w:tcPr>
                  <w:tcW w:w="857" w:type="pct"/>
                  <w:tcBorders>
                    <w:left w:val="single" w:color="auto" w:sz="4" w:space="0"/>
                    <w:right w:val="single" w:color="auto" w:sz="4" w:space="0"/>
                  </w:tcBorders>
                  <w:shd w:val="clear" w:color="auto" w:fill="auto"/>
                  <w:vAlign w:val="center"/>
                </w:tcPr>
                <w:p w14:paraId="5436AA71">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shd w:val="clear" w:color="auto" w:fill="auto"/>
                  <w:vAlign w:val="center"/>
                </w:tcPr>
                <w:p w14:paraId="21A2ABAD">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shd w:val="clear" w:color="auto" w:fill="auto"/>
                  <w:vAlign w:val="center"/>
                </w:tcPr>
                <w:p w14:paraId="55DCFC55">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新增</w:t>
                  </w:r>
                </w:p>
              </w:tc>
            </w:tr>
            <w:tr w14:paraId="1163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right w:val="single" w:color="auto" w:sz="4" w:space="0"/>
                  </w:tcBorders>
                  <w:vAlign w:val="center"/>
                </w:tcPr>
                <w:p w14:paraId="6B26EEE7">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20</w:t>
                  </w:r>
                </w:p>
              </w:tc>
              <w:tc>
                <w:tcPr>
                  <w:tcW w:w="639" w:type="pct"/>
                  <w:gridSpan w:val="2"/>
                  <w:tcBorders>
                    <w:top w:val="single" w:color="auto" w:sz="4" w:space="0"/>
                    <w:left w:val="single" w:color="auto" w:sz="4" w:space="0"/>
                    <w:right w:val="single" w:color="auto" w:sz="4" w:space="0"/>
                  </w:tcBorders>
                  <w:shd w:val="clear" w:color="auto" w:fill="auto"/>
                  <w:vAlign w:val="center"/>
                </w:tcPr>
                <w:p w14:paraId="32AF4E15">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循环水泵</w:t>
                  </w:r>
                </w:p>
              </w:tc>
              <w:tc>
                <w:tcPr>
                  <w:tcW w:w="456" w:type="pct"/>
                  <w:tcBorders>
                    <w:top w:val="single" w:color="auto" w:sz="4" w:space="0"/>
                    <w:left w:val="single" w:color="auto" w:sz="4" w:space="0"/>
                    <w:right w:val="single" w:color="auto" w:sz="4" w:space="0"/>
                  </w:tcBorders>
                  <w:shd w:val="clear" w:color="auto" w:fill="auto"/>
                  <w:vAlign w:val="center"/>
                </w:tcPr>
                <w:p w14:paraId="6B855F0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5C780D0D">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0</w:t>
                  </w:r>
                </w:p>
              </w:tc>
              <w:tc>
                <w:tcPr>
                  <w:tcW w:w="857" w:type="pct"/>
                  <w:tcBorders>
                    <w:left w:val="single" w:color="auto" w:sz="4" w:space="0"/>
                    <w:right w:val="single" w:color="auto" w:sz="4" w:space="0"/>
                  </w:tcBorders>
                  <w:shd w:val="clear" w:color="auto" w:fill="auto"/>
                  <w:vAlign w:val="center"/>
                </w:tcPr>
                <w:p w14:paraId="29FA4CA3">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shd w:val="clear" w:color="auto" w:fill="auto"/>
                  <w:vAlign w:val="center"/>
                </w:tcPr>
                <w:p w14:paraId="0A6B0598">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shd w:val="clear" w:color="auto" w:fill="auto"/>
                  <w:vAlign w:val="center"/>
                </w:tcPr>
                <w:p w14:paraId="79BF00BE">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新增</w:t>
                  </w:r>
                </w:p>
              </w:tc>
            </w:tr>
            <w:tr w14:paraId="2731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right w:val="single" w:color="auto" w:sz="4" w:space="0"/>
                  </w:tcBorders>
                  <w:vAlign w:val="center"/>
                </w:tcPr>
                <w:p w14:paraId="2ED90211">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21</w:t>
                  </w:r>
                </w:p>
              </w:tc>
              <w:tc>
                <w:tcPr>
                  <w:tcW w:w="639" w:type="pct"/>
                  <w:gridSpan w:val="2"/>
                  <w:tcBorders>
                    <w:top w:val="single" w:color="auto" w:sz="4" w:space="0"/>
                    <w:left w:val="single" w:color="auto" w:sz="4" w:space="0"/>
                    <w:right w:val="single" w:color="auto" w:sz="4" w:space="0"/>
                  </w:tcBorders>
                  <w:shd w:val="clear" w:color="auto" w:fill="auto"/>
                  <w:vAlign w:val="center"/>
                </w:tcPr>
                <w:p w14:paraId="5063AE1D">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砂光机</w:t>
                  </w:r>
                </w:p>
              </w:tc>
              <w:tc>
                <w:tcPr>
                  <w:tcW w:w="456" w:type="pct"/>
                  <w:tcBorders>
                    <w:top w:val="single" w:color="auto" w:sz="4" w:space="0"/>
                    <w:left w:val="single" w:color="auto" w:sz="4" w:space="0"/>
                    <w:right w:val="single" w:color="auto" w:sz="4" w:space="0"/>
                  </w:tcBorders>
                  <w:shd w:val="clear" w:color="auto" w:fill="auto"/>
                  <w:vAlign w:val="center"/>
                </w:tcPr>
                <w:p w14:paraId="6F5EF090">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243055C5">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0</w:t>
                  </w:r>
                </w:p>
              </w:tc>
              <w:tc>
                <w:tcPr>
                  <w:tcW w:w="857" w:type="pct"/>
                  <w:tcBorders>
                    <w:left w:val="single" w:color="auto" w:sz="4" w:space="0"/>
                    <w:right w:val="single" w:color="auto" w:sz="4" w:space="0"/>
                  </w:tcBorders>
                  <w:shd w:val="clear" w:color="auto" w:fill="auto"/>
                  <w:vAlign w:val="center"/>
                </w:tcPr>
                <w:p w14:paraId="3651DA3D">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shd w:val="clear" w:color="auto" w:fill="auto"/>
                  <w:vAlign w:val="center"/>
                </w:tcPr>
                <w:p w14:paraId="62AB16F2">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shd w:val="clear" w:color="auto" w:fill="auto"/>
                  <w:vAlign w:val="center"/>
                </w:tcPr>
                <w:p w14:paraId="6E6A996A">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新增</w:t>
                  </w:r>
                </w:p>
              </w:tc>
            </w:tr>
            <w:tr w14:paraId="18C4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bottom w:val="single" w:color="auto" w:sz="4" w:space="0"/>
                    <w:right w:val="single" w:color="auto" w:sz="4" w:space="0"/>
                  </w:tcBorders>
                  <w:vAlign w:val="center"/>
                </w:tcPr>
                <w:p w14:paraId="117B9E2C">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22</w:t>
                  </w:r>
                </w:p>
              </w:tc>
              <w:tc>
                <w:tcPr>
                  <w:tcW w:w="63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AAC6A0">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模切机</w:t>
                  </w:r>
                </w:p>
              </w:tc>
              <w:tc>
                <w:tcPr>
                  <w:tcW w:w="456" w:type="pct"/>
                  <w:tcBorders>
                    <w:top w:val="single" w:color="auto" w:sz="4" w:space="0"/>
                    <w:left w:val="single" w:color="auto" w:sz="4" w:space="0"/>
                    <w:bottom w:val="single" w:color="auto" w:sz="4" w:space="0"/>
                    <w:right w:val="single" w:color="auto" w:sz="4" w:space="0"/>
                  </w:tcBorders>
                  <w:shd w:val="clear" w:color="auto" w:fill="auto"/>
                  <w:vAlign w:val="center"/>
                </w:tcPr>
                <w:p w14:paraId="5B6846D5">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6FECC729">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2</w:t>
                  </w:r>
                </w:p>
              </w:tc>
              <w:tc>
                <w:tcPr>
                  <w:tcW w:w="857" w:type="pct"/>
                  <w:tcBorders>
                    <w:left w:val="single" w:color="auto" w:sz="4" w:space="0"/>
                    <w:right w:val="single" w:color="auto" w:sz="4" w:space="0"/>
                  </w:tcBorders>
                  <w:shd w:val="clear" w:color="auto" w:fill="auto"/>
                  <w:vAlign w:val="center"/>
                </w:tcPr>
                <w:p w14:paraId="4C01DEDB">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0</w:t>
                  </w:r>
                </w:p>
              </w:tc>
              <w:tc>
                <w:tcPr>
                  <w:tcW w:w="1048" w:type="pct"/>
                  <w:tcBorders>
                    <w:left w:val="single" w:color="auto" w:sz="4" w:space="0"/>
                    <w:right w:val="single" w:color="auto" w:sz="4" w:space="0"/>
                  </w:tcBorders>
                  <w:shd w:val="clear" w:color="auto" w:fill="auto"/>
                  <w:vAlign w:val="center"/>
                </w:tcPr>
                <w:p w14:paraId="58BF482A">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2</w:t>
                  </w:r>
                </w:p>
              </w:tc>
              <w:tc>
                <w:tcPr>
                  <w:tcW w:w="1048" w:type="pct"/>
                  <w:tcBorders>
                    <w:left w:val="single" w:color="auto" w:sz="4" w:space="0"/>
                    <w:right w:val="single" w:color="auto" w:sz="4" w:space="0"/>
                  </w:tcBorders>
                  <w:shd w:val="clear" w:color="auto" w:fill="auto"/>
                  <w:vAlign w:val="center"/>
                </w:tcPr>
                <w:p w14:paraId="1E121491">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利旧</w:t>
                  </w:r>
                </w:p>
              </w:tc>
            </w:tr>
            <w:tr w14:paraId="5329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14:paraId="5C82281D">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23</w:t>
                  </w:r>
                </w:p>
              </w:tc>
              <w:tc>
                <w:tcPr>
                  <w:tcW w:w="63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CC3EE8">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切割锯</w:t>
                  </w:r>
                </w:p>
              </w:tc>
              <w:tc>
                <w:tcPr>
                  <w:tcW w:w="456" w:type="pct"/>
                  <w:tcBorders>
                    <w:top w:val="single" w:color="auto" w:sz="4" w:space="0"/>
                    <w:left w:val="single" w:color="auto" w:sz="4" w:space="0"/>
                    <w:bottom w:val="single" w:color="auto" w:sz="4" w:space="0"/>
                    <w:right w:val="single" w:color="auto" w:sz="4" w:space="0"/>
                  </w:tcBorders>
                  <w:shd w:val="clear" w:color="auto" w:fill="auto"/>
                  <w:vAlign w:val="center"/>
                </w:tcPr>
                <w:p w14:paraId="2C8422FD">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50C67F7A">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4</w:t>
                  </w:r>
                </w:p>
              </w:tc>
              <w:tc>
                <w:tcPr>
                  <w:tcW w:w="857" w:type="pct"/>
                  <w:tcBorders>
                    <w:left w:val="single" w:color="auto" w:sz="4" w:space="0"/>
                    <w:right w:val="single" w:color="auto" w:sz="4" w:space="0"/>
                  </w:tcBorders>
                  <w:shd w:val="clear" w:color="auto" w:fill="auto"/>
                  <w:vAlign w:val="center"/>
                </w:tcPr>
                <w:p w14:paraId="53B02BA8">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shd w:val="clear" w:color="auto" w:fill="auto"/>
                  <w:vAlign w:val="center"/>
                </w:tcPr>
                <w:p w14:paraId="0F9489A3">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5</w:t>
                  </w:r>
                </w:p>
              </w:tc>
              <w:tc>
                <w:tcPr>
                  <w:tcW w:w="1048" w:type="pct"/>
                  <w:tcBorders>
                    <w:left w:val="single" w:color="auto" w:sz="4" w:space="0"/>
                    <w:right w:val="single" w:color="auto" w:sz="4" w:space="0"/>
                  </w:tcBorders>
                  <w:shd w:val="clear" w:color="auto" w:fill="auto"/>
                  <w:vAlign w:val="center"/>
                </w:tcPr>
                <w:p w14:paraId="7F38C4C6">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新增1台</w:t>
                  </w:r>
                </w:p>
              </w:tc>
            </w:tr>
            <w:tr w14:paraId="7E9B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14:paraId="48E96305">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24</w:t>
                  </w:r>
                </w:p>
              </w:tc>
              <w:tc>
                <w:tcPr>
                  <w:tcW w:w="63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391F94">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雕刻机</w:t>
                  </w:r>
                </w:p>
              </w:tc>
              <w:tc>
                <w:tcPr>
                  <w:tcW w:w="456" w:type="pct"/>
                  <w:tcBorders>
                    <w:top w:val="single" w:color="auto" w:sz="4" w:space="0"/>
                    <w:left w:val="single" w:color="auto" w:sz="4" w:space="0"/>
                    <w:bottom w:val="single" w:color="auto" w:sz="4" w:space="0"/>
                    <w:right w:val="single" w:color="auto" w:sz="4" w:space="0"/>
                  </w:tcBorders>
                  <w:shd w:val="clear" w:color="auto" w:fill="auto"/>
                  <w:vAlign w:val="center"/>
                </w:tcPr>
                <w:p w14:paraId="3C45AA80">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48C684A6">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0</w:t>
                  </w:r>
                </w:p>
              </w:tc>
              <w:tc>
                <w:tcPr>
                  <w:tcW w:w="857" w:type="pct"/>
                  <w:tcBorders>
                    <w:left w:val="single" w:color="auto" w:sz="4" w:space="0"/>
                    <w:right w:val="single" w:color="auto" w:sz="4" w:space="0"/>
                  </w:tcBorders>
                  <w:shd w:val="clear" w:color="auto" w:fill="auto"/>
                  <w:vAlign w:val="center"/>
                </w:tcPr>
                <w:p w14:paraId="6091ABC9">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shd w:val="clear" w:color="auto" w:fill="auto"/>
                  <w:vAlign w:val="center"/>
                </w:tcPr>
                <w:p w14:paraId="288A0889">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shd w:val="clear" w:color="auto" w:fill="auto"/>
                  <w:vAlign w:val="center"/>
                </w:tcPr>
                <w:p w14:paraId="755F1B4A">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新增</w:t>
                  </w:r>
                </w:p>
              </w:tc>
            </w:tr>
            <w:tr w14:paraId="456B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14:paraId="7086F27C">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25</w:t>
                  </w:r>
                </w:p>
              </w:tc>
              <w:tc>
                <w:tcPr>
                  <w:tcW w:w="63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D7438F">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布袋除尘器</w:t>
                  </w:r>
                </w:p>
              </w:tc>
              <w:tc>
                <w:tcPr>
                  <w:tcW w:w="456" w:type="pct"/>
                  <w:tcBorders>
                    <w:top w:val="single" w:color="auto" w:sz="4" w:space="0"/>
                    <w:left w:val="single" w:color="auto" w:sz="4" w:space="0"/>
                    <w:bottom w:val="single" w:color="auto" w:sz="4" w:space="0"/>
                    <w:right w:val="single" w:color="auto" w:sz="4" w:space="0"/>
                  </w:tcBorders>
                  <w:shd w:val="clear" w:color="auto" w:fill="auto"/>
                  <w:vAlign w:val="center"/>
                </w:tcPr>
                <w:p w14:paraId="52DA7C12">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lang w:val="en-US" w:eastAsia="zh-CN" w:bidi="ar-SA"/>
                    </w:rPr>
                    <w:t>/</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796FDB90">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0</w:t>
                  </w:r>
                </w:p>
              </w:tc>
              <w:tc>
                <w:tcPr>
                  <w:tcW w:w="857" w:type="pct"/>
                  <w:tcBorders>
                    <w:left w:val="single" w:color="auto" w:sz="4" w:space="0"/>
                    <w:right w:val="single" w:color="auto" w:sz="4" w:space="0"/>
                  </w:tcBorders>
                  <w:shd w:val="clear" w:color="auto" w:fill="auto"/>
                  <w:vAlign w:val="center"/>
                </w:tcPr>
                <w:p w14:paraId="4F347FD6">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shd w:val="clear" w:color="auto" w:fill="auto"/>
                  <w:vAlign w:val="center"/>
                </w:tcPr>
                <w:p w14:paraId="6B9C50BC">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1</w:t>
                  </w:r>
                </w:p>
              </w:tc>
              <w:tc>
                <w:tcPr>
                  <w:tcW w:w="1048" w:type="pct"/>
                  <w:tcBorders>
                    <w:left w:val="single" w:color="auto" w:sz="4" w:space="0"/>
                    <w:right w:val="single" w:color="auto" w:sz="4" w:space="0"/>
                  </w:tcBorders>
                  <w:shd w:val="clear" w:color="auto" w:fill="auto"/>
                  <w:vAlign w:val="center"/>
                </w:tcPr>
                <w:p w14:paraId="7B80C369">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新增</w:t>
                  </w:r>
                </w:p>
              </w:tc>
            </w:tr>
          </w:tbl>
          <w:p w14:paraId="6B4A3D8E">
            <w:pPr>
              <w:spacing w:line="360" w:lineRule="auto"/>
              <w:ind w:firstLine="360" w:firstLineChars="200"/>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 w:val="18"/>
                <w:szCs w:val="18"/>
                <w:highlight w:val="none"/>
              </w:rPr>
              <w:t>以上设备均不属于</w:t>
            </w:r>
            <w:r>
              <w:rPr>
                <w:rFonts w:hint="default" w:ascii="Times New Roman" w:hAnsi="Times New Roman" w:cs="Times New Roman" w:eastAsiaTheme="minorEastAsia"/>
                <w:bCs/>
                <w:color w:val="auto"/>
                <w:kern w:val="0"/>
                <w:sz w:val="18"/>
                <w:szCs w:val="18"/>
                <w:highlight w:val="none"/>
                <w:lang w:eastAsia="zh-CN"/>
              </w:rPr>
              <w:t>《产业结构调整指导目录（2024年本）》</w:t>
            </w:r>
            <w:r>
              <w:rPr>
                <w:rFonts w:hint="default" w:ascii="Times New Roman" w:hAnsi="Times New Roman" w:cs="Times New Roman" w:eastAsiaTheme="minorEastAsia"/>
                <w:bCs/>
                <w:color w:val="auto"/>
                <w:kern w:val="0"/>
                <w:sz w:val="18"/>
                <w:szCs w:val="18"/>
                <w:highlight w:val="none"/>
              </w:rPr>
              <w:t>中规定淘汰类、限制类设备。</w:t>
            </w:r>
          </w:p>
          <w:p w14:paraId="75DEE751">
            <w:pPr>
              <w:spacing w:line="360" w:lineRule="auto"/>
              <w:ind w:firstLine="420" w:firstLineChars="20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11、给排水、供电及供热：</w:t>
            </w:r>
          </w:p>
          <w:p w14:paraId="738CAF60">
            <w:pPr>
              <w:keepNext w:val="0"/>
              <w:keepLines w:val="0"/>
              <w:pageBreakBefore w:val="0"/>
              <w:widowControl w:val="0"/>
              <w:tabs>
                <w:tab w:val="left" w:pos="1800"/>
              </w:tabs>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eastAsiaTheme="minorEastAsia"/>
                <w:color w:val="auto"/>
                <w:kern w:val="24"/>
                <w:sz w:val="21"/>
                <w:szCs w:val="21"/>
                <w:highlight w:val="none"/>
                <w:lang w:val="zh-CN"/>
              </w:rPr>
            </w:pPr>
            <w:r>
              <w:rPr>
                <w:rFonts w:hint="default" w:ascii="Times New Roman" w:hAnsi="Times New Roman" w:cs="Times New Roman" w:eastAsiaTheme="minorEastAsia"/>
                <w:color w:val="auto"/>
                <w:kern w:val="24"/>
                <w:sz w:val="21"/>
                <w:szCs w:val="21"/>
              </w:rPr>
              <w:t>给水：本项目用水主要为生活</w:t>
            </w:r>
            <w:r>
              <w:rPr>
                <w:rFonts w:hint="eastAsia" w:cs="Times New Roman" w:eastAsiaTheme="minorEastAsia"/>
                <w:color w:val="auto"/>
                <w:kern w:val="24"/>
                <w:sz w:val="21"/>
                <w:szCs w:val="21"/>
                <w:lang w:val="en-US" w:eastAsia="zh-CN"/>
              </w:rPr>
              <w:t>用水、打浆用水补水、车间地面洒水降尘用水</w:t>
            </w:r>
            <w:r>
              <w:rPr>
                <w:rFonts w:hint="default" w:ascii="Times New Roman" w:hAnsi="Times New Roman" w:cs="Times New Roman"/>
                <w:color w:val="auto"/>
                <w:spacing w:val="-2"/>
                <w:kern w:val="0"/>
                <w:highlight w:val="none"/>
                <w:lang w:val="en-US" w:eastAsia="zh-CN"/>
              </w:rPr>
              <w:t>，总用水量为</w:t>
            </w:r>
            <w:r>
              <w:rPr>
                <w:rFonts w:hint="eastAsia" w:cs="Times New Roman"/>
                <w:color w:val="auto"/>
                <w:spacing w:val="-2"/>
                <w:kern w:val="0"/>
                <w:highlight w:val="none"/>
                <w:lang w:val="en-US" w:eastAsia="zh-CN"/>
              </w:rPr>
              <w:t>228</w:t>
            </w:r>
            <w:r>
              <w:rPr>
                <w:rFonts w:hint="default" w:ascii="Times New Roman" w:hAnsi="Times New Roman" w:cs="Times New Roman"/>
                <w:color w:val="auto"/>
                <w:kern w:val="24"/>
                <w:sz w:val="21"/>
                <w:szCs w:val="21"/>
              </w:rPr>
              <w:t>m</w:t>
            </w:r>
            <w:r>
              <w:rPr>
                <w:rFonts w:hint="default" w:ascii="Times New Roman" w:hAnsi="Times New Roman" w:cs="Times New Roman"/>
                <w:color w:val="auto"/>
                <w:kern w:val="24"/>
                <w:sz w:val="21"/>
                <w:szCs w:val="21"/>
                <w:vertAlign w:val="superscript"/>
              </w:rPr>
              <w:t>3</w:t>
            </w:r>
            <w:r>
              <w:rPr>
                <w:rFonts w:hint="default" w:ascii="Times New Roman" w:hAnsi="Times New Roman" w:cs="Times New Roman"/>
                <w:color w:val="auto"/>
                <w:kern w:val="24"/>
                <w:sz w:val="21"/>
                <w:szCs w:val="21"/>
              </w:rPr>
              <w:t>/a</w:t>
            </w:r>
            <w:r>
              <w:rPr>
                <w:rFonts w:hint="default" w:ascii="Times New Roman" w:hAnsi="Times New Roman" w:cs="Times New Roman"/>
                <w:color w:val="auto"/>
                <w:kern w:val="24"/>
                <w:sz w:val="21"/>
                <w:szCs w:val="21"/>
                <w:lang w:eastAsia="zh-CN"/>
              </w:rPr>
              <w:t>，由淄川区昆仑镇水利服务站提供</w:t>
            </w:r>
            <w:r>
              <w:rPr>
                <w:rFonts w:hint="default" w:ascii="Times New Roman" w:hAnsi="Times New Roman" w:cs="Times New Roman" w:eastAsiaTheme="minorEastAsia"/>
                <w:color w:val="auto"/>
                <w:kern w:val="24"/>
                <w:sz w:val="21"/>
                <w:szCs w:val="21"/>
                <w:highlight w:val="none"/>
              </w:rPr>
              <w:t>。</w:t>
            </w:r>
          </w:p>
          <w:p w14:paraId="0835EEE8">
            <w:pPr>
              <w:keepNext w:val="0"/>
              <w:keepLines w:val="0"/>
              <w:pageBreakBefore w:val="0"/>
              <w:widowControl w:val="0"/>
              <w:tabs>
                <w:tab w:val="left" w:pos="1800"/>
              </w:tabs>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24"/>
                <w:sz w:val="21"/>
                <w:szCs w:val="21"/>
              </w:rPr>
              <w:t>①生活用水：</w:t>
            </w:r>
            <w:r>
              <w:rPr>
                <w:rFonts w:hint="eastAsia" w:cs="Times New Roman"/>
                <w:color w:val="auto"/>
                <w:kern w:val="24"/>
                <w:sz w:val="21"/>
                <w:szCs w:val="21"/>
                <w:lang w:val="en-US" w:eastAsia="zh-CN"/>
              </w:rPr>
              <w:t>本</w:t>
            </w:r>
            <w:r>
              <w:rPr>
                <w:rFonts w:hint="eastAsia" w:cs="Times New Roman"/>
                <w:color w:val="auto"/>
                <w:kern w:val="24"/>
                <w:sz w:val="21"/>
                <w:szCs w:val="21"/>
                <w:lang w:eastAsia="zh-CN"/>
              </w:rPr>
              <w:t>项目新增</w:t>
            </w:r>
            <w:r>
              <w:rPr>
                <w:rFonts w:hint="default" w:ascii="Times New Roman" w:hAnsi="Times New Roman" w:cs="Times New Roman"/>
                <w:color w:val="auto"/>
                <w:kern w:val="24"/>
                <w:sz w:val="21"/>
                <w:szCs w:val="21"/>
              </w:rPr>
              <w:t>职工</w:t>
            </w:r>
            <w:r>
              <w:rPr>
                <w:rFonts w:hint="eastAsia" w:cs="Times New Roman"/>
                <w:color w:val="auto"/>
                <w:kern w:val="24"/>
                <w:sz w:val="21"/>
                <w:szCs w:val="21"/>
                <w:lang w:val="en-US" w:eastAsia="zh-CN"/>
              </w:rPr>
              <w:t>16</w:t>
            </w:r>
            <w:r>
              <w:rPr>
                <w:rFonts w:hint="default" w:ascii="Times New Roman" w:hAnsi="Times New Roman" w:cs="Times New Roman"/>
                <w:color w:val="auto"/>
                <w:kern w:val="24"/>
                <w:sz w:val="21"/>
                <w:szCs w:val="21"/>
              </w:rPr>
              <w:t>人，全年工作300天，</w:t>
            </w:r>
            <w:r>
              <w:rPr>
                <w:rFonts w:hint="eastAsia" w:cs="Times New Roman"/>
                <w:color w:val="auto"/>
                <w:kern w:val="24"/>
                <w:sz w:val="21"/>
                <w:szCs w:val="21"/>
                <w:lang w:val="en-US" w:eastAsia="zh-CN"/>
              </w:rPr>
              <w:t>参照现有项目</w:t>
            </w:r>
            <w:r>
              <w:rPr>
                <w:rFonts w:hint="default" w:ascii="Times New Roman" w:hAnsi="Times New Roman" w:cs="Times New Roman"/>
                <w:color w:val="auto"/>
                <w:kern w:val="24"/>
                <w:sz w:val="21"/>
                <w:szCs w:val="21"/>
              </w:rPr>
              <w:t>职工</w:t>
            </w:r>
            <w:r>
              <w:rPr>
                <w:rFonts w:hint="eastAsia" w:cs="Times New Roman"/>
                <w:color w:val="auto"/>
                <w:kern w:val="24"/>
                <w:sz w:val="21"/>
                <w:szCs w:val="21"/>
                <w:lang w:val="en-US" w:eastAsia="zh-CN"/>
              </w:rPr>
              <w:t>实际</w:t>
            </w:r>
            <w:r>
              <w:rPr>
                <w:rFonts w:hint="default" w:ascii="Times New Roman" w:hAnsi="Times New Roman" w:cs="Times New Roman"/>
                <w:color w:val="auto"/>
                <w:kern w:val="24"/>
                <w:sz w:val="21"/>
                <w:szCs w:val="21"/>
              </w:rPr>
              <w:t>生活用水</w:t>
            </w:r>
            <w:r>
              <w:rPr>
                <w:rFonts w:hint="eastAsia" w:cs="Times New Roman"/>
                <w:color w:val="auto"/>
                <w:kern w:val="24"/>
                <w:sz w:val="21"/>
                <w:szCs w:val="21"/>
                <w:lang w:val="en-US" w:eastAsia="zh-CN"/>
              </w:rPr>
              <w:t>量，</w:t>
            </w:r>
            <w:r>
              <w:rPr>
                <w:rFonts w:hint="default" w:ascii="Times New Roman" w:hAnsi="Times New Roman" w:cs="Times New Roman"/>
                <w:color w:val="auto"/>
                <w:kern w:val="24"/>
                <w:sz w:val="21"/>
                <w:szCs w:val="21"/>
              </w:rPr>
              <w:t>按照</w:t>
            </w:r>
            <w:r>
              <w:rPr>
                <w:rFonts w:hint="eastAsia" w:cs="Times New Roman"/>
                <w:color w:val="auto"/>
                <w:kern w:val="24"/>
                <w:sz w:val="21"/>
                <w:szCs w:val="21"/>
                <w:lang w:val="en-US" w:eastAsia="zh-CN"/>
              </w:rPr>
              <w:t>2</w:t>
            </w:r>
            <w:r>
              <w:rPr>
                <w:rFonts w:hint="default" w:ascii="Times New Roman" w:hAnsi="Times New Roman" w:cs="Times New Roman"/>
                <w:color w:val="auto"/>
                <w:kern w:val="24"/>
                <w:sz w:val="21"/>
                <w:szCs w:val="21"/>
              </w:rPr>
              <w:t>0L/人·天计，则职工生活用水量为</w:t>
            </w:r>
            <w:r>
              <w:rPr>
                <w:rFonts w:hint="eastAsia" w:cs="Times New Roman"/>
                <w:color w:val="auto"/>
                <w:kern w:val="24"/>
                <w:sz w:val="21"/>
                <w:szCs w:val="21"/>
                <w:lang w:val="en-US" w:eastAsia="zh-CN"/>
              </w:rPr>
              <w:t>96</w:t>
            </w:r>
            <w:r>
              <w:rPr>
                <w:rFonts w:hint="default" w:ascii="Times New Roman" w:hAnsi="Times New Roman" w:cs="Times New Roman"/>
                <w:color w:val="auto"/>
                <w:kern w:val="24"/>
                <w:sz w:val="21"/>
                <w:szCs w:val="21"/>
              </w:rPr>
              <w:t>m</w:t>
            </w:r>
            <w:r>
              <w:rPr>
                <w:rFonts w:hint="default" w:ascii="Times New Roman" w:hAnsi="Times New Roman" w:cs="Times New Roman"/>
                <w:color w:val="auto"/>
                <w:kern w:val="24"/>
                <w:sz w:val="21"/>
                <w:szCs w:val="21"/>
                <w:vertAlign w:val="superscript"/>
              </w:rPr>
              <w:t>3</w:t>
            </w:r>
            <w:r>
              <w:rPr>
                <w:rFonts w:hint="default" w:ascii="Times New Roman" w:hAnsi="Times New Roman" w:cs="Times New Roman"/>
                <w:color w:val="auto"/>
                <w:kern w:val="24"/>
                <w:sz w:val="21"/>
                <w:szCs w:val="21"/>
              </w:rPr>
              <w:t>/a</w:t>
            </w:r>
            <w:r>
              <w:rPr>
                <w:rFonts w:hint="default" w:ascii="Times New Roman" w:hAnsi="Times New Roman" w:cs="Times New Roman"/>
                <w:color w:val="auto"/>
                <w:sz w:val="21"/>
                <w:szCs w:val="21"/>
              </w:rPr>
              <w:t>。</w:t>
            </w:r>
          </w:p>
          <w:p w14:paraId="23ECF590">
            <w:pPr>
              <w:keepNext w:val="0"/>
              <w:keepLines w:val="0"/>
              <w:pageBreakBefore w:val="0"/>
              <w:widowControl w:val="0"/>
              <w:tabs>
                <w:tab w:val="left" w:pos="1800"/>
              </w:tabs>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24"/>
                <w:sz w:val="21"/>
                <w:szCs w:val="21"/>
              </w:rPr>
              <w:t>②</w:t>
            </w:r>
            <w:r>
              <w:rPr>
                <w:rFonts w:hint="eastAsia" w:cs="Times New Roman" w:eastAsiaTheme="minorEastAsia"/>
                <w:color w:val="auto"/>
                <w:kern w:val="24"/>
                <w:sz w:val="21"/>
                <w:szCs w:val="21"/>
                <w:lang w:val="en-US" w:eastAsia="zh-CN"/>
              </w:rPr>
              <w:t>打浆用水补水</w:t>
            </w:r>
            <w:r>
              <w:rPr>
                <w:rFonts w:hint="eastAsia" w:cs="Times New Roman"/>
                <w:color w:val="auto"/>
                <w:kern w:val="24"/>
                <w:sz w:val="21"/>
                <w:szCs w:val="21"/>
                <w:lang w:val="en-US" w:eastAsia="zh-CN"/>
              </w:rPr>
              <w:t>：本项目新增1条300t/a陶瓷纤维制品生产线，打浆过程用水量为300t/a，</w:t>
            </w:r>
            <w:r>
              <w:rPr>
                <w:rFonts w:hint="eastAsia" w:ascii="Times New Roman" w:hAnsi="Times New Roman" w:eastAsia="宋体" w:cs="Times New Roman"/>
                <w:color w:val="auto"/>
                <w:kern w:val="24"/>
                <w:sz w:val="21"/>
                <w:szCs w:val="21"/>
                <w:lang w:val="en-US" w:eastAsia="zh-CN"/>
              </w:rPr>
              <w:t>经辊压机挤压</w:t>
            </w:r>
            <w:r>
              <w:rPr>
                <w:rFonts w:hint="eastAsia" w:ascii="Times New Roman" w:hAnsi="Times New Roman" w:eastAsia="宋体" w:cs="Times New Roman"/>
                <w:color w:val="auto"/>
                <w:kern w:val="24"/>
                <w:sz w:val="21"/>
                <w:szCs w:val="21"/>
                <w:highlight w:val="none"/>
                <w:lang w:val="en-US" w:eastAsia="zh-CN"/>
              </w:rPr>
              <w:t>滤水后的废水（90%）进入循环水池，回用于打浆工序，10%蒸发损耗，因此，</w:t>
            </w:r>
            <w:r>
              <w:rPr>
                <w:rFonts w:hint="eastAsia" w:cs="Times New Roman" w:eastAsiaTheme="minorEastAsia"/>
                <w:color w:val="auto"/>
                <w:kern w:val="24"/>
                <w:sz w:val="21"/>
                <w:szCs w:val="21"/>
                <w:highlight w:val="none"/>
                <w:lang w:val="en-US" w:eastAsia="zh-CN"/>
              </w:rPr>
              <w:t>打浆用水补水量为30</w:t>
            </w:r>
            <w:r>
              <w:rPr>
                <w:rFonts w:hint="default" w:ascii="Times New Roman" w:hAnsi="Times New Roman" w:cs="Times New Roman"/>
                <w:color w:val="auto"/>
                <w:kern w:val="24"/>
                <w:sz w:val="21"/>
                <w:szCs w:val="21"/>
                <w:highlight w:val="none"/>
              </w:rPr>
              <w:t>m</w:t>
            </w:r>
            <w:r>
              <w:rPr>
                <w:rFonts w:hint="default" w:ascii="Times New Roman" w:hAnsi="Times New Roman" w:cs="Times New Roman"/>
                <w:color w:val="auto"/>
                <w:kern w:val="24"/>
                <w:sz w:val="21"/>
                <w:szCs w:val="21"/>
                <w:highlight w:val="none"/>
                <w:vertAlign w:val="superscript"/>
              </w:rPr>
              <w:t>3</w:t>
            </w:r>
            <w:r>
              <w:rPr>
                <w:rFonts w:hint="default" w:ascii="Times New Roman" w:hAnsi="Times New Roman" w:cs="Times New Roman"/>
                <w:color w:val="auto"/>
                <w:kern w:val="24"/>
                <w:sz w:val="21"/>
                <w:szCs w:val="21"/>
                <w:highlight w:val="none"/>
              </w:rPr>
              <w:t>/a</w:t>
            </w:r>
            <w:r>
              <w:rPr>
                <w:rFonts w:hint="default" w:ascii="Times New Roman" w:hAnsi="Times New Roman" w:cs="Times New Roman"/>
                <w:color w:val="auto"/>
                <w:sz w:val="21"/>
                <w:szCs w:val="21"/>
                <w:highlight w:val="none"/>
              </w:rPr>
              <w:t>。</w:t>
            </w:r>
          </w:p>
          <w:p w14:paraId="0FD4A871">
            <w:pPr>
              <w:adjustRightInd w:val="0"/>
              <w:snapToGrid w:val="0"/>
              <w:spacing w:line="360" w:lineRule="auto"/>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③</w:t>
            </w:r>
            <w:r>
              <w:rPr>
                <w:rFonts w:hint="default" w:ascii="Times New Roman" w:hAnsi="Times New Roman" w:cs="Times New Roman"/>
                <w:color w:val="auto"/>
                <w:spacing w:val="-2"/>
                <w:kern w:val="0"/>
                <w:highlight w:val="none"/>
                <w:lang w:val="en-US" w:eastAsia="zh-CN"/>
              </w:rPr>
              <w:t>车间地面洒水降尘用水：</w:t>
            </w:r>
            <w:r>
              <w:rPr>
                <w:rFonts w:hint="default" w:ascii="Times New Roman" w:hAnsi="Times New Roman" w:cs="Times New Roman"/>
                <w:color w:val="auto"/>
                <w:highlight w:val="none"/>
              </w:rPr>
              <w:t>车间地面需</w:t>
            </w:r>
            <w:r>
              <w:rPr>
                <w:rFonts w:hint="default" w:ascii="Times New Roman" w:hAnsi="Times New Roman" w:cs="Times New Roman"/>
                <w:color w:val="auto"/>
                <w:highlight w:val="none"/>
                <w:lang w:eastAsia="zh-CN"/>
              </w:rPr>
              <w:t>每天洒水降尘，</w:t>
            </w:r>
            <w:r>
              <w:rPr>
                <w:rFonts w:hint="default" w:ascii="Times New Roman" w:hAnsi="Times New Roman" w:cs="Times New Roman"/>
                <w:color w:val="auto"/>
                <w:highlight w:val="none"/>
              </w:rPr>
              <w:t>年洒水天数为300天，用水量取0.2L/m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highlight w:val="none"/>
              </w:rPr>
              <w:t>·d计，车间面积约为</w:t>
            </w:r>
            <w:r>
              <w:rPr>
                <w:rFonts w:hint="eastAsia" w:cs="Times New Roman"/>
                <w:color w:val="auto"/>
                <w:highlight w:val="none"/>
                <w:lang w:val="en-US" w:eastAsia="zh-CN"/>
              </w:rPr>
              <w:t>17</w:t>
            </w:r>
            <w:r>
              <w:rPr>
                <w:rFonts w:hint="default" w:ascii="Times New Roman" w:hAnsi="Times New Roman" w:cs="Times New Roman"/>
                <w:color w:val="auto"/>
                <w:highlight w:val="none"/>
                <w:lang w:val="en-US" w:eastAsia="zh-CN"/>
              </w:rPr>
              <w:t>00</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highlight w:val="none"/>
              </w:rPr>
              <w:t>，则</w:t>
            </w:r>
            <w:r>
              <w:rPr>
                <w:rFonts w:hint="default" w:ascii="Times New Roman" w:hAnsi="Times New Roman" w:cs="Times New Roman"/>
                <w:color w:val="auto"/>
                <w:spacing w:val="-2"/>
                <w:kern w:val="0"/>
                <w:highlight w:val="none"/>
                <w:lang w:val="en-US" w:eastAsia="zh-CN"/>
              </w:rPr>
              <w:t>车间洒水降尘用水</w:t>
            </w:r>
            <w:r>
              <w:rPr>
                <w:rFonts w:hint="default" w:ascii="Times New Roman" w:hAnsi="Times New Roman" w:cs="Times New Roman"/>
                <w:color w:val="auto"/>
                <w:highlight w:val="none"/>
              </w:rPr>
              <w:t>量为</w:t>
            </w:r>
            <w:r>
              <w:rPr>
                <w:rFonts w:hint="default" w:ascii="Times New Roman" w:hAnsi="Times New Roman" w:cs="Times New Roman"/>
                <w:color w:val="auto"/>
                <w:highlight w:val="none"/>
                <w:lang w:val="en-US" w:eastAsia="zh-CN"/>
              </w:rPr>
              <w:t>1</w:t>
            </w:r>
            <w:r>
              <w:rPr>
                <w:rFonts w:hint="eastAsia" w:cs="Times New Roman"/>
                <w:color w:val="auto"/>
                <w:highlight w:val="none"/>
                <w:lang w:val="en-US" w:eastAsia="zh-CN"/>
              </w:rPr>
              <w:t>02</w:t>
            </w:r>
            <w:r>
              <w:rPr>
                <w:rFonts w:hint="default" w:ascii="Times New Roman" w:hAnsi="Times New Roman" w:cs="Times New Roman"/>
                <w:bCs/>
                <w:color w:val="auto"/>
                <w:highlight w:val="none"/>
              </w:rPr>
              <w:t>m</w:t>
            </w:r>
            <w:r>
              <w:rPr>
                <w:rFonts w:hint="default" w:ascii="Times New Roman" w:hAnsi="Times New Roman" w:cs="Times New Roman"/>
                <w:bCs/>
                <w:color w:val="auto"/>
                <w:highlight w:val="none"/>
                <w:vertAlign w:val="superscript"/>
              </w:rPr>
              <w:t>3</w:t>
            </w:r>
            <w:r>
              <w:rPr>
                <w:rFonts w:hint="default" w:ascii="Times New Roman" w:hAnsi="Times New Roman" w:cs="Times New Roman"/>
                <w:bCs/>
                <w:color w:val="auto"/>
                <w:highlight w:val="none"/>
              </w:rPr>
              <w:t>/a</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主要为新鲜水</w:t>
            </w:r>
            <w:r>
              <w:rPr>
                <w:rFonts w:hint="default" w:ascii="Times New Roman" w:hAnsi="Times New Roman" w:cs="Times New Roman"/>
                <w:bCs/>
                <w:color w:val="auto"/>
                <w:highlight w:val="none"/>
                <w:lang w:eastAsia="zh-CN"/>
              </w:rPr>
              <w:t>。</w:t>
            </w:r>
          </w:p>
          <w:p w14:paraId="56122E15">
            <w:pPr>
              <w:pStyle w:val="85"/>
              <w:keepNext w:val="0"/>
              <w:keepLines w:val="0"/>
              <w:pageBreakBefore w:val="0"/>
              <w:widowControl w:val="0"/>
              <w:kinsoku/>
              <w:wordWrap/>
              <w:overflowPunct/>
              <w:topLinePunct w:val="0"/>
              <w:autoSpaceDE/>
              <w:autoSpaceDN/>
              <w:bidi w:val="0"/>
              <w:adjustRightInd w:val="0"/>
              <w:snapToGrid w:val="0"/>
              <w:spacing w:after="0" w:line="360" w:lineRule="auto"/>
              <w:ind w:left="0" w:leftChars="0"/>
              <w:textAlignment w:val="auto"/>
              <w:rPr>
                <w:rFonts w:hint="default" w:ascii="Times New Roman" w:hAnsi="Times New Roman" w:cs="Times New Roman"/>
                <w:color w:val="auto"/>
                <w:kern w:val="24"/>
                <w:sz w:val="21"/>
                <w:szCs w:val="21"/>
              </w:rPr>
            </w:pPr>
            <w:r>
              <w:rPr>
                <w:rFonts w:hint="default" w:ascii="Times New Roman" w:hAnsi="Times New Roman" w:cs="Times New Roman" w:eastAsiaTheme="minorEastAsia"/>
                <w:color w:val="auto"/>
                <w:kern w:val="24"/>
                <w:sz w:val="21"/>
                <w:szCs w:val="21"/>
                <w:lang w:bidi="ar"/>
              </w:rPr>
              <w:t>排水：</w:t>
            </w:r>
            <w:r>
              <w:rPr>
                <w:rFonts w:hint="default" w:ascii="Times New Roman" w:hAnsi="Times New Roman" w:cs="Times New Roman"/>
                <w:color w:val="auto"/>
                <w:kern w:val="24"/>
                <w:sz w:val="21"/>
                <w:szCs w:val="21"/>
              </w:rPr>
              <w:t>该项目</w:t>
            </w:r>
            <w:r>
              <w:rPr>
                <w:rFonts w:hint="eastAsia" w:cs="Times New Roman" w:eastAsiaTheme="minorEastAsia"/>
                <w:color w:val="auto"/>
                <w:kern w:val="24"/>
                <w:sz w:val="21"/>
                <w:szCs w:val="21"/>
                <w:lang w:val="en-US" w:eastAsia="zh-CN"/>
              </w:rPr>
              <w:t>打浆用水补水、</w:t>
            </w:r>
            <w:r>
              <w:rPr>
                <w:rFonts w:hint="default" w:ascii="Times New Roman" w:hAnsi="Times New Roman" w:cs="Times New Roman"/>
                <w:color w:val="auto"/>
                <w:spacing w:val="-2"/>
                <w:kern w:val="0"/>
                <w:highlight w:val="none"/>
                <w:lang w:val="en-US" w:eastAsia="zh-CN"/>
              </w:rPr>
              <w:t>车间地面洒水降尘用水全部蒸发损耗，</w:t>
            </w:r>
            <w:r>
              <w:rPr>
                <w:rFonts w:hint="default" w:ascii="Times New Roman" w:hAnsi="Times New Roman" w:cs="Times New Roman"/>
                <w:color w:val="auto"/>
                <w:kern w:val="24"/>
                <w:sz w:val="21"/>
                <w:szCs w:val="21"/>
              </w:rPr>
              <w:t>废水主要为</w:t>
            </w:r>
            <w:r>
              <w:rPr>
                <w:rFonts w:hint="eastAsia" w:cs="Times New Roman"/>
                <w:bCs/>
                <w:color w:val="auto"/>
                <w:kern w:val="24"/>
                <w:sz w:val="21"/>
                <w:szCs w:val="21"/>
                <w:lang w:eastAsia="zh-CN"/>
              </w:rPr>
              <w:t>职工生活污水</w:t>
            </w:r>
            <w:r>
              <w:rPr>
                <w:rFonts w:hint="default" w:ascii="Times New Roman" w:hAnsi="Times New Roman" w:cs="Times New Roman"/>
                <w:bCs/>
                <w:color w:val="auto"/>
                <w:kern w:val="24"/>
                <w:sz w:val="21"/>
                <w:szCs w:val="21"/>
              </w:rPr>
              <w:t>。生活污水产生量按用水量80%计算，污水总量为</w:t>
            </w:r>
            <w:r>
              <w:rPr>
                <w:rFonts w:hint="eastAsia" w:cs="Times New Roman"/>
                <w:bCs/>
                <w:color w:val="auto"/>
                <w:kern w:val="24"/>
                <w:sz w:val="21"/>
                <w:szCs w:val="21"/>
                <w:lang w:val="en-US" w:eastAsia="zh-CN"/>
              </w:rPr>
              <w:t>76.8</w:t>
            </w:r>
            <w:r>
              <w:rPr>
                <w:rFonts w:hint="default" w:ascii="Times New Roman" w:hAnsi="Times New Roman" w:cs="Times New Roman"/>
                <w:bCs/>
                <w:color w:val="auto"/>
                <w:kern w:val="24"/>
                <w:sz w:val="21"/>
                <w:szCs w:val="21"/>
              </w:rPr>
              <w:t>m</w:t>
            </w:r>
            <w:r>
              <w:rPr>
                <w:rFonts w:hint="default" w:ascii="Times New Roman" w:hAnsi="Times New Roman" w:cs="Times New Roman"/>
                <w:color w:val="auto"/>
                <w:kern w:val="24"/>
                <w:sz w:val="21"/>
                <w:szCs w:val="21"/>
                <w:vertAlign w:val="superscript"/>
              </w:rPr>
              <w:t>3</w:t>
            </w:r>
            <w:r>
              <w:rPr>
                <w:rFonts w:hint="default" w:ascii="Times New Roman" w:hAnsi="Times New Roman" w:cs="Times New Roman"/>
                <w:color w:val="auto"/>
                <w:kern w:val="24"/>
                <w:sz w:val="21"/>
                <w:szCs w:val="21"/>
              </w:rPr>
              <w:t>/a，</w:t>
            </w:r>
            <w:r>
              <w:rPr>
                <w:rFonts w:hint="eastAsia" w:cs="Times New Roman"/>
                <w:color w:val="auto"/>
                <w:kern w:val="24"/>
                <w:sz w:val="21"/>
                <w:szCs w:val="21"/>
                <w:lang w:val="en-US" w:eastAsia="zh-CN"/>
              </w:rPr>
              <w:t>经</w:t>
            </w:r>
            <w:r>
              <w:rPr>
                <w:rFonts w:hint="default" w:ascii="Times New Roman" w:hAnsi="Times New Roman" w:cs="Times New Roman"/>
                <w:color w:val="auto"/>
                <w:sz w:val="21"/>
                <w:szCs w:val="21"/>
              </w:rPr>
              <w:t>化粪池预处理后由环卫部门定期清运。</w:t>
            </w:r>
            <w:r>
              <w:rPr>
                <w:rFonts w:hint="default" w:ascii="Times New Roman" w:hAnsi="Times New Roman" w:cs="Times New Roman" w:eastAsiaTheme="minorEastAsia"/>
                <w:color w:val="auto"/>
                <w:kern w:val="24"/>
                <w:sz w:val="21"/>
                <w:szCs w:val="21"/>
                <w:lang w:bidi="ar"/>
              </w:rPr>
              <w:t>项目水平衡图见图</w:t>
            </w:r>
            <w:r>
              <w:rPr>
                <w:rFonts w:hint="default" w:ascii="Times New Roman" w:hAnsi="Times New Roman" w:cs="Times New Roman" w:eastAsiaTheme="minorEastAsia"/>
                <w:color w:val="auto"/>
                <w:kern w:val="24"/>
                <w:sz w:val="21"/>
                <w:szCs w:val="21"/>
                <w:lang w:val="en-US" w:eastAsia="zh-CN" w:bidi="ar"/>
              </w:rPr>
              <w:t>2</w:t>
            </w:r>
            <w:r>
              <w:rPr>
                <w:rFonts w:hint="default" w:ascii="Times New Roman" w:hAnsi="Times New Roman" w:cs="Times New Roman" w:eastAsiaTheme="minorEastAsia"/>
                <w:color w:val="auto"/>
                <w:kern w:val="24"/>
                <w:sz w:val="21"/>
                <w:szCs w:val="21"/>
                <w:lang w:bidi="ar"/>
              </w:rPr>
              <w:t>-1</w:t>
            </w:r>
            <w:r>
              <w:rPr>
                <w:rFonts w:hint="default" w:ascii="Times New Roman" w:hAnsi="Times New Roman" w:cs="Times New Roman" w:eastAsiaTheme="minorEastAsia"/>
                <w:color w:val="auto"/>
                <w:kern w:val="24"/>
                <w:sz w:val="21"/>
                <w:szCs w:val="21"/>
                <w:lang w:eastAsia="zh-CN" w:bidi="ar"/>
              </w:rPr>
              <w:t>、</w:t>
            </w:r>
            <w:r>
              <w:rPr>
                <w:rFonts w:hint="default" w:ascii="Times New Roman" w:hAnsi="Times New Roman" w:cs="Times New Roman" w:eastAsiaTheme="minorEastAsia"/>
                <w:color w:val="auto"/>
                <w:kern w:val="24"/>
                <w:sz w:val="21"/>
                <w:szCs w:val="21"/>
                <w:lang w:val="en-US" w:eastAsia="zh-CN" w:bidi="ar"/>
              </w:rPr>
              <w:t>图2-2</w:t>
            </w:r>
            <w:r>
              <w:rPr>
                <w:rFonts w:hint="default" w:ascii="Times New Roman" w:hAnsi="Times New Roman" w:cs="Times New Roman"/>
                <w:color w:val="auto"/>
                <w:kern w:val="24"/>
                <w:sz w:val="21"/>
                <w:szCs w:val="21"/>
              </w:rPr>
              <w:t>。</w:t>
            </w:r>
          </w:p>
          <w:p w14:paraId="7317A6A2">
            <w:pPr>
              <w:pStyle w:val="85"/>
              <w:ind w:left="0" w:leftChars="0" w:firstLine="0" w:firstLineChars="0"/>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object>
                <v:shape id="_x0000_i1025" o:spt="75" type="#_x0000_t75" style="height:188.65pt;width:363.45pt;" o:ole="t" filled="f" o:preferrelative="t" stroked="f" coordsize="21600,21600">
                  <v:path/>
                  <v:fill on="f" focussize="0,0"/>
                  <v:stroke on="f"/>
                  <v:imagedata r:id="rId7" o:title=""/>
                  <o:lock v:ext="edit" aspectratio="f"/>
                  <w10:wrap type="none"/>
                  <w10:anchorlock/>
                </v:shape>
                <o:OLEObject Type="Embed" ProgID="Visio.Drawing.15" ShapeID="_x0000_i1025" DrawAspect="Content" ObjectID="_1468075725" r:id="rId6">
                  <o:LockedField>false</o:LockedField>
                </o:OLEObject>
              </w:object>
            </w:r>
          </w:p>
          <w:p w14:paraId="5E04B5D0">
            <w:pPr>
              <w:pStyle w:val="85"/>
              <w:ind w:left="0" w:leftChars="0" w:firstLine="0" w:firstLineChars="0"/>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图2-1</w:t>
            </w:r>
            <w:r>
              <w:rPr>
                <w:rFonts w:hint="eastAsia" w:eastAsia="黑体" w:cs="Times New Roman"/>
                <w:color w:val="auto"/>
                <w:highlight w:val="none"/>
                <w:lang w:eastAsia="zh-CN"/>
              </w:rPr>
              <w:t>改扩建项目新增</w:t>
            </w:r>
            <w:r>
              <w:rPr>
                <w:rFonts w:hint="default" w:ascii="Times New Roman" w:hAnsi="Times New Roman" w:eastAsia="黑体" w:cs="Times New Roman"/>
                <w:color w:val="auto"/>
                <w:highlight w:val="none"/>
              </w:rPr>
              <w:t>用水水平衡图 单位m</w:t>
            </w:r>
            <w:r>
              <w:rPr>
                <w:rFonts w:hint="default" w:ascii="Times New Roman" w:hAnsi="Times New Roman" w:eastAsia="黑体" w:cs="Times New Roman"/>
                <w:color w:val="auto"/>
                <w:highlight w:val="none"/>
                <w:vertAlign w:val="superscript"/>
              </w:rPr>
              <w:t>3</w:t>
            </w:r>
            <w:r>
              <w:rPr>
                <w:rFonts w:hint="default" w:ascii="Times New Roman" w:hAnsi="Times New Roman" w:eastAsia="黑体" w:cs="Times New Roman"/>
                <w:color w:val="auto"/>
                <w:highlight w:val="none"/>
              </w:rPr>
              <w:t>/a</w:t>
            </w:r>
          </w:p>
          <w:p w14:paraId="68770B4A">
            <w:pPr>
              <w:pStyle w:val="85"/>
              <w:ind w:left="0" w:leftChars="0" w:firstLine="0" w:firstLineChars="0"/>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object>
                <v:shape id="_x0000_i1026" o:spt="75" type="#_x0000_t75" style="height:181.2pt;width:363.45pt;" o:ole="t" filled="f" o:preferrelative="t" stroked="f" coordsize="21600,21600">
                  <v:path/>
                  <v:fill on="f" focussize="0,0"/>
                  <v:stroke on="f"/>
                  <v:imagedata r:id="rId9" o:title=""/>
                  <o:lock v:ext="edit" aspectratio="f"/>
                  <w10:wrap type="none"/>
                  <w10:anchorlock/>
                </v:shape>
                <o:OLEObject Type="Embed" ProgID="Visio.Drawing.15" ShapeID="_x0000_i1026" DrawAspect="Content" ObjectID="_1468075726" r:id="rId8">
                  <o:LockedField>false</o:LockedField>
                </o:OLEObject>
              </w:object>
            </w:r>
          </w:p>
          <w:p w14:paraId="7D78703F">
            <w:pPr>
              <w:pStyle w:val="85"/>
              <w:ind w:left="0" w:leftChars="0" w:firstLine="0" w:firstLineChars="0"/>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 xml:space="preserve">图2-2 </w:t>
            </w:r>
            <w:r>
              <w:rPr>
                <w:rFonts w:hint="eastAsia" w:eastAsia="黑体" w:cs="Times New Roman"/>
                <w:color w:val="auto"/>
                <w:highlight w:val="none"/>
                <w:lang w:eastAsia="zh-CN"/>
              </w:rPr>
              <w:t>改扩建项目</w:t>
            </w:r>
            <w:r>
              <w:rPr>
                <w:rFonts w:hint="default" w:ascii="Times New Roman" w:hAnsi="Times New Roman" w:eastAsia="黑体" w:cs="Times New Roman"/>
                <w:color w:val="auto"/>
                <w:highlight w:val="none"/>
              </w:rPr>
              <w:t>建成后全厂水平衡图单位m</w:t>
            </w:r>
            <w:r>
              <w:rPr>
                <w:rFonts w:hint="default" w:ascii="Times New Roman" w:hAnsi="Times New Roman" w:eastAsia="黑体" w:cs="Times New Roman"/>
                <w:color w:val="auto"/>
                <w:highlight w:val="none"/>
                <w:vertAlign w:val="superscript"/>
              </w:rPr>
              <w:t>3</w:t>
            </w:r>
            <w:r>
              <w:rPr>
                <w:rFonts w:hint="default" w:ascii="Times New Roman" w:hAnsi="Times New Roman" w:eastAsia="黑体" w:cs="Times New Roman"/>
                <w:color w:val="auto"/>
                <w:highlight w:val="none"/>
              </w:rPr>
              <w:t>/a</w:t>
            </w:r>
          </w:p>
          <w:p w14:paraId="66EE6197">
            <w:pPr>
              <w:tabs>
                <w:tab w:val="left" w:pos="1800"/>
              </w:tabs>
              <w:adjustRightInd w:val="0"/>
              <w:snapToGrid w:val="0"/>
              <w:spacing w:line="360" w:lineRule="auto"/>
              <w:ind w:firstLine="460" w:firstLineChars="200"/>
              <w:rPr>
                <w:rFonts w:hint="default" w:ascii="Times New Roman" w:hAnsi="Times New Roman" w:cs="Times New Roman"/>
                <w:color w:val="auto"/>
                <w:spacing w:val="10"/>
                <w:szCs w:val="21"/>
              </w:rPr>
            </w:pPr>
            <w:r>
              <w:rPr>
                <w:rFonts w:hint="default" w:ascii="Times New Roman" w:hAnsi="Times New Roman" w:cs="Times New Roman"/>
                <w:color w:val="auto"/>
                <w:spacing w:val="10"/>
                <w:szCs w:val="21"/>
              </w:rPr>
              <w:t>（3）供电：本项目用电</w:t>
            </w:r>
            <w:r>
              <w:rPr>
                <w:rFonts w:hint="default" w:ascii="Times New Roman" w:hAnsi="Times New Roman" w:cs="Times New Roman"/>
                <w:color w:val="auto"/>
                <w:spacing w:val="10"/>
                <w:szCs w:val="21"/>
                <w:lang w:eastAsia="zh-CN"/>
              </w:rPr>
              <w:t>由</w:t>
            </w:r>
            <w:r>
              <w:rPr>
                <w:rFonts w:hint="default" w:ascii="Times New Roman" w:hAnsi="Times New Roman" w:cs="Times New Roman"/>
                <w:color w:val="auto"/>
                <w:spacing w:val="10"/>
                <w:szCs w:val="21"/>
              </w:rPr>
              <w:t>淄川国家电网昆仑供电所线路接入供给，</w:t>
            </w:r>
            <w:r>
              <w:rPr>
                <w:rFonts w:hint="default" w:ascii="Times New Roman" w:hAnsi="Times New Roman" w:cs="Times New Roman"/>
                <w:color w:val="auto"/>
                <w:spacing w:val="10"/>
                <w:szCs w:val="21"/>
                <w:lang w:val="en-US" w:eastAsia="zh-CN"/>
              </w:rPr>
              <w:t>新增</w:t>
            </w:r>
            <w:r>
              <w:rPr>
                <w:rFonts w:hint="default" w:ascii="Times New Roman" w:hAnsi="Times New Roman" w:cs="Times New Roman"/>
                <w:color w:val="auto"/>
                <w:spacing w:val="10"/>
                <w:szCs w:val="21"/>
              </w:rPr>
              <w:t>年用电量约为</w:t>
            </w:r>
            <w:r>
              <w:rPr>
                <w:rFonts w:hint="eastAsia" w:cs="Times New Roman"/>
                <w:color w:val="auto"/>
                <w:spacing w:val="10"/>
                <w:szCs w:val="21"/>
                <w:lang w:val="en-US" w:eastAsia="zh-CN"/>
              </w:rPr>
              <w:t>10</w:t>
            </w:r>
            <w:r>
              <w:rPr>
                <w:rFonts w:hint="default" w:ascii="Times New Roman" w:hAnsi="Times New Roman" w:cs="Times New Roman"/>
                <w:color w:val="auto"/>
                <w:spacing w:val="10"/>
                <w:szCs w:val="21"/>
              </w:rPr>
              <w:t>0万kWh/a。</w:t>
            </w:r>
          </w:p>
          <w:p w14:paraId="7225F2C6">
            <w:pPr>
              <w:tabs>
                <w:tab w:val="left" w:pos="1800"/>
              </w:tabs>
              <w:adjustRightInd w:val="0"/>
              <w:snapToGrid w:val="0"/>
              <w:spacing w:line="360" w:lineRule="auto"/>
              <w:ind w:firstLine="460" w:firstLineChars="200"/>
              <w:rPr>
                <w:rFonts w:hint="default" w:ascii="Times New Roman" w:hAnsi="Times New Roman" w:cs="Times New Roman"/>
                <w:color w:val="auto"/>
                <w:spacing w:val="10"/>
                <w:szCs w:val="21"/>
                <w:highlight w:val="none"/>
              </w:rPr>
            </w:pPr>
            <w:r>
              <w:rPr>
                <w:rFonts w:hint="default" w:ascii="Times New Roman" w:hAnsi="Times New Roman" w:cs="Times New Roman"/>
                <w:color w:val="auto"/>
                <w:spacing w:val="10"/>
                <w:szCs w:val="21"/>
              </w:rPr>
              <w:t>（4）供热：</w:t>
            </w:r>
            <w:r>
              <w:rPr>
                <w:rFonts w:hint="default" w:ascii="Times New Roman" w:hAnsi="Times New Roman" w:cs="Times New Roman"/>
                <w:color w:val="auto"/>
                <w:spacing w:val="10"/>
                <w:szCs w:val="21"/>
                <w:highlight w:val="none"/>
              </w:rPr>
              <w:t>该项目厂区内不设燃煤锅炉，办公室冬季取暖使用空调。</w:t>
            </w:r>
          </w:p>
          <w:p w14:paraId="167E89D1">
            <w:pPr>
              <w:spacing w:line="360" w:lineRule="auto"/>
              <w:ind w:firstLine="420" w:firstLineChars="200"/>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12、总平面布置</w:t>
            </w:r>
          </w:p>
          <w:p w14:paraId="63CAF72F">
            <w:pPr>
              <w:pStyle w:val="1389"/>
              <w:ind w:firstLine="440"/>
              <w:rPr>
                <w:rFonts w:hint="default" w:ascii="Times New Roman" w:hAnsi="Times New Roman" w:cs="Times New Roman" w:eastAsiaTheme="minorEastAsia"/>
                <w:color w:val="FF0000"/>
                <w:spacing w:val="10"/>
                <w:lang w:val="de-DE"/>
              </w:rPr>
            </w:pPr>
            <w:r>
              <w:rPr>
                <w:rFonts w:hint="eastAsia"/>
                <w:color w:val="auto"/>
                <w:highlight w:val="none"/>
                <w:lang w:val="en-US" w:eastAsia="zh-CN"/>
              </w:rPr>
              <w:t>本厂区包括2个生产车间、5个仓库、2座办公室及休息室，现有项目位于1#生产车间，位于厂区北部，本项目主要在2#生产车间建设，位于厂区南部，1#仓库和2#仓库位于厂区西侧，3#仓库和4#仓库位于厂区东侧，5#仓库为本项目新增仓库，位于厂区南侧，休息室和大门位于厂区内侧。</w:t>
            </w:r>
            <w:r>
              <w:rPr>
                <w:rFonts w:hint="default" w:ascii="Times New Roman" w:hAnsi="Times New Roman" w:cs="Times New Roman" w:eastAsiaTheme="minorEastAsia"/>
                <w:color w:val="auto"/>
                <w:highlight w:val="none"/>
              </w:rPr>
              <w:t>本项目所在地区主导风向为西南风，办公区位于项目生产区西侧，处于生产区的侧风向，在保证各项废气治理措施的情况下，生产区大气污染物对办公区域的影响较小。项目生产总平面布置较好的满足了工艺流程的顺畅性，体现了物料输送的便捷性，使物料的输送简单化，方便</w:t>
            </w:r>
            <w:r>
              <w:rPr>
                <w:rFonts w:hint="default" w:ascii="Times New Roman" w:hAnsi="Times New Roman" w:cs="Times New Roman" w:eastAsiaTheme="minorEastAsia"/>
                <w:color w:val="auto"/>
              </w:rPr>
              <w:t>了生产，厂区平面布置基本合理。厂区平面布置图详见附图5。</w:t>
            </w:r>
          </w:p>
        </w:tc>
      </w:tr>
      <w:tr w14:paraId="01E85B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dxa"/>
            <w:vAlign w:val="center"/>
          </w:tcPr>
          <w:p w14:paraId="7377B02A">
            <w:pPr>
              <w:pStyle w:val="80"/>
              <w:adjustRightInd w:val="0"/>
              <w:snapToGrid w:val="0"/>
              <w:spacing w:before="0" w:beforeAutospacing="0" w:after="0" w:afterAutospacing="0" w:line="360" w:lineRule="auto"/>
              <w:rPr>
                <w:rFonts w:hint="default" w:ascii="Times New Roman" w:hAnsi="Times New Roman" w:cs="Times New Roman"/>
                <w:color w:val="FF0000"/>
                <w:sz w:val="21"/>
                <w:szCs w:val="21"/>
              </w:rPr>
            </w:pPr>
            <w:r>
              <w:rPr>
                <w:rFonts w:hint="default" w:ascii="Times New Roman" w:hAnsi="Times New Roman" w:cs="Times New Roman"/>
                <w:color w:val="auto"/>
                <w:sz w:val="21"/>
                <w:szCs w:val="21"/>
              </w:rPr>
              <w:t>工艺流程和产排污环节</w:t>
            </w:r>
          </w:p>
        </w:tc>
        <w:tc>
          <w:tcPr>
            <w:tcW w:w="9308" w:type="dxa"/>
          </w:tcPr>
          <w:p w14:paraId="49C26A78">
            <w:pPr>
              <w:pStyle w:val="997"/>
              <w:adjustRightInd w:val="0"/>
              <w:snapToGrid w:val="0"/>
              <w:spacing w:line="360" w:lineRule="auto"/>
              <w:rPr>
                <w:rFonts w:hint="default" w:ascii="Times New Roman" w:hAnsi="Times New Roman" w:eastAsia="黑体" w:cs="Times New Roman"/>
                <w:bCs/>
                <w:color w:val="auto"/>
                <w:szCs w:val="21"/>
                <w:lang w:val="de-DE"/>
              </w:rPr>
            </w:pPr>
            <w:r>
              <w:rPr>
                <w:rFonts w:hint="default" w:ascii="Times New Roman" w:hAnsi="Times New Roman" w:eastAsia="黑体" w:cs="Times New Roman"/>
                <w:bCs/>
                <w:color w:val="auto"/>
                <w:szCs w:val="21"/>
                <w:lang w:val="de-DE"/>
              </w:rPr>
              <w:t>一、工艺流程</w:t>
            </w:r>
          </w:p>
          <w:p w14:paraId="26957FA9">
            <w:pPr>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rPr>
              <w:t>本项目工</w:t>
            </w:r>
            <w:r>
              <w:rPr>
                <w:rFonts w:hint="default" w:ascii="Times New Roman" w:hAnsi="Times New Roman" w:cs="Times New Roman"/>
                <w:color w:val="auto"/>
                <w:szCs w:val="21"/>
                <w:highlight w:val="none"/>
              </w:rPr>
              <w:t>程主要分为施工期和营运期。</w:t>
            </w:r>
          </w:p>
          <w:p w14:paraId="6A97C50D">
            <w:pPr>
              <w:pStyle w:val="997"/>
              <w:adjustRightInd w:val="0"/>
              <w:snapToGrid w:val="0"/>
              <w:spacing w:line="360" w:lineRule="auto"/>
              <w:rPr>
                <w:rFonts w:hint="default" w:ascii="Times New Roman" w:hAnsi="Times New Roman" w:eastAsia="黑体" w:cs="Times New Roman"/>
                <w:bCs/>
                <w:color w:val="auto"/>
                <w:szCs w:val="21"/>
                <w:highlight w:val="none"/>
                <w:lang w:val="de-DE"/>
              </w:rPr>
            </w:pPr>
            <w:r>
              <w:rPr>
                <w:rFonts w:hint="default" w:ascii="Times New Roman" w:hAnsi="Times New Roman" w:eastAsia="黑体" w:cs="Times New Roman"/>
                <w:bCs/>
                <w:color w:val="auto"/>
                <w:szCs w:val="21"/>
                <w:highlight w:val="none"/>
                <w:lang w:val="de-DE"/>
              </w:rPr>
              <w:t>1、施工期</w:t>
            </w:r>
          </w:p>
          <w:p w14:paraId="40BE8BE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w:t>
            </w:r>
            <w:r>
              <w:rPr>
                <w:rFonts w:hint="default" w:ascii="Times New Roman" w:hAnsi="Times New Roman" w:cs="Times New Roman"/>
                <w:color w:val="auto"/>
                <w:szCs w:val="21"/>
                <w:highlight w:val="none"/>
                <w:lang w:eastAsia="zh-CN"/>
              </w:rPr>
              <w:t>在</w:t>
            </w:r>
            <w:r>
              <w:rPr>
                <w:rFonts w:hint="default" w:ascii="Times New Roman" w:hAnsi="Times New Roman" w:cs="Times New Roman"/>
                <w:color w:val="auto"/>
                <w:szCs w:val="21"/>
                <w:highlight w:val="none"/>
              </w:rPr>
              <w:t>现有</w:t>
            </w:r>
            <w:r>
              <w:rPr>
                <w:rFonts w:hint="default" w:ascii="Times New Roman" w:hAnsi="Times New Roman" w:cs="Times New Roman"/>
                <w:color w:val="auto"/>
                <w:szCs w:val="21"/>
                <w:highlight w:val="none"/>
                <w:lang w:eastAsia="zh-CN"/>
              </w:rPr>
              <w:t>已建成</w:t>
            </w:r>
            <w:r>
              <w:rPr>
                <w:rFonts w:hint="default" w:ascii="Times New Roman" w:hAnsi="Times New Roman" w:cs="Times New Roman"/>
                <w:color w:val="auto"/>
                <w:szCs w:val="21"/>
                <w:highlight w:val="none"/>
              </w:rPr>
              <w:t>厂房进行建设，施工期主要为设备安装及调试，故施工期的主要影响因素是设备调试运行时产生的机械噪声和设备安装时产生的少量固废，对周围环境影响较小，本环评不再对施工期进行环境影响分析。</w:t>
            </w:r>
          </w:p>
          <w:p w14:paraId="03708FC2">
            <w:pPr>
              <w:pStyle w:val="997"/>
              <w:adjustRightInd w:val="0"/>
              <w:snapToGrid w:val="0"/>
              <w:spacing w:line="360" w:lineRule="auto"/>
              <w:rPr>
                <w:rFonts w:hint="default" w:ascii="Times New Roman" w:hAnsi="Times New Roman" w:eastAsia="黑体" w:cs="Times New Roman"/>
                <w:bCs/>
                <w:color w:val="auto"/>
                <w:szCs w:val="21"/>
                <w:highlight w:val="none"/>
              </w:rPr>
            </w:pPr>
            <w:r>
              <w:rPr>
                <w:rFonts w:hint="default" w:ascii="Times New Roman" w:hAnsi="Times New Roman" w:eastAsia="黑体" w:cs="Times New Roman"/>
                <w:bCs/>
                <w:color w:val="auto"/>
                <w:szCs w:val="21"/>
                <w:highlight w:val="none"/>
              </w:rPr>
              <w:t>2、运营期</w:t>
            </w:r>
          </w:p>
          <w:p w14:paraId="38A3609A">
            <w:pPr>
              <w:pStyle w:val="997"/>
              <w:spacing w:line="360" w:lineRule="auto"/>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（1）主要生产工艺</w:t>
            </w:r>
          </w:p>
          <w:p w14:paraId="1F173652">
            <w:pPr>
              <w:spacing w:line="360" w:lineRule="auto"/>
              <w:ind w:firstLine="420" w:firstLineChars="200"/>
              <w:rPr>
                <w:rFonts w:hint="default" w:ascii="Times New Roman" w:hAnsi="Times New Roman" w:cs="Times New Roman"/>
                <w:color w:val="auto"/>
                <w:szCs w:val="21"/>
                <w:lang w:val="de-DE"/>
              </w:rPr>
            </w:pPr>
            <w:r>
              <w:rPr>
                <w:rFonts w:hint="default" w:ascii="Times New Roman" w:hAnsi="Times New Roman" w:cs="Times New Roman"/>
                <w:color w:val="auto"/>
                <w:szCs w:val="21"/>
              </w:rPr>
              <w:t>主要生产</w:t>
            </w:r>
            <w:r>
              <w:rPr>
                <w:rFonts w:hint="default" w:ascii="Times New Roman" w:hAnsi="Times New Roman" w:cs="Times New Roman"/>
                <w:color w:val="auto"/>
                <w:szCs w:val="21"/>
                <w:lang w:val="de-DE"/>
              </w:rPr>
              <w:t>工艺流程见图2-</w:t>
            </w:r>
            <w:r>
              <w:rPr>
                <w:rFonts w:hint="eastAsia" w:cs="Times New Roman"/>
                <w:color w:val="auto"/>
                <w:szCs w:val="21"/>
                <w:lang w:val="en-US" w:eastAsia="zh-CN"/>
              </w:rPr>
              <w:t>3</w:t>
            </w:r>
            <w:r>
              <w:rPr>
                <w:rFonts w:hint="default" w:ascii="Times New Roman" w:hAnsi="Times New Roman" w:cs="Times New Roman"/>
                <w:color w:val="auto"/>
                <w:szCs w:val="21"/>
                <w:lang w:val="de-DE"/>
              </w:rPr>
              <w:t>。</w:t>
            </w:r>
          </w:p>
          <w:p w14:paraId="5B73A28D">
            <w:pPr>
              <w:spacing w:line="360" w:lineRule="auto"/>
              <w:jc w:val="center"/>
              <w:rPr>
                <w:rFonts w:hint="default" w:ascii="Times New Roman" w:hAnsi="Times New Roman" w:eastAsia="黑体" w:cs="Times New Roman"/>
                <w:color w:val="auto"/>
                <w:lang w:val="de-DE"/>
              </w:rPr>
            </w:pPr>
            <w:r>
              <w:rPr>
                <w:rFonts w:hint="default" w:ascii="Times New Roman" w:hAnsi="Times New Roman" w:eastAsia="黑体" w:cs="Times New Roman"/>
                <w:color w:val="auto"/>
                <w:lang w:val="de-DE"/>
              </w:rPr>
              <w:object>
                <v:shape id="_x0000_i1027" o:spt="75" type="#_x0000_t75" style="height:227.7pt;width:435.65pt;" o:ole="t" filled="f" o:preferrelative="t" stroked="f" coordsize="21600,21600">
                  <v:path/>
                  <v:fill on="f" focussize="0,0"/>
                  <v:stroke on="f"/>
                  <v:imagedata r:id="rId11" o:title=""/>
                  <o:lock v:ext="edit" aspectratio="f"/>
                  <w10:wrap type="none"/>
                  <w10:anchorlock/>
                </v:shape>
                <o:OLEObject Type="Embed" ProgID="Visio.Drawing.15" ShapeID="_x0000_i1027" DrawAspect="Content" ObjectID="_1468075727" r:id="rId10">
                  <o:LockedField>false</o:LockedField>
                </o:OLEObject>
              </w:object>
            </w:r>
          </w:p>
          <w:p w14:paraId="14B05FBC">
            <w:pPr>
              <w:spacing w:line="360" w:lineRule="auto"/>
              <w:jc w:val="center"/>
              <w:rPr>
                <w:rFonts w:hint="default" w:ascii="Times New Roman" w:hAnsi="Times New Roman" w:eastAsia="黑体" w:cs="Times New Roman"/>
                <w:color w:val="auto"/>
                <w:lang w:val="de-DE"/>
              </w:rPr>
            </w:pPr>
            <w:r>
              <w:rPr>
                <w:rFonts w:hint="default" w:ascii="Times New Roman" w:hAnsi="Times New Roman" w:eastAsia="黑体" w:cs="Times New Roman"/>
                <w:color w:val="auto"/>
                <w:lang w:val="de-DE"/>
              </w:rPr>
              <w:t>图2-</w:t>
            </w:r>
            <w:r>
              <w:rPr>
                <w:rFonts w:hint="eastAsia" w:ascii="Times New Roman" w:hAnsi="Times New Roman" w:eastAsia="黑体" w:cs="Times New Roman"/>
                <w:color w:val="auto"/>
                <w:lang w:val="en-US" w:eastAsia="zh-CN"/>
              </w:rPr>
              <w:t>3</w:t>
            </w:r>
            <w:r>
              <w:rPr>
                <w:rFonts w:hint="default" w:ascii="Times New Roman" w:hAnsi="Times New Roman" w:eastAsia="黑体" w:cs="Times New Roman"/>
                <w:color w:val="auto"/>
                <w:lang w:val="de-DE"/>
              </w:rPr>
              <w:t>项目主要工艺流程及产污环节图</w:t>
            </w:r>
          </w:p>
          <w:p w14:paraId="383B37D5">
            <w:pPr>
              <w:pStyle w:val="997"/>
              <w:spacing w:line="360" w:lineRule="auto"/>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工艺简述：</w:t>
            </w:r>
          </w:p>
          <w:p w14:paraId="7DA09A3B">
            <w:pPr>
              <w:pStyle w:val="1406"/>
              <w:snapToGrid w:val="0"/>
              <w:spacing w:before="0" w:beforeAutospacing="0" w:after="0"/>
              <w:ind w:left="0" w:leftChars="0" w:firstLineChars="200"/>
              <w:rPr>
                <w:rFonts w:hint="default" w:ascii="Times New Roman" w:hAnsi="Times New Roman" w:cs="Times New Roman" w:eastAsiaTheme="minorEastAsia"/>
                <w:color w:val="auto"/>
                <w:sz w:val="21"/>
                <w:szCs w:val="21"/>
              </w:rPr>
            </w:pPr>
            <w:r>
              <w:rPr>
                <w:rFonts w:hint="eastAsia" w:cs="Times New Roman" w:eastAsiaTheme="minorEastAsia"/>
                <w:color w:val="auto"/>
                <w:sz w:val="21"/>
                <w:szCs w:val="21"/>
                <w:lang w:val="en-US" w:eastAsia="zh-CN"/>
              </w:rPr>
              <w:t>将袋装</w:t>
            </w:r>
            <w:r>
              <w:rPr>
                <w:rFonts w:hint="default" w:ascii="Times New Roman" w:hAnsi="Times New Roman" w:cs="Times New Roman" w:eastAsiaTheme="minorEastAsia"/>
                <w:color w:val="auto"/>
                <w:sz w:val="21"/>
                <w:szCs w:val="21"/>
              </w:rPr>
              <w:t>原料陶瓷纤维棉</w:t>
            </w:r>
            <w:r>
              <w:rPr>
                <w:rFonts w:hint="eastAsia" w:cs="Times New Roman" w:eastAsiaTheme="minorEastAsia"/>
                <w:color w:val="auto"/>
                <w:sz w:val="21"/>
                <w:szCs w:val="21"/>
                <w:lang w:val="en-US" w:eastAsia="zh-CN"/>
              </w:rPr>
              <w:t>直接放在打浆机料口，人工将包装袋底部打开，纤维棉自动下料</w:t>
            </w:r>
            <w:r>
              <w:rPr>
                <w:rFonts w:hint="default" w:ascii="Times New Roman" w:hAnsi="Times New Roman" w:cs="Times New Roman" w:eastAsiaTheme="minorEastAsia"/>
                <w:color w:val="auto"/>
                <w:sz w:val="21"/>
                <w:szCs w:val="21"/>
              </w:rPr>
              <w:t>到打浆机中</w:t>
            </w:r>
            <w:r>
              <w:rPr>
                <w:rFonts w:hint="eastAsia" w:cs="Times New Roman" w:eastAsiaTheme="minorEastAsia"/>
                <w:color w:val="auto"/>
                <w:sz w:val="21"/>
                <w:szCs w:val="21"/>
                <w:lang w:eastAsia="zh-CN"/>
              </w:rPr>
              <w:t>，</w:t>
            </w:r>
            <w:r>
              <w:rPr>
                <w:rFonts w:hint="eastAsia" w:cs="Times New Roman" w:eastAsiaTheme="minorEastAsia"/>
                <w:color w:val="auto"/>
                <w:sz w:val="21"/>
                <w:szCs w:val="21"/>
                <w:lang w:val="en-US" w:eastAsia="zh-CN"/>
              </w:rPr>
              <w:t>该过程无粉尘产生。然后</w:t>
            </w:r>
            <w:r>
              <w:rPr>
                <w:rFonts w:hint="default" w:ascii="Times New Roman" w:hAnsi="Times New Roman" w:cs="Times New Roman" w:eastAsiaTheme="minorEastAsia"/>
                <w:color w:val="auto"/>
                <w:sz w:val="21"/>
                <w:szCs w:val="21"/>
              </w:rPr>
              <w:t>按照比例加入水后开启打浆机进行打浆。打完浆后，通过管线转移到</w:t>
            </w:r>
            <w:r>
              <w:rPr>
                <w:rFonts w:hint="eastAsia" w:cs="Times New Roman" w:eastAsiaTheme="minorEastAsia"/>
                <w:color w:val="auto"/>
                <w:sz w:val="21"/>
                <w:szCs w:val="21"/>
                <w:lang w:val="en-US" w:eastAsia="zh-CN"/>
              </w:rPr>
              <w:t>配浆池中</w:t>
            </w:r>
            <w:r>
              <w:rPr>
                <w:rFonts w:hint="default" w:ascii="Times New Roman" w:hAnsi="Times New Roman" w:cs="Times New Roman" w:eastAsiaTheme="minorEastAsia"/>
                <w:color w:val="auto"/>
                <w:sz w:val="21"/>
                <w:szCs w:val="21"/>
              </w:rPr>
              <w:t>搅拌，使浆液搅拌均匀，经过静置，使渣球沉淀后</w:t>
            </w:r>
            <w:r>
              <w:rPr>
                <w:rFonts w:hint="eastAsia"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通过泵将上层混合均匀的物料转移到</w:t>
            </w:r>
            <w:r>
              <w:rPr>
                <w:rFonts w:hint="eastAsia" w:cs="Times New Roman" w:eastAsiaTheme="minorEastAsia"/>
                <w:color w:val="auto"/>
                <w:sz w:val="21"/>
                <w:szCs w:val="21"/>
                <w:lang w:val="en-US" w:eastAsia="zh-CN"/>
              </w:rPr>
              <w:t>第二个配浆池</w:t>
            </w:r>
            <w:r>
              <w:rPr>
                <w:rFonts w:hint="default" w:ascii="Times New Roman" w:hAnsi="Times New Roman" w:cs="Times New Roman" w:eastAsiaTheme="minorEastAsia"/>
                <w:color w:val="auto"/>
                <w:sz w:val="21"/>
                <w:szCs w:val="21"/>
              </w:rPr>
              <w:t>中进行二次搅拌，</w:t>
            </w:r>
            <w:r>
              <w:rPr>
                <w:rFonts w:hint="eastAsia" w:cs="Times New Roman" w:eastAsiaTheme="minorEastAsia"/>
                <w:color w:val="auto"/>
                <w:sz w:val="21"/>
                <w:szCs w:val="21"/>
                <w:lang w:val="en-US" w:eastAsia="zh-CN"/>
              </w:rPr>
              <w:t>2个配浆池</w:t>
            </w:r>
            <w:r>
              <w:rPr>
                <w:rFonts w:hint="default" w:ascii="Times New Roman" w:hAnsi="Times New Roman" w:cs="Times New Roman" w:eastAsiaTheme="minorEastAsia"/>
                <w:color w:val="auto"/>
                <w:sz w:val="21"/>
                <w:szCs w:val="21"/>
              </w:rPr>
              <w:t>下方分离出来的渣球定期</w:t>
            </w:r>
            <w:r>
              <w:rPr>
                <w:rFonts w:hint="eastAsia" w:cs="Times New Roman" w:eastAsiaTheme="minorEastAsia"/>
                <w:color w:val="auto"/>
                <w:sz w:val="21"/>
                <w:szCs w:val="21"/>
                <w:lang w:val="en-US" w:eastAsia="zh-CN"/>
              </w:rPr>
              <w:t>使用高浓除渣器除渣</w:t>
            </w:r>
            <w:r>
              <w:rPr>
                <w:rFonts w:hint="default" w:ascii="Times New Roman" w:hAnsi="Times New Roman" w:cs="Times New Roman" w:eastAsiaTheme="minorEastAsia"/>
                <w:color w:val="auto"/>
                <w:sz w:val="21"/>
                <w:szCs w:val="21"/>
              </w:rPr>
              <w:t>清理回用。二次搅拌好的物料通过泵将物料转移到生产线上，</w:t>
            </w:r>
            <w:r>
              <w:rPr>
                <w:rFonts w:hint="eastAsia" w:cs="Times New Roman" w:eastAsiaTheme="minorEastAsia"/>
                <w:color w:val="auto"/>
                <w:sz w:val="21"/>
                <w:szCs w:val="21"/>
                <w:lang w:val="en-US" w:eastAsia="zh-CN"/>
              </w:rPr>
              <w:t>使用辊压机</w:t>
            </w:r>
            <w:r>
              <w:rPr>
                <w:rFonts w:hint="default" w:ascii="Times New Roman" w:hAnsi="Times New Roman" w:cs="Times New Roman" w:eastAsiaTheme="minorEastAsia"/>
                <w:color w:val="auto"/>
                <w:sz w:val="21"/>
                <w:szCs w:val="21"/>
              </w:rPr>
              <w:t>进行挤压滤水，滤出来的水进入循环水池循环使用。滤干的物料通过真空泵</w:t>
            </w:r>
            <w:r>
              <w:rPr>
                <w:rFonts w:hint="eastAsia" w:cs="Times New Roman" w:eastAsiaTheme="minorEastAsia"/>
                <w:color w:val="auto"/>
                <w:sz w:val="21"/>
                <w:szCs w:val="21"/>
                <w:lang w:val="en-US" w:eastAsia="zh-CN"/>
              </w:rPr>
              <w:t>和气水分离器将水分离</w:t>
            </w:r>
            <w:r>
              <w:rPr>
                <w:rFonts w:hint="default" w:ascii="Times New Roman" w:hAnsi="Times New Roman" w:cs="Times New Roman" w:eastAsiaTheme="minorEastAsia"/>
                <w:color w:val="auto"/>
                <w:sz w:val="21"/>
                <w:szCs w:val="21"/>
              </w:rPr>
              <w:t>，吸出来水进入循环水池循环使用。吸干后的物料</w:t>
            </w:r>
            <w:r>
              <w:rPr>
                <w:rFonts w:hint="eastAsia" w:cs="Times New Roman" w:eastAsiaTheme="minorEastAsia"/>
                <w:color w:val="auto"/>
                <w:sz w:val="21"/>
                <w:szCs w:val="21"/>
                <w:lang w:val="en-US" w:eastAsia="zh-CN"/>
              </w:rPr>
              <w:t>进入全自动成型机中成型</w:t>
            </w:r>
            <w:r>
              <w:rPr>
                <w:rFonts w:hint="default" w:ascii="Times New Roman" w:hAnsi="Times New Roman" w:cs="Times New Roman" w:eastAsiaTheme="minorEastAsia"/>
                <w:color w:val="auto"/>
                <w:sz w:val="21"/>
                <w:szCs w:val="21"/>
              </w:rPr>
              <w:t>，在生产线上通过粘胶装置对物料进行粘</w:t>
            </w:r>
            <w:r>
              <w:rPr>
                <w:rFonts w:hint="eastAsia" w:cs="Times New Roman" w:eastAsiaTheme="minorEastAsia"/>
                <w:color w:val="auto"/>
                <w:sz w:val="21"/>
                <w:szCs w:val="21"/>
                <w:lang w:val="en-US" w:eastAsia="zh-CN"/>
              </w:rPr>
              <w:t>上硅溶</w:t>
            </w:r>
            <w:r>
              <w:rPr>
                <w:rFonts w:hint="default" w:ascii="Times New Roman" w:hAnsi="Times New Roman" w:cs="Times New Roman" w:eastAsiaTheme="minorEastAsia"/>
                <w:color w:val="auto"/>
                <w:sz w:val="21"/>
                <w:szCs w:val="21"/>
              </w:rPr>
              <w:t>胶，再通过真空泵吸胶，多余的胶吸出有专门的容器收纳，循环使用。吸完胶的物料通过生产线装置转移到电</w:t>
            </w:r>
            <w:r>
              <w:rPr>
                <w:rFonts w:hint="eastAsia" w:cs="Times New Roman" w:eastAsiaTheme="minorEastAsia"/>
                <w:color w:val="auto"/>
                <w:sz w:val="21"/>
                <w:szCs w:val="21"/>
                <w:lang w:val="en-US" w:eastAsia="zh-CN"/>
              </w:rPr>
              <w:t>烘干</w:t>
            </w:r>
            <w:r>
              <w:rPr>
                <w:rFonts w:hint="default" w:ascii="Times New Roman" w:hAnsi="Times New Roman" w:cs="Times New Roman" w:eastAsiaTheme="minorEastAsia"/>
                <w:color w:val="auto"/>
                <w:sz w:val="21"/>
                <w:szCs w:val="21"/>
              </w:rPr>
              <w:t>炉中进行移动式烘干。烘干温度为160～110</w:t>
            </w:r>
            <w:r>
              <w:rPr>
                <w:rFonts w:hint="default" w:ascii="Times New Roman" w:hAnsi="Times New Roman" w:cs="Times New Roman" w:eastAsiaTheme="minorEastAsia"/>
                <w:color w:val="auto"/>
                <w:sz w:val="21"/>
                <w:szCs w:val="21"/>
                <w:lang w:eastAsia="ja-JP"/>
              </w:rPr>
              <w:t>℃，</w:t>
            </w:r>
            <w:r>
              <w:rPr>
                <w:rFonts w:hint="default" w:ascii="Times New Roman" w:hAnsi="Times New Roman" w:cs="Times New Roman" w:eastAsiaTheme="minorEastAsia"/>
                <w:color w:val="auto"/>
                <w:sz w:val="21"/>
                <w:szCs w:val="21"/>
              </w:rPr>
              <w:t>电炉从炉头到炉尾温度逐渐降低，根据产品厚度不同，烘干时间从10分钟到30分钟不等。烘干后</w:t>
            </w:r>
            <w:r>
              <w:rPr>
                <w:rFonts w:hint="eastAsia" w:cs="Times New Roman" w:eastAsiaTheme="minorEastAsia"/>
                <w:color w:val="auto"/>
                <w:sz w:val="21"/>
                <w:szCs w:val="21"/>
                <w:lang w:val="en-US" w:eastAsia="zh-CN"/>
              </w:rPr>
              <w:t>的不合格品回用于打浆工序，合格品</w:t>
            </w:r>
            <w:r>
              <w:rPr>
                <w:rFonts w:hint="default" w:ascii="Times New Roman" w:hAnsi="Times New Roman" w:cs="Times New Roman" w:eastAsiaTheme="minorEastAsia"/>
                <w:color w:val="auto"/>
                <w:sz w:val="21"/>
                <w:szCs w:val="21"/>
              </w:rPr>
              <w:t>在生产线上进行卷纸。根据客户需求，企业</w:t>
            </w:r>
            <w:r>
              <w:rPr>
                <w:rFonts w:hint="eastAsia" w:cs="Times New Roman" w:eastAsiaTheme="minorEastAsia"/>
                <w:color w:val="auto"/>
                <w:sz w:val="21"/>
                <w:szCs w:val="21"/>
                <w:lang w:val="en-US" w:eastAsia="zh-CN"/>
              </w:rPr>
              <w:t>使用砂光机、切割机、雕刻机等</w:t>
            </w:r>
            <w:r>
              <w:rPr>
                <w:rFonts w:hint="default" w:ascii="Times New Roman" w:hAnsi="Times New Roman" w:cs="Times New Roman" w:eastAsiaTheme="minorEastAsia"/>
                <w:color w:val="auto"/>
                <w:sz w:val="21"/>
                <w:szCs w:val="21"/>
              </w:rPr>
              <w:t>把产品</w:t>
            </w:r>
            <w:r>
              <w:rPr>
                <w:rFonts w:hint="eastAsia" w:cs="Times New Roman" w:eastAsiaTheme="minorEastAsia"/>
                <w:color w:val="auto"/>
                <w:sz w:val="21"/>
                <w:szCs w:val="21"/>
                <w:lang w:val="en-US" w:eastAsia="zh-CN"/>
              </w:rPr>
              <w:t>进一步进行精加工，得到</w:t>
            </w:r>
            <w:r>
              <w:rPr>
                <w:rFonts w:hint="default" w:ascii="Times New Roman" w:hAnsi="Times New Roman" w:cs="Times New Roman" w:eastAsiaTheme="minorEastAsia"/>
                <w:color w:val="auto"/>
                <w:sz w:val="21"/>
                <w:szCs w:val="21"/>
              </w:rPr>
              <w:t>不同尺寸</w:t>
            </w:r>
            <w:r>
              <w:rPr>
                <w:rFonts w:hint="eastAsia" w:cs="Times New Roman" w:eastAsiaTheme="minorEastAsia"/>
                <w:color w:val="auto"/>
                <w:sz w:val="21"/>
                <w:szCs w:val="21"/>
                <w:lang w:eastAsia="zh-CN"/>
              </w:rPr>
              <w:t>、</w:t>
            </w:r>
            <w:r>
              <w:rPr>
                <w:rFonts w:hint="eastAsia" w:cs="Times New Roman" w:eastAsiaTheme="minorEastAsia"/>
                <w:color w:val="auto"/>
                <w:sz w:val="21"/>
                <w:szCs w:val="21"/>
                <w:lang w:val="en-US" w:eastAsia="zh-CN"/>
              </w:rPr>
              <w:t>规格的陶瓷纤维制品</w:t>
            </w:r>
            <w:r>
              <w:rPr>
                <w:rFonts w:hint="default" w:ascii="Times New Roman" w:hAnsi="Times New Roman" w:cs="Times New Roman" w:eastAsiaTheme="minorEastAsia"/>
                <w:color w:val="auto"/>
                <w:sz w:val="21"/>
                <w:szCs w:val="21"/>
              </w:rPr>
              <w:t>，装箱包装。</w:t>
            </w:r>
          </w:p>
          <w:p w14:paraId="029F81FA">
            <w:pPr>
              <w:pStyle w:val="1406"/>
              <w:snapToGrid w:val="0"/>
              <w:spacing w:before="0" w:beforeAutospacing="0" w:after="0"/>
              <w:ind w:firstLine="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产污环节：</w:t>
            </w:r>
            <w:r>
              <w:rPr>
                <w:rFonts w:hint="eastAsia" w:cs="Times New Roman" w:eastAsiaTheme="minorEastAsia"/>
                <w:color w:val="auto"/>
                <w:sz w:val="21"/>
                <w:szCs w:val="21"/>
                <w:lang w:val="en-US" w:eastAsia="zh-CN"/>
              </w:rPr>
              <w:t>打浆投料</w:t>
            </w:r>
            <w:r>
              <w:rPr>
                <w:rFonts w:hint="default" w:ascii="Times New Roman" w:hAnsi="Times New Roman" w:cs="Times New Roman" w:eastAsiaTheme="minorEastAsia"/>
                <w:color w:val="auto"/>
                <w:sz w:val="21"/>
                <w:szCs w:val="21"/>
                <w:lang w:val="en-US" w:eastAsia="zh-CN"/>
              </w:rPr>
              <w:t>工序会产生N噪声；</w:t>
            </w:r>
          </w:p>
          <w:p w14:paraId="19A19FFD">
            <w:pPr>
              <w:pStyle w:val="1406"/>
              <w:snapToGrid w:val="0"/>
              <w:spacing w:before="0" w:beforeAutospacing="0" w:after="0"/>
              <w:ind w:firstLine="840" w:firstLineChars="40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 xml:space="preserve">  </w:t>
            </w:r>
            <w:r>
              <w:rPr>
                <w:rFonts w:hint="eastAsia" w:cs="Times New Roman" w:eastAsiaTheme="minorEastAsia"/>
                <w:color w:val="auto"/>
                <w:sz w:val="21"/>
                <w:szCs w:val="21"/>
                <w:lang w:val="en-US" w:eastAsia="zh-CN"/>
              </w:rPr>
              <w:t xml:space="preserve">  搅拌</w:t>
            </w:r>
            <w:r>
              <w:rPr>
                <w:rFonts w:hint="default" w:ascii="Times New Roman" w:hAnsi="Times New Roman" w:cs="Times New Roman" w:eastAsiaTheme="minorEastAsia"/>
                <w:color w:val="auto"/>
                <w:sz w:val="21"/>
                <w:szCs w:val="21"/>
                <w:lang w:val="en-US" w:eastAsia="zh-CN"/>
              </w:rPr>
              <w:t>工序会产生N噪声；</w:t>
            </w:r>
          </w:p>
          <w:p w14:paraId="7F3E546A">
            <w:pPr>
              <w:pStyle w:val="1406"/>
              <w:snapToGrid w:val="0"/>
              <w:spacing w:before="0" w:beforeAutospacing="0" w:after="0"/>
              <w:ind w:firstLine="1050" w:firstLineChars="500"/>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成型</w:t>
            </w:r>
            <w:r>
              <w:rPr>
                <w:rFonts w:hint="default" w:ascii="Times New Roman" w:hAnsi="Times New Roman" w:cs="Times New Roman" w:eastAsiaTheme="minorEastAsia"/>
                <w:color w:val="auto"/>
                <w:sz w:val="21"/>
                <w:szCs w:val="21"/>
                <w:lang w:val="en-US" w:eastAsia="zh-CN"/>
              </w:rPr>
              <w:t>工序会产生N噪声；</w:t>
            </w:r>
          </w:p>
          <w:p w14:paraId="13C83CCA">
            <w:pPr>
              <w:pStyle w:val="1406"/>
              <w:snapToGrid w:val="0"/>
              <w:spacing w:before="0" w:beforeAutospacing="0" w:after="0"/>
              <w:ind w:firstLine="1050" w:firstLineChars="500"/>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烘干</w:t>
            </w:r>
            <w:r>
              <w:rPr>
                <w:rFonts w:hint="default" w:ascii="Times New Roman" w:hAnsi="Times New Roman" w:cs="Times New Roman" w:eastAsiaTheme="minorEastAsia"/>
                <w:color w:val="auto"/>
                <w:sz w:val="21"/>
                <w:szCs w:val="21"/>
                <w:lang w:val="en-US" w:eastAsia="zh-CN"/>
              </w:rPr>
              <w:t>工序会产生会产生N噪声；</w:t>
            </w:r>
          </w:p>
          <w:p w14:paraId="2056E659">
            <w:pPr>
              <w:pStyle w:val="1406"/>
              <w:snapToGrid w:val="0"/>
              <w:spacing w:before="0" w:beforeAutospacing="0" w:after="0"/>
              <w:ind w:firstLine="1050" w:firstLineChars="500"/>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精加工工序</w:t>
            </w:r>
            <w:r>
              <w:rPr>
                <w:rFonts w:hint="default" w:ascii="Times New Roman" w:hAnsi="Times New Roman" w:cs="Times New Roman" w:eastAsiaTheme="minorEastAsia"/>
                <w:color w:val="auto"/>
                <w:sz w:val="21"/>
                <w:szCs w:val="21"/>
                <w:lang w:val="en-US" w:eastAsia="zh-CN"/>
              </w:rPr>
              <w:t>会产生G</w:t>
            </w:r>
            <w:r>
              <w:rPr>
                <w:rFonts w:hint="eastAsia"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lang w:val="en-US" w:eastAsia="zh-CN"/>
              </w:rPr>
              <w:t>粉尘、N噪声</w:t>
            </w:r>
            <w:r>
              <w:rPr>
                <w:rFonts w:hint="eastAsia" w:cs="Times New Roman" w:eastAsiaTheme="minorEastAsia"/>
                <w:color w:val="auto"/>
                <w:sz w:val="21"/>
                <w:szCs w:val="21"/>
                <w:lang w:val="en-US" w:eastAsia="zh-CN"/>
              </w:rPr>
              <w:t>。</w:t>
            </w:r>
          </w:p>
          <w:p w14:paraId="3E39F01F">
            <w:pPr>
              <w:pStyle w:val="1406"/>
              <w:snapToGrid w:val="0"/>
              <w:spacing w:before="0" w:beforeAutospacing="0" w:after="0"/>
              <w:ind w:firstLine="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（2）废气治理</w:t>
            </w:r>
          </w:p>
          <w:p w14:paraId="02424DED">
            <w:pPr>
              <w:pStyle w:val="85"/>
              <w:ind w:left="0" w:leftChars="0"/>
              <w:rPr>
                <w:rFonts w:hint="default" w:ascii="Times New Roman" w:hAnsi="Times New Roman" w:cs="Times New Roman"/>
                <w:color w:val="auto"/>
              </w:rPr>
            </w:pPr>
            <w:r>
              <w:rPr>
                <w:rFonts w:hint="default" w:ascii="Times New Roman" w:hAnsi="Times New Roman" w:cs="Times New Roman"/>
                <w:color w:val="auto"/>
              </w:rPr>
              <w:t>本项目废气产污工序及废气治理走向图见图2-</w:t>
            </w:r>
            <w:r>
              <w:rPr>
                <w:rFonts w:hint="eastAsia" w:cs="Times New Roman"/>
                <w:color w:val="auto"/>
                <w:lang w:val="en-US" w:eastAsia="zh-CN"/>
              </w:rPr>
              <w:t>4</w:t>
            </w:r>
            <w:r>
              <w:rPr>
                <w:rFonts w:hint="default" w:ascii="Times New Roman" w:hAnsi="Times New Roman" w:cs="Times New Roman"/>
                <w:color w:val="auto"/>
              </w:rPr>
              <w:t>。</w:t>
            </w:r>
          </w:p>
          <w:p w14:paraId="40B1807C">
            <w:pPr>
              <w:pStyle w:val="85"/>
              <w:ind w:left="0" w:leftChars="0" w:firstLine="0" w:firstLineChars="0"/>
              <w:jc w:val="center"/>
              <w:rPr>
                <w:rFonts w:hint="default" w:ascii="Times New Roman" w:hAnsi="Times New Roman" w:eastAsia="黑体" w:cs="Times New Roman"/>
                <w:color w:val="auto"/>
                <w:highlight w:val="none"/>
              </w:rPr>
            </w:pPr>
          </w:p>
          <w:p w14:paraId="4A79EFBF">
            <w:pPr>
              <w:pStyle w:val="85"/>
              <w:ind w:left="0" w:leftChars="0" w:firstLine="0" w:firstLineChars="0"/>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object>
                <v:shape id="_x0000_i1028" o:spt="75" type="#_x0000_t75" style="height:37.5pt;width:387.75pt;" o:ole="t" filled="f" o:preferrelative="t" stroked="f" coordsize="21600,21600">
                  <v:path/>
                  <v:fill on="f" focussize="0,0"/>
                  <v:stroke on="f"/>
                  <v:imagedata r:id="rId13" o:title=""/>
                  <o:lock v:ext="edit" aspectratio="f"/>
                  <w10:wrap type="none"/>
                  <w10:anchorlock/>
                </v:shape>
                <o:OLEObject Type="Embed" ProgID="Visio.Drawing.15" ShapeID="_x0000_i1028" DrawAspect="Content" ObjectID="_1468075728" r:id="rId12">
                  <o:LockedField>false</o:LockedField>
                </o:OLEObject>
              </w:object>
            </w:r>
          </w:p>
          <w:p w14:paraId="344B4582">
            <w:pPr>
              <w:pStyle w:val="85"/>
              <w:ind w:left="0" w:leftChars="0" w:firstLine="0" w:firstLineChars="0"/>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图2-</w:t>
            </w:r>
            <w:r>
              <w:rPr>
                <w:rFonts w:hint="eastAsia" w:ascii="Times New Roman" w:hAnsi="Times New Roman" w:eastAsia="黑体" w:cs="Times New Roman"/>
                <w:color w:val="auto"/>
                <w:highlight w:val="none"/>
                <w:lang w:val="en-US" w:eastAsia="zh-CN"/>
              </w:rPr>
              <w:t>4</w:t>
            </w:r>
            <w:r>
              <w:rPr>
                <w:rFonts w:hint="default" w:ascii="Times New Roman" w:hAnsi="Times New Roman" w:eastAsia="黑体" w:cs="Times New Roman"/>
                <w:color w:val="auto"/>
                <w:highlight w:val="none"/>
              </w:rPr>
              <w:t>项目废气产污工序及废气治理走向图</w:t>
            </w:r>
          </w:p>
          <w:p w14:paraId="67874943">
            <w:pPr>
              <w:pStyle w:val="997"/>
              <w:spacing w:line="360" w:lineRule="auto"/>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二、主要产排污环节</w:t>
            </w:r>
          </w:p>
          <w:p w14:paraId="06CF0D96">
            <w:pPr>
              <w:pStyle w:val="997"/>
              <w:spacing w:line="360" w:lineRule="auto"/>
              <w:rPr>
                <w:rFonts w:hint="default" w:ascii="Times New Roman" w:hAnsi="Times New Roman" w:eastAsia="黑体" w:cs="Times New Roman"/>
                <w:bCs/>
                <w:color w:val="auto"/>
                <w:szCs w:val="21"/>
                <w:highlight w:val="none"/>
              </w:rPr>
            </w:pPr>
            <w:r>
              <w:rPr>
                <w:rFonts w:hint="default" w:ascii="Times New Roman" w:hAnsi="Times New Roman" w:eastAsia="黑体" w:cs="Times New Roman"/>
                <w:bCs/>
                <w:color w:val="auto"/>
                <w:szCs w:val="21"/>
              </w:rPr>
              <w:t>（1）大气污染物</w:t>
            </w:r>
          </w:p>
          <w:p w14:paraId="7A4C83D4">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本项目新增废气主要包括精加工工序产生的粉尘（G</w:t>
            </w:r>
            <w:r>
              <w:rPr>
                <w:rFonts w:hint="eastAsia"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w:t>
            </w:r>
          </w:p>
          <w:p w14:paraId="62B3E11D">
            <w:pPr>
              <w:pStyle w:val="997"/>
              <w:spacing w:line="360" w:lineRule="auto"/>
              <w:rPr>
                <w:rFonts w:hint="default" w:ascii="Times New Roman" w:hAnsi="Times New Roman" w:eastAsia="黑体" w:cs="Times New Roman"/>
                <w:bCs/>
                <w:color w:val="auto"/>
                <w:szCs w:val="21"/>
                <w:highlight w:val="none"/>
              </w:rPr>
            </w:pPr>
            <w:r>
              <w:rPr>
                <w:rFonts w:hint="default" w:ascii="Times New Roman" w:hAnsi="Times New Roman" w:eastAsia="黑体" w:cs="Times New Roman"/>
                <w:bCs/>
                <w:color w:val="auto"/>
                <w:szCs w:val="21"/>
                <w:highlight w:val="none"/>
              </w:rPr>
              <w:t>（2）废水</w:t>
            </w:r>
          </w:p>
          <w:p w14:paraId="1DEF8D87">
            <w:pPr>
              <w:tabs>
                <w:tab w:val="left" w:pos="1800"/>
              </w:tabs>
              <w:adjustRightInd w:val="0"/>
              <w:snapToGrid w:val="0"/>
              <w:spacing w:line="360" w:lineRule="auto"/>
              <w:ind w:firstLine="420" w:firstLineChars="200"/>
              <w:rPr>
                <w:rFonts w:hint="default" w:ascii="Times New Roman" w:hAnsi="Times New Roman" w:cs="Times New Roman"/>
                <w:color w:val="auto"/>
                <w:kern w:val="24"/>
                <w:szCs w:val="21"/>
                <w:highlight w:val="none"/>
              </w:rPr>
            </w:pPr>
            <w:r>
              <w:rPr>
                <w:rFonts w:hint="default" w:ascii="Times New Roman" w:hAnsi="Times New Roman" w:cs="Times New Roman"/>
                <w:color w:val="auto"/>
                <w:kern w:val="24"/>
                <w:szCs w:val="21"/>
                <w:highlight w:val="none"/>
              </w:rPr>
              <w:t>项目废水主要为员工生活产生的生活污水</w:t>
            </w:r>
            <w:r>
              <w:rPr>
                <w:rFonts w:hint="eastAsia" w:cs="Times New Roman"/>
                <w:color w:val="auto"/>
                <w:kern w:val="24"/>
                <w:szCs w:val="21"/>
                <w:highlight w:val="none"/>
                <w:lang w:eastAsia="zh-CN"/>
              </w:rPr>
              <w:t>，</w:t>
            </w:r>
            <w:r>
              <w:rPr>
                <w:rFonts w:hint="eastAsia" w:cs="Times New Roman"/>
                <w:color w:val="auto"/>
                <w:kern w:val="24"/>
                <w:szCs w:val="21"/>
                <w:highlight w:val="none"/>
                <w:lang w:val="en-US" w:eastAsia="zh-CN"/>
              </w:rPr>
              <w:t>经</w:t>
            </w:r>
            <w:r>
              <w:rPr>
                <w:rFonts w:hint="default" w:ascii="Times New Roman" w:hAnsi="Times New Roman" w:cs="Times New Roman"/>
                <w:color w:val="auto"/>
                <w:kern w:val="24"/>
                <w:szCs w:val="21"/>
                <w:highlight w:val="none"/>
              </w:rPr>
              <w:t>化粪池预处理后由环卫部门定期清运。</w:t>
            </w:r>
          </w:p>
          <w:p w14:paraId="79706917">
            <w:pPr>
              <w:pStyle w:val="997"/>
              <w:spacing w:line="360" w:lineRule="auto"/>
              <w:rPr>
                <w:rFonts w:hint="default" w:ascii="Times New Roman" w:hAnsi="Times New Roman" w:eastAsia="黑体" w:cs="Times New Roman"/>
                <w:bCs/>
                <w:color w:val="auto"/>
                <w:szCs w:val="21"/>
                <w:highlight w:val="none"/>
              </w:rPr>
            </w:pPr>
            <w:r>
              <w:rPr>
                <w:rFonts w:hint="default" w:ascii="Times New Roman" w:hAnsi="Times New Roman" w:eastAsia="黑体" w:cs="Times New Roman"/>
                <w:bCs/>
                <w:color w:val="auto"/>
                <w:szCs w:val="21"/>
                <w:highlight w:val="none"/>
              </w:rPr>
              <w:t>（3）噪声</w:t>
            </w:r>
          </w:p>
          <w:p w14:paraId="3ECD6E76">
            <w:pPr>
              <w:tabs>
                <w:tab w:val="left" w:pos="1800"/>
              </w:tabs>
              <w:adjustRightInd w:val="0"/>
              <w:snapToGrid w:val="0"/>
              <w:spacing w:line="360" w:lineRule="auto"/>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本项目噪声主要为</w:t>
            </w:r>
            <w:r>
              <w:rPr>
                <w:rFonts w:hint="eastAsia" w:cs="Times New Roman"/>
                <w:bCs/>
                <w:color w:val="auto"/>
                <w:szCs w:val="21"/>
                <w:lang w:eastAsia="zh-CN"/>
              </w:rPr>
              <w:t>打浆机、高浓除渣器、全自动成型机、真空泵、辊压机、砂光机</w:t>
            </w:r>
            <w:r>
              <w:rPr>
                <w:rFonts w:hint="default" w:ascii="Times New Roman" w:hAnsi="Times New Roman" w:cs="Times New Roman"/>
                <w:bCs/>
                <w:color w:val="auto"/>
                <w:szCs w:val="21"/>
              </w:rPr>
              <w:t>等设备运行产生的噪声，其噪声级在</w:t>
            </w:r>
            <w:r>
              <w:rPr>
                <w:rFonts w:hint="eastAsia" w:cs="Times New Roman"/>
                <w:bCs/>
                <w:color w:val="auto"/>
                <w:szCs w:val="21"/>
                <w:lang w:val="en-US" w:eastAsia="zh-CN"/>
              </w:rPr>
              <w:t>70~85</w:t>
            </w:r>
            <w:r>
              <w:rPr>
                <w:rFonts w:hint="default" w:ascii="Times New Roman" w:hAnsi="Times New Roman" w:cs="Times New Roman"/>
                <w:bCs/>
                <w:color w:val="auto"/>
                <w:szCs w:val="21"/>
              </w:rPr>
              <w:t>dB(A</w:t>
            </w:r>
            <w:r>
              <w:rPr>
                <w:rFonts w:hint="default" w:ascii="Times New Roman" w:hAnsi="Times New Roman" w:cs="Times New Roman"/>
                <w:bCs/>
                <w:color w:val="auto"/>
                <w:szCs w:val="21"/>
                <w:lang w:eastAsia="zh-CN"/>
              </w:rPr>
              <w:t>）</w:t>
            </w:r>
            <w:r>
              <w:rPr>
                <w:rFonts w:hint="default" w:ascii="Times New Roman" w:hAnsi="Times New Roman" w:cs="Times New Roman"/>
                <w:bCs/>
                <w:color w:val="auto"/>
                <w:szCs w:val="21"/>
              </w:rPr>
              <w:t>之间。</w:t>
            </w:r>
          </w:p>
          <w:p w14:paraId="1944C02E">
            <w:pPr>
              <w:pStyle w:val="997"/>
              <w:spacing w:line="360" w:lineRule="auto"/>
              <w:rPr>
                <w:rFonts w:hint="default" w:ascii="Times New Roman" w:hAnsi="Times New Roman" w:eastAsia="黑体" w:cs="Times New Roman"/>
                <w:bCs/>
                <w:color w:val="auto"/>
                <w:szCs w:val="21"/>
                <w:highlight w:val="none"/>
              </w:rPr>
            </w:pPr>
            <w:r>
              <w:rPr>
                <w:rFonts w:hint="default" w:ascii="Times New Roman" w:hAnsi="Times New Roman" w:eastAsia="黑体" w:cs="Times New Roman"/>
                <w:bCs/>
                <w:color w:val="auto"/>
                <w:szCs w:val="21"/>
              </w:rPr>
              <w:t>（4）固废</w:t>
            </w:r>
          </w:p>
          <w:p w14:paraId="2E6E8DF4">
            <w:pPr>
              <w:tabs>
                <w:tab w:val="left" w:pos="1800"/>
              </w:tabs>
              <w:adjustRightInd w:val="0"/>
              <w:snapToGrid w:val="0"/>
              <w:spacing w:line="360" w:lineRule="auto"/>
              <w:ind w:firstLine="420" w:firstLineChars="200"/>
              <w:rPr>
                <w:rFonts w:hint="default" w:ascii="Times New Roman" w:hAnsi="Times New Roman" w:cs="Times New Roman"/>
                <w:color w:val="auto"/>
                <w:highlight w:val="none"/>
                <w:lang w:eastAsia="zh-CN"/>
              </w:rPr>
            </w:pPr>
            <w:r>
              <w:rPr>
                <w:rFonts w:hint="default" w:ascii="Times New Roman" w:hAnsi="Times New Roman" w:cs="Times New Roman"/>
                <w:snapToGrid w:val="0"/>
                <w:color w:val="auto"/>
                <w:kern w:val="0"/>
                <w:highlight w:val="none"/>
              </w:rPr>
              <w:t>根据《固体废物鉴别标准通则》（GB34330-2017）第6条6.1的要求：a)任何不需要修复和加工即可用于其原始用途的物质，或者在产生点经过修复和加工后满足国家、地方制定或行业通行的产品质量标准并且用于其原始用途的物质</w:t>
            </w:r>
            <w:r>
              <w:rPr>
                <w:rFonts w:hint="eastAsia" w:cs="Times New Roman"/>
                <w:snapToGrid w:val="0"/>
                <w:color w:val="auto"/>
                <w:kern w:val="0"/>
                <w:highlight w:val="none"/>
                <w:lang w:eastAsia="zh-CN"/>
              </w:rPr>
              <w:t>；</w:t>
            </w:r>
            <w:r>
              <w:rPr>
                <w:rFonts w:hint="default" w:ascii="Times New Roman" w:hAnsi="Times New Roman" w:cs="Times New Roman"/>
                <w:snapToGrid w:val="0"/>
                <w:color w:val="auto"/>
                <w:kern w:val="0"/>
                <w:highlight w:val="none"/>
              </w:rPr>
              <w:t>b) 不经过贮存或堆积过程，而在现场直接返回到原生产过程或返回其产生过程的物质</w:t>
            </w:r>
            <w:r>
              <w:rPr>
                <w:rFonts w:hint="default" w:ascii="Times New Roman" w:hAnsi="Times New Roman" w:cs="Times New Roman"/>
                <w:color w:val="auto"/>
                <w:highlight w:val="none"/>
              </w:rPr>
              <w:t>，不作为固体废物管理。本项目</w:t>
            </w:r>
            <w:r>
              <w:rPr>
                <w:rFonts w:hint="eastAsia" w:cs="Times New Roman"/>
                <w:color w:val="auto"/>
                <w:highlight w:val="none"/>
                <w:lang w:val="en-US" w:eastAsia="zh-CN"/>
              </w:rPr>
              <w:t>除渣产生的渣球（97.5t/a）、烘干后产生的不合格品（4.5t/a）、精加工产生的边角料（18t/a）以及布袋</w:t>
            </w:r>
            <w:r>
              <w:rPr>
                <w:rFonts w:hint="default" w:ascii="Times New Roman" w:hAnsi="Times New Roman" w:cs="Times New Roman"/>
                <w:color w:val="auto"/>
                <w:highlight w:val="none"/>
              </w:rPr>
              <w:t>除尘器收尘</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0.0243</w:t>
            </w:r>
            <w:r>
              <w:rPr>
                <w:rFonts w:hint="eastAsia" w:cs="Times New Roman"/>
                <w:color w:val="auto"/>
                <w:highlight w:val="none"/>
                <w:lang w:val="en-US" w:eastAsia="zh-CN"/>
              </w:rPr>
              <w:t>t/a</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直接回用生产，所以不按固废进行管理</w:t>
            </w:r>
            <w:r>
              <w:rPr>
                <w:rFonts w:hint="eastAsia" w:cs="Times New Roman"/>
                <w:color w:val="auto"/>
                <w:highlight w:val="none"/>
                <w:lang w:eastAsia="zh-CN"/>
              </w:rPr>
              <w:t>；</w:t>
            </w:r>
            <w:r>
              <w:rPr>
                <w:rFonts w:hint="eastAsia" w:cs="Times New Roman"/>
                <w:color w:val="auto"/>
                <w:highlight w:val="none"/>
                <w:lang w:val="en-US" w:eastAsia="zh-CN"/>
              </w:rPr>
              <w:t>硅溶胶废包装桶（1500个/a）由供货厂家回收循环使用</w:t>
            </w:r>
            <w:r>
              <w:rPr>
                <w:rFonts w:hint="default" w:ascii="Times New Roman" w:hAnsi="Times New Roman" w:cs="Times New Roman"/>
                <w:color w:val="auto"/>
                <w:highlight w:val="none"/>
              </w:rPr>
              <w:t>，所以不按固废进行管理</w:t>
            </w:r>
            <w:r>
              <w:rPr>
                <w:rFonts w:hint="default" w:ascii="Times New Roman" w:hAnsi="Times New Roman" w:cs="Times New Roman"/>
                <w:color w:val="auto"/>
                <w:highlight w:val="none"/>
                <w:lang w:eastAsia="zh-CN"/>
              </w:rPr>
              <w:t>。</w:t>
            </w:r>
          </w:p>
          <w:p w14:paraId="73CDAB35">
            <w:pPr>
              <w:tabs>
                <w:tab w:val="left" w:pos="1800"/>
              </w:tabs>
              <w:adjustRightInd w:val="0"/>
              <w:snapToGrid w:val="0"/>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本项目产生的固体废物主要为</w:t>
            </w:r>
            <w:r>
              <w:rPr>
                <w:rFonts w:hint="eastAsia" w:cs="Times New Roman"/>
                <w:bCs/>
                <w:color w:val="auto"/>
                <w:szCs w:val="21"/>
                <w:highlight w:val="none"/>
                <w:lang w:val="en-US" w:eastAsia="zh-CN"/>
              </w:rPr>
              <w:t>废包装袋（S1）</w:t>
            </w:r>
            <w:r>
              <w:rPr>
                <w:rFonts w:hint="default" w:ascii="Times New Roman" w:hAnsi="Times New Roman" w:cs="Times New Roman"/>
                <w:bCs/>
                <w:color w:val="auto"/>
                <w:szCs w:val="21"/>
                <w:highlight w:val="none"/>
              </w:rPr>
              <w:t>以及生活垃圾</w:t>
            </w:r>
            <w:r>
              <w:rPr>
                <w:rFonts w:hint="default" w:ascii="Times New Roman" w:hAnsi="Times New Roman" w:cs="Times New Roman"/>
                <w:bCs/>
                <w:color w:val="auto"/>
                <w:szCs w:val="21"/>
                <w:highlight w:val="none"/>
                <w:lang w:eastAsia="zh-CN"/>
              </w:rPr>
              <w:t>（</w:t>
            </w:r>
            <w:r>
              <w:rPr>
                <w:rFonts w:hint="default" w:ascii="Times New Roman" w:hAnsi="Times New Roman" w:cs="Times New Roman"/>
                <w:bCs/>
                <w:color w:val="auto"/>
                <w:szCs w:val="21"/>
                <w:highlight w:val="none"/>
                <w:lang w:val="en-US" w:eastAsia="zh-CN"/>
              </w:rPr>
              <w:t>S</w:t>
            </w:r>
            <w:r>
              <w:rPr>
                <w:rFonts w:hint="eastAsia" w:cs="Times New Roman"/>
                <w:bCs/>
                <w:color w:val="auto"/>
                <w:szCs w:val="21"/>
                <w:highlight w:val="none"/>
                <w:lang w:val="en-US" w:eastAsia="zh-CN"/>
              </w:rPr>
              <w:t>2</w:t>
            </w:r>
            <w:r>
              <w:rPr>
                <w:rFonts w:hint="default" w:ascii="Times New Roman" w:hAnsi="Times New Roman" w:cs="Times New Roman"/>
                <w:bCs/>
                <w:color w:val="auto"/>
                <w:szCs w:val="21"/>
                <w:highlight w:val="none"/>
                <w:lang w:eastAsia="zh-CN"/>
              </w:rPr>
              <w:t>）</w:t>
            </w:r>
            <w:r>
              <w:rPr>
                <w:rFonts w:hint="default" w:ascii="Times New Roman" w:hAnsi="Times New Roman" w:cs="Times New Roman"/>
                <w:bCs/>
                <w:color w:val="auto"/>
                <w:szCs w:val="21"/>
                <w:highlight w:val="none"/>
              </w:rPr>
              <w:t>。</w:t>
            </w:r>
          </w:p>
          <w:p w14:paraId="1EAC63C9">
            <w:pPr>
              <w:ind w:firstLine="420" w:firstLineChars="200"/>
              <w:jc w:val="center"/>
              <w:rPr>
                <w:rFonts w:hint="default" w:ascii="Times New Roman" w:hAnsi="Times New Roman" w:eastAsia="黑体" w:cs="Times New Roman"/>
                <w:color w:val="auto"/>
              </w:rPr>
            </w:pPr>
            <w:r>
              <w:rPr>
                <w:rFonts w:hint="default" w:ascii="Times New Roman" w:hAnsi="Times New Roman" w:eastAsia="黑体" w:cs="Times New Roman"/>
                <w:color w:val="auto"/>
              </w:rPr>
              <w:t>表2-</w:t>
            </w:r>
            <w:r>
              <w:rPr>
                <w:rFonts w:hint="default" w:ascii="Times New Roman" w:hAnsi="Times New Roman" w:eastAsia="黑体" w:cs="Times New Roman"/>
                <w:color w:val="auto"/>
                <w:lang w:val="en-US" w:eastAsia="zh-CN"/>
              </w:rPr>
              <w:t>5</w:t>
            </w:r>
            <w:r>
              <w:rPr>
                <w:rFonts w:hint="default" w:ascii="Times New Roman" w:hAnsi="Times New Roman" w:eastAsia="黑体" w:cs="Times New Roman"/>
                <w:color w:val="auto"/>
              </w:rPr>
              <w:t>产污环节一览表</w:t>
            </w:r>
          </w:p>
          <w:tbl>
            <w:tblPr>
              <w:tblStyle w:val="8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5"/>
              <w:gridCol w:w="574"/>
              <w:gridCol w:w="3119"/>
              <w:gridCol w:w="1334"/>
              <w:gridCol w:w="3490"/>
            </w:tblGrid>
            <w:tr w14:paraId="67F4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5" w:type="dxa"/>
                  <w:vAlign w:val="center"/>
                </w:tcPr>
                <w:p w14:paraId="7A4C654B">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类别</w:t>
                  </w:r>
                </w:p>
              </w:tc>
              <w:tc>
                <w:tcPr>
                  <w:tcW w:w="3693" w:type="dxa"/>
                  <w:gridSpan w:val="2"/>
                  <w:vAlign w:val="center"/>
                </w:tcPr>
                <w:p w14:paraId="73583EB0">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产污环节</w:t>
                  </w:r>
                </w:p>
              </w:tc>
              <w:tc>
                <w:tcPr>
                  <w:tcW w:w="1334" w:type="dxa"/>
                  <w:vAlign w:val="center"/>
                </w:tcPr>
                <w:p w14:paraId="0C92503C">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污染物</w:t>
                  </w:r>
                </w:p>
              </w:tc>
              <w:tc>
                <w:tcPr>
                  <w:tcW w:w="3490" w:type="dxa"/>
                  <w:vAlign w:val="center"/>
                </w:tcPr>
                <w:p w14:paraId="794ED7CC">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治理措施</w:t>
                  </w:r>
                </w:p>
              </w:tc>
            </w:tr>
            <w:tr w14:paraId="5DA0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565" w:type="dxa"/>
                  <w:vAlign w:val="center"/>
                </w:tcPr>
                <w:p w14:paraId="34627F42">
                  <w:pPr>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废气</w:t>
                  </w:r>
                </w:p>
              </w:tc>
              <w:tc>
                <w:tcPr>
                  <w:tcW w:w="574" w:type="dxa"/>
                  <w:vAlign w:val="center"/>
                </w:tcPr>
                <w:p w14:paraId="2095AB1F">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运营期</w:t>
                  </w:r>
                </w:p>
              </w:tc>
              <w:tc>
                <w:tcPr>
                  <w:tcW w:w="3119" w:type="dxa"/>
                  <w:shd w:val="clear" w:color="auto" w:fill="auto"/>
                  <w:vAlign w:val="center"/>
                </w:tcPr>
                <w:p w14:paraId="7123B28E">
                  <w:pPr>
                    <w:jc w:val="center"/>
                    <w:rPr>
                      <w:rFonts w:hint="default" w:ascii="Times New Roman" w:hAnsi="Times New Roman" w:cs="Times New Roman" w:eastAsiaTheme="minorEastAsia"/>
                      <w:color w:val="auto"/>
                      <w:kern w:val="2"/>
                      <w:sz w:val="18"/>
                      <w:szCs w:val="18"/>
                      <w:lang w:val="en-US" w:eastAsia="zh-CN" w:bidi="ar-SA"/>
                    </w:rPr>
                  </w:pPr>
                  <w:r>
                    <w:rPr>
                      <w:rFonts w:hint="eastAsia" w:cs="Times New Roman" w:eastAsiaTheme="minorEastAsia"/>
                      <w:color w:val="auto"/>
                      <w:sz w:val="18"/>
                      <w:szCs w:val="18"/>
                      <w:lang w:val="en-US" w:eastAsia="zh-CN"/>
                    </w:rPr>
                    <w:t>精加工</w:t>
                  </w:r>
                  <w:r>
                    <w:rPr>
                      <w:rFonts w:hint="default" w:ascii="Times New Roman" w:hAnsi="Times New Roman" w:cs="Times New Roman" w:eastAsiaTheme="minorEastAsia"/>
                      <w:color w:val="auto"/>
                      <w:sz w:val="18"/>
                      <w:szCs w:val="18"/>
                      <w:lang w:val="en-US" w:eastAsia="zh-CN"/>
                    </w:rPr>
                    <w:t>工序</w:t>
                  </w:r>
                  <w:r>
                    <w:rPr>
                      <w:rFonts w:hint="default" w:ascii="Times New Roman" w:hAnsi="Times New Roman" w:cs="Times New Roman" w:eastAsiaTheme="minorEastAsia"/>
                      <w:color w:val="auto"/>
                      <w:sz w:val="18"/>
                      <w:szCs w:val="18"/>
                    </w:rPr>
                    <w:t>G</w:t>
                  </w:r>
                  <w:r>
                    <w:rPr>
                      <w:rFonts w:hint="eastAsia" w:cs="Times New Roman" w:eastAsiaTheme="minorEastAsia"/>
                      <w:color w:val="auto"/>
                      <w:sz w:val="18"/>
                      <w:szCs w:val="18"/>
                      <w:lang w:val="en-US" w:eastAsia="zh-CN"/>
                    </w:rPr>
                    <w:t>2</w:t>
                  </w:r>
                </w:p>
              </w:tc>
              <w:tc>
                <w:tcPr>
                  <w:tcW w:w="1334" w:type="dxa"/>
                  <w:shd w:val="clear" w:color="auto" w:fill="auto"/>
                  <w:vAlign w:val="center"/>
                </w:tcPr>
                <w:p w14:paraId="037D5093">
                  <w:pPr>
                    <w:jc w:val="center"/>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eastAsiaTheme="minorEastAsia"/>
                      <w:color w:val="auto"/>
                      <w:sz w:val="18"/>
                      <w:szCs w:val="18"/>
                    </w:rPr>
                    <w:t>颗粒物</w:t>
                  </w:r>
                </w:p>
              </w:tc>
              <w:tc>
                <w:tcPr>
                  <w:tcW w:w="3490" w:type="dxa"/>
                  <w:shd w:val="clear" w:color="auto" w:fill="auto"/>
                  <w:vAlign w:val="center"/>
                </w:tcPr>
                <w:p w14:paraId="2DC9B78A">
                  <w:pPr>
                    <w:jc w:val="center"/>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eastAsiaTheme="minorEastAsia"/>
                      <w:color w:val="auto"/>
                      <w:sz w:val="18"/>
                      <w:szCs w:val="18"/>
                      <w:lang w:val="en-US" w:eastAsia="zh-CN"/>
                    </w:rPr>
                    <w:t>集气罩收集，布袋除尘器处理后</w:t>
                  </w:r>
                  <w:r>
                    <w:rPr>
                      <w:rFonts w:hint="eastAsia" w:cs="Times New Roman" w:eastAsiaTheme="minorEastAsia"/>
                      <w:color w:val="auto"/>
                      <w:sz w:val="18"/>
                      <w:szCs w:val="18"/>
                      <w:lang w:val="en-US" w:eastAsia="zh-CN"/>
                    </w:rPr>
                    <w:t>无组织排放</w:t>
                  </w:r>
                </w:p>
              </w:tc>
            </w:tr>
            <w:tr w14:paraId="69C2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5" w:type="dxa"/>
                  <w:vAlign w:val="center"/>
                </w:tcPr>
                <w:p w14:paraId="37E0D3D2">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废水</w:t>
                  </w:r>
                </w:p>
              </w:tc>
              <w:tc>
                <w:tcPr>
                  <w:tcW w:w="574" w:type="dxa"/>
                  <w:vAlign w:val="center"/>
                </w:tcPr>
                <w:p w14:paraId="44FE0151">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运营期</w:t>
                  </w:r>
                </w:p>
              </w:tc>
              <w:tc>
                <w:tcPr>
                  <w:tcW w:w="3119" w:type="dxa"/>
                  <w:vAlign w:val="center"/>
                </w:tcPr>
                <w:p w14:paraId="0BD9EA9C">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生活污水</w:t>
                  </w:r>
                </w:p>
              </w:tc>
              <w:tc>
                <w:tcPr>
                  <w:tcW w:w="1334" w:type="dxa"/>
                  <w:vAlign w:val="center"/>
                </w:tcPr>
                <w:p w14:paraId="52B3FD26">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COD、BOD</w:t>
                  </w:r>
                  <w:r>
                    <w:rPr>
                      <w:rFonts w:hint="default" w:ascii="Times New Roman" w:hAnsi="Times New Roman" w:cs="Times New Roman" w:eastAsiaTheme="minorEastAsia"/>
                      <w:color w:val="auto"/>
                      <w:sz w:val="18"/>
                      <w:szCs w:val="18"/>
                      <w:vertAlign w:val="subscript"/>
                    </w:rPr>
                    <w:t>5</w:t>
                  </w:r>
                  <w:r>
                    <w:rPr>
                      <w:rFonts w:hint="default" w:ascii="Times New Roman" w:hAnsi="Times New Roman" w:cs="Times New Roman" w:eastAsiaTheme="minorEastAsia"/>
                      <w:color w:val="auto"/>
                      <w:sz w:val="18"/>
                      <w:szCs w:val="18"/>
                    </w:rPr>
                    <w:t>、氨氮、总磷、SS</w:t>
                  </w:r>
                </w:p>
              </w:tc>
              <w:tc>
                <w:tcPr>
                  <w:tcW w:w="3490" w:type="dxa"/>
                  <w:vAlign w:val="center"/>
                </w:tcPr>
                <w:p w14:paraId="4353AD87">
                  <w:pPr>
                    <w:jc w:val="center"/>
                    <w:rPr>
                      <w:rFonts w:hint="eastAsia" w:ascii="Times New Roman" w:hAnsi="Times New Roman" w:cs="Times New Roman" w:eastAsiaTheme="minorEastAsia"/>
                      <w:color w:val="auto"/>
                      <w:sz w:val="18"/>
                      <w:szCs w:val="18"/>
                      <w:lang w:eastAsia="zh-CN"/>
                    </w:rPr>
                  </w:pPr>
                  <w:r>
                    <w:rPr>
                      <w:rFonts w:hint="eastAsia" w:cs="Times New Roman" w:eastAsiaTheme="minorEastAsia"/>
                      <w:color w:val="auto"/>
                      <w:sz w:val="18"/>
                      <w:szCs w:val="18"/>
                      <w:lang w:eastAsia="zh-CN"/>
                    </w:rPr>
                    <w:t>生活污水经化粪池处理后由环卫部门定期清运</w:t>
                  </w:r>
                </w:p>
              </w:tc>
            </w:tr>
            <w:tr w14:paraId="17C2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5" w:type="dxa"/>
                  <w:vMerge w:val="restart"/>
                  <w:vAlign w:val="center"/>
                </w:tcPr>
                <w:p w14:paraId="6972A13C">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固废</w:t>
                  </w:r>
                </w:p>
              </w:tc>
              <w:tc>
                <w:tcPr>
                  <w:tcW w:w="574" w:type="dxa"/>
                  <w:vMerge w:val="restart"/>
                  <w:vAlign w:val="center"/>
                </w:tcPr>
                <w:p w14:paraId="3F0B7C26">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运营期</w:t>
                  </w:r>
                </w:p>
              </w:tc>
              <w:tc>
                <w:tcPr>
                  <w:tcW w:w="3119" w:type="dxa"/>
                  <w:shd w:val="clear" w:color="auto" w:fill="auto"/>
                  <w:vAlign w:val="center"/>
                </w:tcPr>
                <w:p w14:paraId="21B978A5">
                  <w:pPr>
                    <w:jc w:val="center"/>
                    <w:rPr>
                      <w:rFonts w:hint="default" w:ascii="Times New Roman" w:hAnsi="Times New Roman" w:cs="Times New Roman" w:eastAsiaTheme="minorEastAsia"/>
                      <w:bCs/>
                      <w:color w:val="auto"/>
                      <w:kern w:val="2"/>
                      <w:sz w:val="18"/>
                      <w:szCs w:val="18"/>
                      <w:lang w:val="en-US" w:eastAsia="zh-CN" w:bidi="ar-SA"/>
                    </w:rPr>
                  </w:pPr>
                  <w:r>
                    <w:rPr>
                      <w:rFonts w:hint="default" w:ascii="Times New Roman" w:hAnsi="Times New Roman" w:cs="Times New Roman" w:eastAsiaTheme="minorEastAsia"/>
                      <w:bCs/>
                      <w:color w:val="auto"/>
                      <w:sz w:val="18"/>
                      <w:szCs w:val="18"/>
                    </w:rPr>
                    <w:t>废包装袋</w:t>
                  </w:r>
                  <w:r>
                    <w:rPr>
                      <w:rFonts w:hint="eastAsia" w:cs="Times New Roman" w:eastAsiaTheme="minorEastAsia"/>
                      <w:bCs/>
                      <w:color w:val="auto"/>
                      <w:sz w:val="18"/>
                      <w:szCs w:val="18"/>
                      <w:lang w:val="en-US" w:eastAsia="zh-CN"/>
                    </w:rPr>
                    <w:t>S1</w:t>
                  </w:r>
                </w:p>
              </w:tc>
              <w:tc>
                <w:tcPr>
                  <w:tcW w:w="1334" w:type="dxa"/>
                  <w:shd w:val="clear" w:color="auto" w:fill="auto"/>
                  <w:vAlign w:val="center"/>
                </w:tcPr>
                <w:p w14:paraId="7F95D943">
                  <w:pPr>
                    <w:jc w:val="center"/>
                    <w:rPr>
                      <w:rFonts w:hint="default" w:ascii="Times New Roman" w:hAnsi="Times New Roman" w:cs="Times New Roman" w:eastAsiaTheme="minorEastAsia"/>
                      <w:bCs/>
                      <w:color w:val="auto"/>
                      <w:kern w:val="2"/>
                      <w:sz w:val="18"/>
                      <w:szCs w:val="18"/>
                      <w:lang w:val="en-US" w:eastAsia="zh-CN" w:bidi="ar-SA"/>
                    </w:rPr>
                  </w:pPr>
                  <w:r>
                    <w:rPr>
                      <w:rFonts w:hint="eastAsia" w:cs="Times New Roman" w:eastAsiaTheme="minorEastAsia"/>
                      <w:bCs/>
                      <w:color w:val="auto"/>
                      <w:sz w:val="18"/>
                      <w:szCs w:val="18"/>
                      <w:lang w:val="en-US" w:eastAsia="zh-CN"/>
                    </w:rPr>
                    <w:t>沾染纤维棉</w:t>
                  </w:r>
                </w:p>
              </w:tc>
              <w:tc>
                <w:tcPr>
                  <w:tcW w:w="3490" w:type="dxa"/>
                  <w:shd w:val="clear" w:color="auto" w:fill="auto"/>
                  <w:vAlign w:val="center"/>
                </w:tcPr>
                <w:p w14:paraId="39411F06">
                  <w:pPr>
                    <w:jc w:val="center"/>
                    <w:rPr>
                      <w:rFonts w:hint="default" w:ascii="Times New Roman" w:hAnsi="Times New Roman" w:cs="Times New Roman" w:eastAsiaTheme="minorEastAsia"/>
                      <w:bCs/>
                      <w:color w:val="auto"/>
                      <w:kern w:val="2"/>
                      <w:sz w:val="18"/>
                      <w:szCs w:val="18"/>
                      <w:lang w:val="en-US" w:eastAsia="zh-CN" w:bidi="ar-SA"/>
                    </w:rPr>
                  </w:pPr>
                  <w:r>
                    <w:rPr>
                      <w:rFonts w:hint="eastAsia" w:cs="Times New Roman" w:eastAsiaTheme="minorEastAsia"/>
                      <w:bCs/>
                      <w:color w:val="auto"/>
                      <w:sz w:val="18"/>
                      <w:szCs w:val="18"/>
                      <w:lang w:val="en-US" w:eastAsia="zh-CN"/>
                    </w:rPr>
                    <w:t>暂存在一般固废暂存处，定期外卖</w:t>
                  </w:r>
                </w:p>
              </w:tc>
            </w:tr>
            <w:tr w14:paraId="1F09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5" w:type="dxa"/>
                  <w:vMerge w:val="continue"/>
                  <w:vAlign w:val="center"/>
                </w:tcPr>
                <w:p w14:paraId="38116D00">
                  <w:pPr>
                    <w:jc w:val="center"/>
                    <w:rPr>
                      <w:rFonts w:hint="default" w:ascii="Times New Roman" w:hAnsi="Times New Roman" w:cs="Times New Roman" w:eastAsiaTheme="minorEastAsia"/>
                      <w:color w:val="auto"/>
                      <w:sz w:val="18"/>
                      <w:szCs w:val="18"/>
                    </w:rPr>
                  </w:pPr>
                </w:p>
              </w:tc>
              <w:tc>
                <w:tcPr>
                  <w:tcW w:w="574" w:type="dxa"/>
                  <w:vMerge w:val="continue"/>
                  <w:vAlign w:val="center"/>
                </w:tcPr>
                <w:p w14:paraId="214B9BE7">
                  <w:pPr>
                    <w:jc w:val="center"/>
                    <w:rPr>
                      <w:rFonts w:hint="default" w:ascii="Times New Roman" w:hAnsi="Times New Roman" w:cs="Times New Roman" w:eastAsiaTheme="minorEastAsia"/>
                      <w:color w:val="auto"/>
                      <w:sz w:val="18"/>
                      <w:szCs w:val="18"/>
                    </w:rPr>
                  </w:pPr>
                </w:p>
              </w:tc>
              <w:tc>
                <w:tcPr>
                  <w:tcW w:w="3119" w:type="dxa"/>
                  <w:vAlign w:val="center"/>
                </w:tcPr>
                <w:p w14:paraId="6A13064D">
                  <w:pPr>
                    <w:jc w:val="center"/>
                    <w:rPr>
                      <w:rFonts w:hint="default" w:ascii="Times New Roman" w:hAnsi="Times New Roman" w:cs="Times New Roman" w:eastAsiaTheme="minorEastAsia"/>
                      <w:bCs/>
                      <w:color w:val="auto"/>
                      <w:kern w:val="2"/>
                      <w:sz w:val="18"/>
                      <w:szCs w:val="18"/>
                      <w:lang w:val="en-US" w:eastAsia="zh-CN" w:bidi="ar-SA"/>
                    </w:rPr>
                  </w:pPr>
                  <w:r>
                    <w:rPr>
                      <w:rFonts w:hint="default" w:ascii="Times New Roman" w:hAnsi="Times New Roman" w:cs="Times New Roman" w:eastAsiaTheme="minorEastAsia"/>
                      <w:bCs/>
                      <w:color w:val="auto"/>
                      <w:sz w:val="18"/>
                      <w:szCs w:val="18"/>
                    </w:rPr>
                    <w:t>生活垃圾S</w:t>
                  </w:r>
                  <w:r>
                    <w:rPr>
                      <w:rFonts w:hint="eastAsia" w:cs="Times New Roman" w:eastAsiaTheme="minorEastAsia"/>
                      <w:bCs/>
                      <w:color w:val="auto"/>
                      <w:sz w:val="18"/>
                      <w:szCs w:val="18"/>
                      <w:lang w:val="en-US" w:eastAsia="zh-CN"/>
                    </w:rPr>
                    <w:t>2</w:t>
                  </w:r>
                </w:p>
              </w:tc>
              <w:tc>
                <w:tcPr>
                  <w:tcW w:w="1334" w:type="dxa"/>
                  <w:vAlign w:val="center"/>
                </w:tcPr>
                <w:p w14:paraId="41436646">
                  <w:pPr>
                    <w:jc w:val="center"/>
                    <w:rPr>
                      <w:rFonts w:hint="default" w:ascii="Times New Roman" w:hAnsi="Times New Roman" w:cs="Times New Roman" w:eastAsiaTheme="minorEastAsia"/>
                      <w:bCs/>
                      <w:color w:val="auto"/>
                      <w:kern w:val="2"/>
                      <w:sz w:val="18"/>
                      <w:szCs w:val="18"/>
                      <w:lang w:val="en-US" w:eastAsia="zh-CN" w:bidi="ar-SA"/>
                    </w:rPr>
                  </w:pPr>
                  <w:r>
                    <w:rPr>
                      <w:rFonts w:hint="eastAsia" w:cs="Times New Roman" w:eastAsiaTheme="minorEastAsia"/>
                      <w:bCs/>
                      <w:color w:val="auto"/>
                      <w:kern w:val="2"/>
                      <w:sz w:val="18"/>
                      <w:szCs w:val="18"/>
                      <w:lang w:val="en-US" w:eastAsia="zh-CN" w:bidi="ar-SA"/>
                    </w:rPr>
                    <w:t>果皮纸屑等</w:t>
                  </w:r>
                </w:p>
              </w:tc>
              <w:tc>
                <w:tcPr>
                  <w:tcW w:w="3490" w:type="dxa"/>
                  <w:vAlign w:val="center"/>
                </w:tcPr>
                <w:p w14:paraId="2144C324">
                  <w:pPr>
                    <w:jc w:val="center"/>
                    <w:rPr>
                      <w:rFonts w:hint="default" w:ascii="Times New Roman" w:hAnsi="Times New Roman" w:cs="Times New Roman" w:eastAsiaTheme="minorEastAsia"/>
                      <w:bCs/>
                      <w:color w:val="auto"/>
                      <w:kern w:val="2"/>
                      <w:sz w:val="18"/>
                      <w:szCs w:val="18"/>
                      <w:lang w:val="en-US" w:eastAsia="zh-CN" w:bidi="ar-SA"/>
                    </w:rPr>
                  </w:pPr>
                  <w:r>
                    <w:rPr>
                      <w:rFonts w:hint="default" w:ascii="Times New Roman" w:hAnsi="Times New Roman" w:cs="Times New Roman" w:eastAsiaTheme="minorEastAsia"/>
                      <w:bCs/>
                      <w:color w:val="auto"/>
                      <w:sz w:val="18"/>
                      <w:szCs w:val="18"/>
                    </w:rPr>
                    <w:t>由环卫定期清运</w:t>
                  </w:r>
                </w:p>
              </w:tc>
            </w:tr>
            <w:tr w14:paraId="78B2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5" w:type="dxa"/>
                  <w:vAlign w:val="center"/>
                </w:tcPr>
                <w:p w14:paraId="389D33BC">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噪声</w:t>
                  </w:r>
                </w:p>
              </w:tc>
              <w:tc>
                <w:tcPr>
                  <w:tcW w:w="574" w:type="dxa"/>
                  <w:vAlign w:val="center"/>
                </w:tcPr>
                <w:p w14:paraId="1A023F45">
                  <w:pPr>
                    <w:jc w:val="center"/>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eastAsiaTheme="minorEastAsia"/>
                      <w:color w:val="auto"/>
                      <w:sz w:val="18"/>
                      <w:szCs w:val="18"/>
                    </w:rPr>
                    <w:t>运营期</w:t>
                  </w:r>
                </w:p>
              </w:tc>
              <w:tc>
                <w:tcPr>
                  <w:tcW w:w="3119" w:type="dxa"/>
                  <w:vAlign w:val="center"/>
                </w:tcPr>
                <w:p w14:paraId="70CDF9AB">
                  <w:pPr>
                    <w:jc w:val="center"/>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eastAsiaTheme="minorEastAsia"/>
                      <w:color w:val="auto"/>
                      <w:sz w:val="18"/>
                      <w:szCs w:val="18"/>
                    </w:rPr>
                    <w:t>生产设备及风机运行噪声（N）</w:t>
                  </w:r>
                </w:p>
              </w:tc>
              <w:tc>
                <w:tcPr>
                  <w:tcW w:w="1334" w:type="dxa"/>
                  <w:vAlign w:val="center"/>
                </w:tcPr>
                <w:p w14:paraId="4775C86D">
                  <w:pPr>
                    <w:jc w:val="center"/>
                    <w:rPr>
                      <w:rFonts w:hint="default" w:ascii="Times New Roman" w:hAnsi="Times New Roman" w:cs="Times New Roman" w:eastAsiaTheme="minorEastAsia"/>
                      <w:bCs/>
                      <w:color w:val="auto"/>
                      <w:kern w:val="2"/>
                      <w:sz w:val="18"/>
                      <w:szCs w:val="18"/>
                      <w:lang w:val="en-US" w:eastAsia="zh-CN" w:bidi="ar-SA"/>
                    </w:rPr>
                  </w:pPr>
                  <w:r>
                    <w:rPr>
                      <w:rFonts w:hint="default" w:ascii="Times New Roman" w:hAnsi="Times New Roman" w:cs="Times New Roman" w:eastAsiaTheme="minorEastAsia"/>
                      <w:bCs/>
                      <w:color w:val="auto"/>
                      <w:sz w:val="18"/>
                      <w:szCs w:val="18"/>
                    </w:rPr>
                    <w:t>噪声</w:t>
                  </w:r>
                </w:p>
              </w:tc>
              <w:tc>
                <w:tcPr>
                  <w:tcW w:w="3490" w:type="dxa"/>
                  <w:vAlign w:val="center"/>
                </w:tcPr>
                <w:p w14:paraId="12726022">
                  <w:pPr>
                    <w:jc w:val="center"/>
                    <w:rPr>
                      <w:rFonts w:hint="default" w:ascii="Times New Roman" w:hAnsi="Times New Roman" w:cs="Times New Roman" w:eastAsiaTheme="minorEastAsia"/>
                      <w:bCs/>
                      <w:color w:val="auto"/>
                      <w:kern w:val="2"/>
                      <w:sz w:val="18"/>
                      <w:szCs w:val="18"/>
                      <w:lang w:val="en-US" w:eastAsia="zh-CN" w:bidi="ar-SA"/>
                    </w:rPr>
                  </w:pPr>
                  <w:r>
                    <w:rPr>
                      <w:rFonts w:hint="default" w:ascii="Times New Roman" w:hAnsi="Times New Roman" w:cs="Times New Roman" w:eastAsiaTheme="minorEastAsia"/>
                      <w:bCs/>
                      <w:color w:val="auto"/>
                      <w:sz w:val="18"/>
                      <w:szCs w:val="18"/>
                    </w:rPr>
                    <w:t>隔声、减振、消声</w:t>
                  </w:r>
                </w:p>
              </w:tc>
            </w:tr>
          </w:tbl>
          <w:p w14:paraId="552C83F1">
            <w:pPr>
              <w:spacing w:line="360" w:lineRule="auto"/>
              <w:rPr>
                <w:rFonts w:hint="eastAsia" w:cs="Times New Roman"/>
                <w:color w:val="FF0000"/>
                <w:szCs w:val="21"/>
                <w:lang w:eastAsia="zh-CN"/>
              </w:rPr>
            </w:pPr>
          </w:p>
          <w:p w14:paraId="34DD4DCA">
            <w:pPr>
              <w:spacing w:line="360" w:lineRule="auto"/>
              <w:rPr>
                <w:rFonts w:hint="eastAsia" w:cs="Times New Roman"/>
                <w:color w:val="FF0000"/>
                <w:szCs w:val="21"/>
                <w:lang w:eastAsia="zh-CN"/>
              </w:rPr>
            </w:pPr>
          </w:p>
          <w:p w14:paraId="3539E592">
            <w:pPr>
              <w:spacing w:line="360" w:lineRule="auto"/>
              <w:rPr>
                <w:rFonts w:hint="eastAsia" w:cs="Times New Roman"/>
                <w:color w:val="FF0000"/>
                <w:szCs w:val="21"/>
                <w:lang w:eastAsia="zh-CN"/>
              </w:rPr>
            </w:pPr>
          </w:p>
          <w:p w14:paraId="6B7ED087">
            <w:pPr>
              <w:spacing w:line="360" w:lineRule="auto"/>
              <w:rPr>
                <w:rFonts w:hint="default" w:ascii="Times New Roman" w:hAnsi="Times New Roman" w:eastAsia="宋体" w:cs="Times New Roman"/>
                <w:color w:val="FF0000"/>
                <w:szCs w:val="21"/>
                <w:lang w:eastAsia="zh-CN"/>
              </w:rPr>
            </w:pPr>
          </w:p>
        </w:tc>
      </w:tr>
      <w:tr w14:paraId="76609E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dxa"/>
            <w:tcBorders>
              <w:bottom w:val="single" w:color="auto" w:sz="8" w:space="0"/>
            </w:tcBorders>
            <w:vAlign w:val="center"/>
          </w:tcPr>
          <w:p w14:paraId="29AA1E6A">
            <w:pPr>
              <w:pStyle w:val="80"/>
              <w:adjustRightInd w:val="0"/>
              <w:snapToGrid w:val="0"/>
              <w:spacing w:before="0" w:beforeAutospacing="0" w:after="0" w:afterAutospacing="0" w:line="360" w:lineRule="auto"/>
              <w:rPr>
                <w:rFonts w:hint="default" w:ascii="Times New Roman" w:hAnsi="Times New Roman" w:cs="Times New Roman"/>
                <w:color w:val="FF0000"/>
                <w:sz w:val="21"/>
                <w:szCs w:val="21"/>
              </w:rPr>
            </w:pPr>
            <w:r>
              <w:rPr>
                <w:rFonts w:hint="default" w:ascii="Times New Roman" w:hAnsi="Times New Roman" w:cs="Times New Roman"/>
                <w:bCs/>
                <w:color w:val="auto"/>
                <w:kern w:val="2"/>
                <w:sz w:val="21"/>
                <w:szCs w:val="21"/>
              </w:rPr>
              <w:t>与项目有关的原有环境污染问题</w:t>
            </w:r>
          </w:p>
        </w:tc>
        <w:tc>
          <w:tcPr>
            <w:tcW w:w="9308" w:type="dxa"/>
            <w:tcBorders>
              <w:bottom w:val="single" w:color="auto" w:sz="8" w:space="0"/>
            </w:tcBorders>
          </w:tcPr>
          <w:p w14:paraId="342E8236">
            <w:pPr>
              <w:pStyle w:val="997"/>
              <w:spacing w:line="360" w:lineRule="auto"/>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一、环境影响评价及竣工环境保护验收情况</w:t>
            </w:r>
          </w:p>
          <w:p w14:paraId="24DF6C54">
            <w:pPr>
              <w:spacing w:line="360" w:lineRule="auto"/>
              <w:ind w:firstLine="420" w:firstLineChars="200"/>
              <w:rPr>
                <w:rFonts w:hint="default" w:ascii="Times New Roman" w:hAnsi="Times New Roman" w:cs="Times New Roman"/>
                <w:color w:val="auto"/>
                <w:highlight w:val="none"/>
              </w:rPr>
            </w:pPr>
            <w:r>
              <w:rPr>
                <w:rFonts w:hint="eastAsia" w:ascii="Times New Roman" w:hAnsi="Times New Roman" w:cs="Times New Roman" w:eastAsiaTheme="minorEastAsia"/>
                <w:color w:val="auto"/>
                <w:lang w:eastAsia="zh-CN"/>
              </w:rPr>
              <w:t>淄博宝路保温材料有限公司</w:t>
            </w:r>
            <w:r>
              <w:rPr>
                <w:rFonts w:hint="default" w:ascii="Times New Roman" w:hAnsi="Times New Roman" w:cs="Times New Roman" w:eastAsiaTheme="minorEastAsia"/>
                <w:color w:val="auto"/>
              </w:rPr>
              <w:t>成立于201</w:t>
            </w:r>
            <w:r>
              <w:rPr>
                <w:rFonts w:hint="eastAsia" w:ascii="Times New Roman" w:hAnsi="Times New Roman" w:cs="Times New Roman" w:eastAsiaTheme="minorEastAsia"/>
                <w:color w:val="auto"/>
                <w:lang w:val="en-US" w:eastAsia="zh-CN"/>
              </w:rPr>
              <w:t>4</w:t>
            </w:r>
            <w:r>
              <w:rPr>
                <w:rFonts w:hint="default" w:ascii="Times New Roman" w:hAnsi="Times New Roman" w:cs="Times New Roman" w:eastAsiaTheme="minorEastAsia"/>
                <w:color w:val="auto"/>
              </w:rPr>
              <w:t>年</w:t>
            </w:r>
            <w:r>
              <w:rPr>
                <w:rFonts w:hint="eastAsia" w:ascii="Times New Roman" w:hAnsi="Times New Roman" w:cs="Times New Roman" w:eastAsiaTheme="minorEastAsia"/>
                <w:color w:val="auto"/>
                <w:lang w:val="en-US" w:eastAsia="zh-CN"/>
              </w:rPr>
              <w:t>4月15日</w:t>
            </w:r>
            <w:r>
              <w:rPr>
                <w:rFonts w:hint="default" w:ascii="Times New Roman" w:hAnsi="Times New Roman" w:cs="Times New Roman" w:eastAsiaTheme="minorEastAsia"/>
                <w:color w:val="auto"/>
              </w:rPr>
              <w:t>，注册地址山东省淄博市</w:t>
            </w:r>
            <w:r>
              <w:rPr>
                <w:rFonts w:hint="eastAsia" w:ascii="Times New Roman" w:hAnsi="Times New Roman" w:cs="Times New Roman" w:eastAsiaTheme="minorEastAsia"/>
                <w:color w:val="auto"/>
                <w:lang w:eastAsia="zh-CN"/>
              </w:rPr>
              <w:t>淄川区昆仑镇兴隆村</w:t>
            </w:r>
            <w:r>
              <w:rPr>
                <w:rFonts w:hint="default" w:ascii="Times New Roman" w:hAnsi="Times New Roman" w:cs="Times New Roman" w:eastAsiaTheme="minorEastAsia"/>
                <w:color w:val="auto"/>
              </w:rPr>
              <w:t>，该</w:t>
            </w:r>
            <w:r>
              <w:rPr>
                <w:rFonts w:hint="eastAsia" w:ascii="Times New Roman" w:hAnsi="Times New Roman" w:cs="Times New Roman" w:eastAsiaTheme="minorEastAsia"/>
                <w:color w:val="auto"/>
                <w:lang w:val="en-US" w:eastAsia="zh-CN"/>
              </w:rPr>
              <w:t>公司现有“年产200吨陶瓷纤维制品项目”于2014年5月建成投产，投产时未办理环评手续，原淄博市环境保护局淄川分局对淄博宝路保温材料有限公司进行处罚，并要求补办环评手续。淄博宝路保温材料有限公司2016年12月委托编制了</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eastAsia="zh-CN"/>
              </w:rPr>
              <w:t>淄博宝路保温材料有限公司年产200吨陶瓷纤维制品项目</w:t>
            </w:r>
            <w:r>
              <w:rPr>
                <w:rFonts w:hint="default" w:ascii="Times New Roman" w:hAnsi="Times New Roman" w:cs="Times New Roman" w:eastAsiaTheme="minorEastAsia"/>
                <w:color w:val="auto"/>
              </w:rPr>
              <w:t>环境影响报告</w:t>
            </w:r>
            <w:r>
              <w:rPr>
                <w:rFonts w:hint="default" w:ascii="Times New Roman" w:hAnsi="Times New Roman" w:cs="Times New Roman" w:eastAsiaTheme="minorEastAsia"/>
                <w:color w:val="auto"/>
                <w:highlight w:val="none"/>
              </w:rPr>
              <w:t>表</w:t>
            </w:r>
            <w:r>
              <w:rPr>
                <w:rFonts w:hint="eastAsia" w:ascii="Times New Roman" w:hAnsi="Times New Roman" w:cs="Times New Roman" w:eastAsiaTheme="minorEastAsia"/>
                <w:color w:val="auto"/>
                <w:highlight w:val="none"/>
                <w:lang w:eastAsia="zh-CN"/>
              </w:rPr>
              <w:t>（</w:t>
            </w:r>
            <w:r>
              <w:rPr>
                <w:rFonts w:hint="eastAsia" w:ascii="Times New Roman" w:hAnsi="Times New Roman" w:cs="Times New Roman" w:eastAsiaTheme="minorEastAsia"/>
                <w:color w:val="auto"/>
                <w:highlight w:val="none"/>
                <w:lang w:val="en-US" w:eastAsia="zh-CN"/>
              </w:rPr>
              <w:t>现状评价</w:t>
            </w:r>
            <w:r>
              <w:rPr>
                <w:rFonts w:hint="eastAsia" w:ascii="Times New Roman" w:hAnsi="Times New Roman" w:cs="Times New Roman" w:eastAsiaTheme="minorEastAsia"/>
                <w:color w:val="auto"/>
                <w:highlight w:val="none"/>
                <w:lang w:eastAsia="zh-CN"/>
              </w:rPr>
              <w:t>）</w:t>
            </w:r>
            <w:r>
              <w:rPr>
                <w:rFonts w:hint="default" w:ascii="Times New Roman" w:hAnsi="Times New Roman" w:cs="Times New Roman" w:eastAsiaTheme="minorEastAsia"/>
                <w:color w:val="auto"/>
                <w:highlight w:val="none"/>
              </w:rPr>
              <w:t>》</w:t>
            </w:r>
            <w:r>
              <w:rPr>
                <w:rFonts w:hint="eastAsia" w:ascii="Times New Roman" w:hAnsi="Times New Roman" w:cs="Times New Roman" w:eastAsiaTheme="minorEastAsia"/>
                <w:color w:val="auto"/>
                <w:highlight w:val="none"/>
                <w:lang w:eastAsia="zh-CN"/>
              </w:rPr>
              <w:t>，</w:t>
            </w:r>
            <w:r>
              <w:rPr>
                <w:rFonts w:hint="eastAsia" w:cs="Times New Roman" w:eastAsiaTheme="minorEastAsia"/>
                <w:color w:val="auto"/>
                <w:highlight w:val="none"/>
                <w:lang w:eastAsia="zh-CN"/>
              </w:rPr>
              <w:t>2016年12月29日</w:t>
            </w:r>
            <w:r>
              <w:rPr>
                <w:rFonts w:hint="eastAsia" w:ascii="Times New Roman" w:hAnsi="Times New Roman" w:cs="Times New Roman" w:eastAsiaTheme="minorEastAsia"/>
                <w:color w:val="auto"/>
                <w:highlight w:val="none"/>
                <w:lang w:val="en-US" w:eastAsia="zh-CN"/>
              </w:rPr>
              <w:t>取得</w:t>
            </w:r>
            <w:r>
              <w:rPr>
                <w:rFonts w:hint="default" w:ascii="Times New Roman" w:hAnsi="Times New Roman" w:cs="Times New Roman" w:eastAsiaTheme="minorEastAsia"/>
                <w:color w:val="auto"/>
                <w:highlight w:val="none"/>
              </w:rPr>
              <w:t>淄博市生态环境局淄川分局</w:t>
            </w:r>
            <w:r>
              <w:rPr>
                <w:rFonts w:hint="eastAsia" w:ascii="Times New Roman" w:hAnsi="Times New Roman" w:cs="Times New Roman" w:eastAsiaTheme="minorEastAsia"/>
                <w:color w:val="auto"/>
                <w:highlight w:val="none"/>
                <w:lang w:val="en-US" w:eastAsia="zh-CN"/>
              </w:rPr>
              <w:t>的备案意见</w:t>
            </w:r>
            <w:r>
              <w:rPr>
                <w:rFonts w:hint="default" w:ascii="Times New Roman" w:hAnsi="Times New Roman" w:cs="Times New Roman" w:eastAsiaTheme="minorEastAsia"/>
                <w:color w:val="auto"/>
                <w:highlight w:val="none"/>
              </w:rPr>
              <w:t>（</w:t>
            </w:r>
            <w:r>
              <w:rPr>
                <w:rFonts w:hint="eastAsia" w:cs="Times New Roman" w:eastAsiaTheme="minorEastAsia"/>
                <w:color w:val="auto"/>
                <w:highlight w:val="none"/>
                <w:lang w:eastAsia="zh-CN"/>
              </w:rPr>
              <w:t>川环许可[2016]219号</w:t>
            </w:r>
            <w:r>
              <w:rPr>
                <w:rFonts w:hint="default" w:ascii="Times New Roman" w:hAnsi="Times New Roman" w:cs="Times New Roman" w:eastAsiaTheme="minorEastAsia"/>
                <w:color w:val="auto"/>
                <w:highlight w:val="none"/>
              </w:rPr>
              <w:t>）</w:t>
            </w:r>
            <w:r>
              <w:rPr>
                <w:rFonts w:hint="eastAsia" w:cs="Times New Roman" w:eastAsiaTheme="minorEastAsia"/>
                <w:color w:val="auto"/>
                <w:highlight w:val="none"/>
                <w:lang w:eastAsia="zh-CN"/>
              </w:rPr>
              <w:t>，</w:t>
            </w:r>
            <w:r>
              <w:rPr>
                <w:rFonts w:hint="eastAsia" w:cs="Times New Roman" w:eastAsiaTheme="minorEastAsia"/>
                <w:color w:val="auto"/>
                <w:highlight w:val="none"/>
                <w:lang w:val="en-US" w:eastAsia="zh-CN"/>
              </w:rPr>
              <w:t>2019年6月25日完成《24m电炉安装UV光氧废气净化器环保治理设施环境影响登记表》，备案号：201937030200000409。应环保政策要求，企业于2021年将UV光氧废气净化器环保治理设施改为二级活性炭吸附装置，根据山东省建设项目环境影响评价豁免管理名录（2020年本）可知，属于豁免项目，无需进行环境影响评价</w:t>
            </w:r>
            <w:r>
              <w:rPr>
                <w:rFonts w:hint="default" w:ascii="Times New Roman" w:hAnsi="Times New Roman" w:cs="Times New Roman" w:eastAsiaTheme="minorEastAsia"/>
                <w:color w:val="auto"/>
                <w:highlight w:val="none"/>
              </w:rPr>
              <w:t>。</w:t>
            </w:r>
          </w:p>
          <w:p w14:paraId="38FC616C">
            <w:pPr>
              <w:pStyle w:val="997"/>
              <w:spacing w:line="360" w:lineRule="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二、排污许可证申领情况</w:t>
            </w:r>
          </w:p>
          <w:p w14:paraId="3AC93AA9">
            <w:pPr>
              <w:spacing w:line="360" w:lineRule="auto"/>
              <w:ind w:firstLine="420" w:firstLineChars="200"/>
              <w:rPr>
                <w:rFonts w:hint="default" w:ascii="Times New Roman" w:hAnsi="Times New Roman" w:cs="Times New Roman"/>
                <w:color w:val="auto"/>
              </w:rPr>
            </w:pPr>
            <w:r>
              <w:rPr>
                <w:rFonts w:hint="eastAsia" w:cs="Times New Roman"/>
                <w:color w:val="auto"/>
                <w:highlight w:val="none"/>
                <w:lang w:eastAsia="zh-CN"/>
              </w:rPr>
              <w:t>淄博宝路保温材料有限公司</w:t>
            </w:r>
            <w:r>
              <w:rPr>
                <w:rFonts w:hint="default" w:ascii="Times New Roman" w:hAnsi="Times New Roman" w:cs="Times New Roman"/>
                <w:color w:val="auto"/>
                <w:highlight w:val="none"/>
              </w:rPr>
              <w:t>2020年</w:t>
            </w:r>
            <w:r>
              <w:rPr>
                <w:rFonts w:hint="eastAsia" w:cs="Times New Roman"/>
                <w:color w:val="auto"/>
                <w:highlight w:val="none"/>
                <w:lang w:val="en-US" w:eastAsia="zh-CN"/>
              </w:rPr>
              <w:t>5</w:t>
            </w:r>
            <w:r>
              <w:rPr>
                <w:rFonts w:hint="default" w:ascii="Times New Roman" w:hAnsi="Times New Roman" w:cs="Times New Roman"/>
                <w:color w:val="auto"/>
              </w:rPr>
              <w:t>月</w:t>
            </w:r>
            <w:r>
              <w:rPr>
                <w:rFonts w:hint="eastAsia" w:cs="Times New Roman"/>
                <w:color w:val="auto"/>
                <w:lang w:val="en-US" w:eastAsia="zh-CN"/>
              </w:rPr>
              <w:t>9日首次取得排污许可证，2024年9月20日重新申请，</w:t>
            </w:r>
            <w:r>
              <w:rPr>
                <w:rFonts w:hint="default" w:ascii="Times New Roman" w:hAnsi="Times New Roman" w:cs="Times New Roman"/>
                <w:color w:val="auto"/>
              </w:rPr>
              <w:t>有效期为202</w:t>
            </w:r>
            <w:r>
              <w:rPr>
                <w:rFonts w:hint="eastAsia" w:cs="Times New Roman"/>
                <w:color w:val="auto"/>
                <w:lang w:val="en-US" w:eastAsia="zh-CN"/>
              </w:rPr>
              <w:t>4</w:t>
            </w:r>
            <w:r>
              <w:rPr>
                <w:rFonts w:hint="default" w:ascii="Times New Roman" w:hAnsi="Times New Roman" w:cs="Times New Roman"/>
                <w:color w:val="auto"/>
              </w:rPr>
              <w:t>年</w:t>
            </w:r>
            <w:r>
              <w:rPr>
                <w:rFonts w:hint="eastAsia" w:cs="Times New Roman"/>
                <w:color w:val="auto"/>
                <w:lang w:val="en-US" w:eastAsia="zh-CN"/>
              </w:rPr>
              <w:t>9</w:t>
            </w:r>
            <w:r>
              <w:rPr>
                <w:rFonts w:hint="default" w:ascii="Times New Roman" w:hAnsi="Times New Roman" w:cs="Times New Roman"/>
                <w:color w:val="auto"/>
              </w:rPr>
              <w:t>月</w:t>
            </w:r>
            <w:r>
              <w:rPr>
                <w:rFonts w:hint="eastAsia" w:cs="Times New Roman"/>
                <w:color w:val="auto"/>
                <w:lang w:val="en-US" w:eastAsia="zh-CN"/>
              </w:rPr>
              <w:t>20</w:t>
            </w:r>
            <w:r>
              <w:rPr>
                <w:rFonts w:hint="default" w:ascii="Times New Roman" w:hAnsi="Times New Roman" w:cs="Times New Roman"/>
                <w:color w:val="auto"/>
              </w:rPr>
              <w:t>日至202</w:t>
            </w:r>
            <w:r>
              <w:rPr>
                <w:rFonts w:hint="eastAsia" w:cs="Times New Roman"/>
                <w:color w:val="auto"/>
                <w:lang w:val="en-US" w:eastAsia="zh-CN"/>
              </w:rPr>
              <w:t>9</w:t>
            </w:r>
            <w:r>
              <w:rPr>
                <w:rFonts w:hint="default" w:ascii="Times New Roman" w:hAnsi="Times New Roman" w:cs="Times New Roman"/>
                <w:color w:val="auto"/>
              </w:rPr>
              <w:t>年</w:t>
            </w:r>
            <w:r>
              <w:rPr>
                <w:rFonts w:hint="eastAsia" w:cs="Times New Roman"/>
                <w:color w:val="auto"/>
                <w:lang w:val="en-US" w:eastAsia="zh-CN"/>
              </w:rPr>
              <w:t>9</w:t>
            </w:r>
            <w:r>
              <w:rPr>
                <w:rFonts w:hint="default" w:ascii="Times New Roman" w:hAnsi="Times New Roman" w:cs="Times New Roman"/>
                <w:color w:val="auto"/>
              </w:rPr>
              <w:t>月</w:t>
            </w:r>
            <w:r>
              <w:rPr>
                <w:rFonts w:hint="eastAsia" w:cs="Times New Roman"/>
                <w:color w:val="auto"/>
                <w:lang w:val="en-US" w:eastAsia="zh-CN"/>
              </w:rPr>
              <w:t>19</w:t>
            </w:r>
            <w:r>
              <w:rPr>
                <w:rFonts w:hint="default" w:ascii="Times New Roman" w:hAnsi="Times New Roman" w:cs="Times New Roman"/>
                <w:color w:val="auto"/>
              </w:rPr>
              <w:t>日，</w:t>
            </w:r>
            <w:r>
              <w:rPr>
                <w:rFonts w:hint="eastAsia" w:cs="Times New Roman"/>
                <w:color w:val="auto"/>
                <w:lang w:val="en-US" w:eastAsia="zh-CN"/>
              </w:rPr>
              <w:t>许可证</w:t>
            </w:r>
            <w:r>
              <w:rPr>
                <w:rFonts w:hint="default" w:ascii="Times New Roman" w:hAnsi="Times New Roman" w:cs="Times New Roman"/>
                <w:color w:val="auto"/>
              </w:rPr>
              <w:t>编号为：91370302098050697W001Q。</w:t>
            </w:r>
          </w:p>
          <w:p w14:paraId="1A1B199A">
            <w:pPr>
              <w:pStyle w:val="997"/>
              <w:spacing w:line="360" w:lineRule="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rPr>
              <w:t>三、</w:t>
            </w:r>
            <w:r>
              <w:rPr>
                <w:rFonts w:hint="default" w:ascii="Times New Roman" w:hAnsi="Times New Roman" w:eastAsia="黑体" w:cs="Times New Roman"/>
                <w:color w:val="auto"/>
                <w:szCs w:val="21"/>
                <w:highlight w:val="none"/>
              </w:rPr>
              <w:t>现有工程的达标排放情况</w:t>
            </w:r>
          </w:p>
          <w:p w14:paraId="5A43F9D6">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eastAsiaTheme="majorEastAsia"/>
                <w:color w:val="auto"/>
                <w:highlight w:val="none"/>
              </w:rPr>
              <w:t>（1）</w:t>
            </w:r>
            <w:r>
              <w:rPr>
                <w:rFonts w:hint="default" w:ascii="Times New Roman" w:hAnsi="Times New Roman" w:cs="Times New Roman"/>
                <w:color w:val="auto"/>
                <w:highlight w:val="none"/>
              </w:rPr>
              <w:t>废气</w:t>
            </w:r>
          </w:p>
          <w:p w14:paraId="01488E3B">
            <w:pPr>
              <w:spacing w:line="360" w:lineRule="auto"/>
              <w:ind w:firstLine="420" w:firstLineChars="200"/>
              <w:rPr>
                <w:rFonts w:hint="default" w:ascii="Times New Roman" w:hAnsi="Times New Roman" w:cs="Times New Roman" w:eastAsiaTheme="minorEastAsia"/>
                <w:color w:val="FF0000"/>
                <w:highlight w:val="none"/>
                <w:lang w:eastAsia="zh-CN"/>
              </w:rPr>
            </w:pPr>
            <w:r>
              <w:rPr>
                <w:rFonts w:hint="default" w:ascii="Times New Roman" w:hAnsi="Times New Roman" w:cs="Times New Roman" w:eastAsiaTheme="minorEastAsia"/>
                <w:color w:val="auto"/>
                <w:highlight w:val="none"/>
                <w:lang w:val="de-DE" w:eastAsia="zh-CN"/>
              </w:rPr>
              <w:t>主要为有组织废气和无组织废气。项目有组织废气主要为</w:t>
            </w:r>
            <w:r>
              <w:rPr>
                <w:rFonts w:hint="eastAsia" w:cs="Times New Roman" w:eastAsiaTheme="minorEastAsia"/>
                <w:color w:val="auto"/>
                <w:highlight w:val="none"/>
                <w:lang w:val="en-US" w:eastAsia="zh-CN"/>
              </w:rPr>
              <w:t>电炉烘干工序产生的VOCs</w:t>
            </w:r>
            <w:r>
              <w:rPr>
                <w:rFonts w:hint="default" w:ascii="Times New Roman" w:hAnsi="Times New Roman" w:cs="Times New Roman" w:eastAsiaTheme="minorEastAsia"/>
                <w:color w:val="auto"/>
                <w:highlight w:val="none"/>
                <w:lang w:val="de-DE" w:eastAsia="zh-CN"/>
              </w:rPr>
              <w:t>，无组织废气主要为原料堆放过程、打浆机喂料过程、切割产品过程产生的粉尘</w:t>
            </w:r>
            <w:r>
              <w:rPr>
                <w:rFonts w:hint="eastAsia" w:cs="Times New Roman" w:eastAsiaTheme="minorEastAsia"/>
                <w:color w:val="auto"/>
                <w:highlight w:val="none"/>
                <w:lang w:val="de-DE" w:eastAsia="zh-CN"/>
              </w:rPr>
              <w:t>、</w:t>
            </w:r>
            <w:r>
              <w:rPr>
                <w:rFonts w:hint="eastAsia" w:cs="Times New Roman" w:eastAsiaTheme="minorEastAsia"/>
                <w:color w:val="auto"/>
                <w:highlight w:val="none"/>
                <w:lang w:val="en-US" w:eastAsia="zh-CN"/>
              </w:rPr>
              <w:t>结合剂挥发产生的VOCs</w:t>
            </w:r>
            <w:r>
              <w:rPr>
                <w:rFonts w:hint="default" w:ascii="Times New Roman" w:hAnsi="Times New Roman" w:cs="Times New Roman" w:eastAsiaTheme="minorEastAsia"/>
                <w:color w:val="FF0000"/>
                <w:highlight w:val="none"/>
                <w:lang w:eastAsia="zh-CN"/>
              </w:rPr>
              <w:t>。</w:t>
            </w:r>
          </w:p>
          <w:p w14:paraId="58361B93">
            <w:pPr>
              <w:spacing w:line="360" w:lineRule="auto"/>
              <w:ind w:firstLine="420" w:firstLineChars="20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val="en-US" w:eastAsia="zh-CN"/>
              </w:rPr>
              <w:t>现有项目设2根排气筒，编号</w:t>
            </w:r>
            <w:r>
              <w:rPr>
                <w:rFonts w:hint="eastAsia" w:cs="Times New Roman" w:eastAsiaTheme="minorEastAsia"/>
                <w:color w:val="auto"/>
                <w:highlight w:val="none"/>
                <w:lang w:val="en-US" w:eastAsia="zh-CN"/>
              </w:rPr>
              <w:t>DA001</w:t>
            </w:r>
            <w:r>
              <w:rPr>
                <w:rFonts w:hint="default" w:ascii="Times New Roman" w:hAnsi="Times New Roman" w:cs="Times New Roman" w:eastAsiaTheme="minorEastAsia"/>
                <w:color w:val="auto"/>
                <w:highlight w:val="none"/>
                <w:lang w:val="en-US" w:eastAsia="zh-CN"/>
              </w:rPr>
              <w:t>排气筒、</w:t>
            </w:r>
            <w:r>
              <w:rPr>
                <w:rFonts w:hint="eastAsia" w:cs="Times New Roman" w:eastAsiaTheme="minorEastAsia"/>
                <w:color w:val="auto"/>
                <w:highlight w:val="none"/>
                <w:lang w:val="en-US" w:eastAsia="zh-CN"/>
              </w:rPr>
              <w:t>DA002</w:t>
            </w:r>
            <w:r>
              <w:rPr>
                <w:rFonts w:hint="default" w:ascii="Times New Roman" w:hAnsi="Times New Roman" w:cs="Times New Roman" w:eastAsiaTheme="minorEastAsia"/>
                <w:color w:val="auto"/>
                <w:highlight w:val="none"/>
                <w:lang w:val="en-US" w:eastAsia="zh-CN"/>
              </w:rPr>
              <w:t>排气筒。1#电炉烘干产生的VOCs经1#二级活性炭吸附装置处理后由15m高排气筒（DA001）有组织排放；2#电炉烘干产生的VOCs经</w:t>
            </w:r>
            <w:r>
              <w:rPr>
                <w:rFonts w:hint="eastAsia" w:cs="Times New Roman" w:eastAsiaTheme="minorEastAsia"/>
                <w:color w:val="auto"/>
                <w:highlight w:val="none"/>
                <w:lang w:val="en-US" w:eastAsia="zh-CN"/>
              </w:rPr>
              <w:t>2</w:t>
            </w:r>
            <w:r>
              <w:rPr>
                <w:rFonts w:hint="default" w:ascii="Times New Roman" w:hAnsi="Times New Roman" w:cs="Times New Roman" w:eastAsiaTheme="minorEastAsia"/>
                <w:color w:val="auto"/>
                <w:highlight w:val="none"/>
                <w:lang w:val="en-US" w:eastAsia="zh-CN"/>
              </w:rPr>
              <w:t>#二级活性炭吸附装置处理后由15m高排气筒（DA002）有组织排放。</w:t>
            </w:r>
          </w:p>
          <w:p w14:paraId="4CFD67AD">
            <w:pPr>
              <w:spacing w:line="360" w:lineRule="auto"/>
              <w:ind w:firstLine="42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根据</w:t>
            </w:r>
            <w:bookmarkStart w:id="8" w:name="OLE_LINK100"/>
            <w:r>
              <w:rPr>
                <w:rFonts w:hint="eastAsia" w:cs="Times New Roman" w:eastAsiaTheme="minorEastAsia"/>
                <w:color w:val="auto"/>
                <w:highlight w:val="none"/>
                <w:lang w:eastAsia="zh-CN"/>
              </w:rPr>
              <w:t>山东方杰检测技术有限公司</w:t>
            </w:r>
            <w:r>
              <w:rPr>
                <w:rFonts w:hint="default" w:ascii="Times New Roman" w:hAnsi="Times New Roman" w:cs="Times New Roman" w:eastAsiaTheme="minorEastAsia"/>
                <w:color w:val="auto"/>
                <w:highlight w:val="none"/>
              </w:rPr>
              <w:t>出具的</w:t>
            </w:r>
            <w:bookmarkStart w:id="9" w:name="OLE_LINK61"/>
            <w:r>
              <w:rPr>
                <w:rFonts w:hint="default" w:ascii="Times New Roman" w:hAnsi="Times New Roman" w:cs="Times New Roman" w:eastAsiaTheme="minorEastAsia"/>
                <w:color w:val="auto"/>
                <w:highlight w:val="none"/>
                <w:lang w:val="de-DE"/>
              </w:rPr>
              <w:t>《</w:t>
            </w:r>
            <w:r>
              <w:rPr>
                <w:rFonts w:hint="eastAsia" w:cs="Times New Roman" w:eastAsiaTheme="minorEastAsia"/>
                <w:color w:val="auto"/>
                <w:highlight w:val="none"/>
                <w:lang w:val="de-DE" w:eastAsia="zh-CN"/>
              </w:rPr>
              <w:t>淄博宝路保温材料有限公司污染源现状检测</w:t>
            </w:r>
            <w:r>
              <w:rPr>
                <w:rFonts w:hint="default" w:ascii="Times New Roman" w:hAnsi="Times New Roman" w:cs="Times New Roman" w:eastAsiaTheme="minorEastAsia"/>
                <w:color w:val="auto"/>
                <w:highlight w:val="none"/>
                <w:lang w:val="de-DE"/>
              </w:rPr>
              <w:t>》（</w:t>
            </w:r>
            <w:r>
              <w:rPr>
                <w:rFonts w:hint="default" w:ascii="Times New Roman" w:hAnsi="Times New Roman" w:cs="Times New Roman" w:eastAsiaTheme="minorEastAsia"/>
                <w:color w:val="auto"/>
                <w:highlight w:val="none"/>
                <w:lang w:val="de-DE" w:eastAsia="zh-CN"/>
              </w:rPr>
              <w:t>FJH24022304</w:t>
            </w:r>
            <w:r>
              <w:rPr>
                <w:rFonts w:hint="default" w:ascii="Times New Roman" w:hAnsi="Times New Roman" w:cs="Times New Roman" w:eastAsiaTheme="minorEastAsia"/>
                <w:color w:val="auto"/>
                <w:highlight w:val="none"/>
                <w:lang w:val="de-DE"/>
              </w:rPr>
              <w:t>）</w:t>
            </w:r>
            <w:r>
              <w:rPr>
                <w:rFonts w:hint="default" w:ascii="Times New Roman" w:hAnsi="Times New Roman" w:cs="Times New Roman" w:eastAsiaTheme="minorEastAsia"/>
                <w:color w:val="auto"/>
                <w:highlight w:val="none"/>
                <w:lang w:val="de-DE" w:eastAsia="zh-CN"/>
              </w:rPr>
              <w:t>（</w:t>
            </w:r>
            <w:r>
              <w:rPr>
                <w:rFonts w:hint="default" w:ascii="Times New Roman" w:hAnsi="Times New Roman" w:cs="Times New Roman" w:eastAsiaTheme="minorEastAsia"/>
                <w:color w:val="auto"/>
                <w:highlight w:val="none"/>
              </w:rPr>
              <w:t>202</w:t>
            </w:r>
            <w:r>
              <w:rPr>
                <w:rFonts w:hint="default" w:ascii="Times New Roman" w:hAnsi="Times New Roman" w:cs="Times New Roman" w:eastAsiaTheme="minorEastAsia"/>
                <w:color w:val="auto"/>
                <w:highlight w:val="none"/>
                <w:lang w:val="en-US" w:eastAsia="zh-CN"/>
              </w:rPr>
              <w:t>4</w:t>
            </w:r>
            <w:r>
              <w:rPr>
                <w:rFonts w:hint="default" w:ascii="Times New Roman" w:hAnsi="Times New Roman" w:cs="Times New Roman" w:eastAsiaTheme="minorEastAsia"/>
                <w:color w:val="auto"/>
                <w:highlight w:val="none"/>
              </w:rPr>
              <w:t>年</w:t>
            </w:r>
            <w:r>
              <w:rPr>
                <w:rFonts w:hint="eastAsia" w:cs="Times New Roman" w:eastAsiaTheme="minorEastAsia"/>
                <w:color w:val="auto"/>
                <w:highlight w:val="none"/>
                <w:lang w:val="en-US" w:eastAsia="zh-CN"/>
              </w:rPr>
              <w:t>3</w:t>
            </w:r>
            <w:r>
              <w:rPr>
                <w:rFonts w:hint="default" w:ascii="Times New Roman" w:hAnsi="Times New Roman" w:cs="Times New Roman" w:eastAsiaTheme="minorEastAsia"/>
                <w:color w:val="auto"/>
                <w:highlight w:val="none"/>
              </w:rPr>
              <w:t>月</w:t>
            </w:r>
            <w:r>
              <w:rPr>
                <w:rFonts w:hint="eastAsia" w:cs="Times New Roman" w:eastAsiaTheme="minorEastAsia"/>
                <w:color w:val="auto"/>
                <w:highlight w:val="none"/>
                <w:lang w:val="en-US" w:eastAsia="zh-CN"/>
              </w:rPr>
              <w:t>16</w:t>
            </w:r>
            <w:r>
              <w:rPr>
                <w:rFonts w:hint="default" w:ascii="Times New Roman" w:hAnsi="Times New Roman" w:cs="Times New Roman" w:eastAsiaTheme="minorEastAsia"/>
                <w:color w:val="auto"/>
                <w:highlight w:val="none"/>
              </w:rPr>
              <w:t>日）</w:t>
            </w:r>
            <w:bookmarkEnd w:id="9"/>
            <w:r>
              <w:rPr>
                <w:rFonts w:hint="eastAsia" w:cs="Times New Roman" w:eastAsiaTheme="minorEastAsia"/>
                <w:color w:val="auto"/>
                <w:highlight w:val="none"/>
                <w:lang w:eastAsia="zh-CN"/>
              </w:rPr>
              <w:t>、</w:t>
            </w:r>
            <w:r>
              <w:rPr>
                <w:rFonts w:hint="default" w:ascii="Times New Roman" w:hAnsi="Times New Roman" w:cs="Times New Roman" w:eastAsiaTheme="minorEastAsia"/>
                <w:color w:val="auto"/>
                <w:highlight w:val="none"/>
                <w:lang w:val="de-DE"/>
              </w:rPr>
              <w:t>《</w:t>
            </w:r>
            <w:r>
              <w:rPr>
                <w:rFonts w:hint="eastAsia" w:cs="Times New Roman" w:eastAsiaTheme="minorEastAsia"/>
                <w:color w:val="auto"/>
                <w:highlight w:val="none"/>
                <w:lang w:val="de-DE" w:eastAsia="zh-CN"/>
              </w:rPr>
              <w:t>淄博宝路保温材料有限公司污染源现状检测</w:t>
            </w:r>
            <w:r>
              <w:rPr>
                <w:rFonts w:hint="default" w:ascii="Times New Roman" w:hAnsi="Times New Roman" w:cs="Times New Roman" w:eastAsiaTheme="minorEastAsia"/>
                <w:color w:val="auto"/>
                <w:highlight w:val="none"/>
                <w:lang w:val="de-DE"/>
              </w:rPr>
              <w:t>》（</w:t>
            </w:r>
            <w:r>
              <w:rPr>
                <w:rFonts w:hint="default" w:ascii="Times New Roman" w:hAnsi="Times New Roman" w:cs="Times New Roman" w:eastAsiaTheme="minorEastAsia"/>
                <w:color w:val="auto"/>
                <w:highlight w:val="none"/>
                <w:lang w:val="de-DE" w:eastAsia="zh-CN"/>
              </w:rPr>
              <w:t>FJH24081307</w:t>
            </w:r>
            <w:r>
              <w:rPr>
                <w:rFonts w:hint="default" w:ascii="Times New Roman" w:hAnsi="Times New Roman" w:cs="Times New Roman" w:eastAsiaTheme="minorEastAsia"/>
                <w:color w:val="auto"/>
                <w:highlight w:val="none"/>
                <w:lang w:val="de-DE"/>
              </w:rPr>
              <w:t>）</w:t>
            </w:r>
            <w:r>
              <w:rPr>
                <w:rFonts w:hint="default" w:ascii="Times New Roman" w:hAnsi="Times New Roman" w:cs="Times New Roman" w:eastAsiaTheme="minorEastAsia"/>
                <w:color w:val="auto"/>
                <w:highlight w:val="none"/>
                <w:lang w:val="de-DE" w:eastAsia="zh-CN"/>
              </w:rPr>
              <w:t>（</w:t>
            </w:r>
            <w:r>
              <w:rPr>
                <w:rFonts w:hint="default" w:ascii="Times New Roman" w:hAnsi="Times New Roman" w:cs="Times New Roman" w:eastAsiaTheme="minorEastAsia"/>
                <w:color w:val="auto"/>
                <w:highlight w:val="none"/>
              </w:rPr>
              <w:t>202</w:t>
            </w:r>
            <w:r>
              <w:rPr>
                <w:rFonts w:hint="default" w:ascii="Times New Roman" w:hAnsi="Times New Roman" w:cs="Times New Roman" w:eastAsiaTheme="minorEastAsia"/>
                <w:color w:val="auto"/>
                <w:highlight w:val="none"/>
                <w:lang w:val="en-US" w:eastAsia="zh-CN"/>
              </w:rPr>
              <w:t>4</w:t>
            </w:r>
            <w:r>
              <w:rPr>
                <w:rFonts w:hint="default" w:ascii="Times New Roman" w:hAnsi="Times New Roman" w:cs="Times New Roman" w:eastAsiaTheme="minorEastAsia"/>
                <w:color w:val="auto"/>
                <w:highlight w:val="none"/>
              </w:rPr>
              <w:t>年</w:t>
            </w:r>
            <w:r>
              <w:rPr>
                <w:rFonts w:hint="eastAsia" w:cs="Times New Roman" w:eastAsiaTheme="minorEastAsia"/>
                <w:color w:val="auto"/>
                <w:highlight w:val="none"/>
                <w:lang w:val="en-US" w:eastAsia="zh-CN"/>
              </w:rPr>
              <w:t>9</w:t>
            </w:r>
            <w:r>
              <w:rPr>
                <w:rFonts w:hint="default" w:ascii="Times New Roman" w:hAnsi="Times New Roman" w:cs="Times New Roman" w:eastAsiaTheme="minorEastAsia"/>
                <w:color w:val="auto"/>
                <w:highlight w:val="none"/>
              </w:rPr>
              <w:t>月</w:t>
            </w:r>
            <w:r>
              <w:rPr>
                <w:rFonts w:hint="eastAsia" w:cs="Times New Roman" w:eastAsiaTheme="minorEastAsia"/>
                <w:color w:val="auto"/>
                <w:highlight w:val="none"/>
                <w:lang w:val="en-US" w:eastAsia="zh-CN"/>
              </w:rPr>
              <w:t>4</w:t>
            </w:r>
            <w:r>
              <w:rPr>
                <w:rFonts w:hint="default" w:ascii="Times New Roman" w:hAnsi="Times New Roman" w:cs="Times New Roman" w:eastAsiaTheme="minorEastAsia"/>
                <w:color w:val="auto"/>
                <w:highlight w:val="none"/>
              </w:rPr>
              <w:t>日）</w:t>
            </w:r>
            <w:r>
              <w:rPr>
                <w:rFonts w:hint="default" w:ascii="Times New Roman" w:hAnsi="Times New Roman" w:cs="Times New Roman" w:eastAsiaTheme="minorEastAsia"/>
                <w:color w:val="auto"/>
                <w:highlight w:val="none"/>
                <w:lang w:val="de-DE"/>
              </w:rPr>
              <w:t>，</w:t>
            </w:r>
            <w:bookmarkEnd w:id="8"/>
            <w:r>
              <w:rPr>
                <w:rFonts w:hint="default" w:ascii="Times New Roman" w:hAnsi="Times New Roman" w:cs="Times New Roman" w:eastAsiaTheme="minorEastAsia"/>
                <w:color w:val="auto"/>
                <w:highlight w:val="none"/>
                <w:lang w:val="en-US" w:eastAsia="zh-CN"/>
              </w:rPr>
              <w:t>现有项目</w:t>
            </w:r>
            <w:r>
              <w:rPr>
                <w:rFonts w:hint="default" w:ascii="Times New Roman" w:hAnsi="Times New Roman" w:cs="Times New Roman" w:eastAsiaTheme="minorEastAsia"/>
                <w:color w:val="auto"/>
                <w:highlight w:val="none"/>
              </w:rPr>
              <w:t>排气筒和厂界无组织废气检测结果见表2-</w:t>
            </w:r>
            <w:r>
              <w:rPr>
                <w:rFonts w:hint="eastAsia" w:cs="Times New Roman" w:eastAsiaTheme="minorEastAsia"/>
                <w:color w:val="auto"/>
                <w:highlight w:val="none"/>
                <w:lang w:val="en-US" w:eastAsia="zh-CN"/>
              </w:rPr>
              <w:t>6</w:t>
            </w:r>
            <w:r>
              <w:rPr>
                <w:rFonts w:hint="default" w:ascii="Times New Roman" w:hAnsi="Times New Roman" w:cs="Times New Roman" w:eastAsiaTheme="minorEastAsia"/>
                <w:color w:val="auto"/>
                <w:highlight w:val="none"/>
              </w:rPr>
              <w:t>。</w:t>
            </w:r>
          </w:p>
          <w:p w14:paraId="74F8A41D">
            <w:pPr>
              <w:pStyle w:val="85"/>
              <w:spacing w:after="0"/>
              <w:ind w:left="0" w:leftChars="0" w:firstLine="0" w:firstLineChars="0"/>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表2-</w:t>
            </w:r>
            <w:r>
              <w:rPr>
                <w:rFonts w:hint="eastAsia" w:eastAsia="黑体" w:cs="Times New Roman"/>
                <w:color w:val="auto"/>
                <w:highlight w:val="none"/>
                <w:lang w:val="en-US" w:eastAsia="zh-CN"/>
              </w:rPr>
              <w:t>6</w:t>
            </w:r>
            <w:r>
              <w:rPr>
                <w:rFonts w:hint="default" w:ascii="Times New Roman" w:hAnsi="Times New Roman" w:eastAsia="黑体" w:cs="Times New Roman"/>
                <w:color w:val="auto"/>
                <w:highlight w:val="none"/>
              </w:rPr>
              <w:t>有组织废气排放监测结果</w:t>
            </w:r>
          </w:p>
          <w:tbl>
            <w:tblPr>
              <w:tblStyle w:val="8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78"/>
              <w:gridCol w:w="1960"/>
              <w:gridCol w:w="1007"/>
              <w:gridCol w:w="1007"/>
              <w:gridCol w:w="1008"/>
              <w:gridCol w:w="1007"/>
              <w:gridCol w:w="1007"/>
              <w:gridCol w:w="1008"/>
            </w:tblGrid>
            <w:tr w14:paraId="5270D6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5" w:hRule="atLeast"/>
                <w:jc w:val="center"/>
              </w:trPr>
              <w:tc>
                <w:tcPr>
                  <w:tcW w:w="1673" w:type="pct"/>
                  <w:gridSpan w:val="2"/>
                  <w:vAlign w:val="center"/>
                </w:tcPr>
                <w:p w14:paraId="5F1447E6">
                  <w:pPr>
                    <w:jc w:val="center"/>
                    <w:rPr>
                      <w:rFonts w:ascii="Times New Roman" w:hAnsi="Times New Roman" w:eastAsia="宋体" w:cs="Times New Roman"/>
                      <w:b/>
                      <w:bCs/>
                      <w:kern w:val="2"/>
                      <w:sz w:val="18"/>
                      <w:szCs w:val="18"/>
                      <w:lang w:val="en-US" w:eastAsia="zh-CN" w:bidi="ar-SA"/>
                    </w:rPr>
                  </w:pPr>
                  <w:r>
                    <w:rPr>
                      <w:rFonts w:ascii="Times New Roman" w:hAnsi="Times New Roman"/>
                      <w:b/>
                      <w:bCs/>
                      <w:sz w:val="18"/>
                      <w:szCs w:val="18"/>
                    </w:rPr>
                    <w:t>检测点位</w:t>
                  </w:r>
                </w:p>
              </w:tc>
              <w:tc>
                <w:tcPr>
                  <w:tcW w:w="1663" w:type="pct"/>
                  <w:gridSpan w:val="3"/>
                  <w:vAlign w:val="center"/>
                </w:tcPr>
                <w:p w14:paraId="7FE52699">
                  <w:pPr>
                    <w:jc w:val="center"/>
                    <w:rPr>
                      <w:rFonts w:hint="eastAsia" w:ascii="Times New Roman" w:hAnsi="Times New Roman"/>
                      <w:bCs/>
                      <w:sz w:val="18"/>
                      <w:szCs w:val="18"/>
                      <w:lang w:val="en-US" w:eastAsia="zh-CN"/>
                    </w:rPr>
                  </w:pPr>
                  <w:r>
                    <w:rPr>
                      <w:rFonts w:hint="eastAsia" w:ascii="Times New Roman" w:hAnsi="Times New Roman"/>
                      <w:bCs/>
                      <w:sz w:val="18"/>
                      <w:szCs w:val="18"/>
                      <w:lang w:val="en-US" w:eastAsia="zh-CN"/>
                    </w:rPr>
                    <w:t>DA001排气筒</w:t>
                  </w:r>
                  <w:r>
                    <w:rPr>
                      <w:rFonts w:hint="eastAsia" w:ascii="宋体" w:hAnsi="宋体" w:cs="宋体"/>
                      <w:sz w:val="18"/>
                      <w:szCs w:val="18"/>
                      <w:lang w:val="en-US" w:eastAsia="zh-CN"/>
                    </w:rPr>
                    <w:t>进口</w:t>
                  </w:r>
                </w:p>
              </w:tc>
              <w:tc>
                <w:tcPr>
                  <w:tcW w:w="1663" w:type="pct"/>
                  <w:gridSpan w:val="3"/>
                  <w:vAlign w:val="center"/>
                </w:tcPr>
                <w:p w14:paraId="0C2F0AFD">
                  <w:pPr>
                    <w:jc w:val="center"/>
                    <w:rPr>
                      <w:rFonts w:hint="eastAsia" w:ascii="Times New Roman" w:hAnsi="Times New Roman"/>
                      <w:bCs/>
                      <w:sz w:val="18"/>
                      <w:szCs w:val="18"/>
                      <w:lang w:val="en-US" w:eastAsia="zh-CN"/>
                    </w:rPr>
                  </w:pPr>
                  <w:r>
                    <w:rPr>
                      <w:rFonts w:hint="eastAsia" w:ascii="Times New Roman" w:hAnsi="Times New Roman"/>
                      <w:bCs/>
                      <w:sz w:val="18"/>
                      <w:szCs w:val="18"/>
                      <w:lang w:val="en-US" w:eastAsia="zh-CN"/>
                    </w:rPr>
                    <w:t>DA001排气筒出</w:t>
                  </w:r>
                  <w:r>
                    <w:rPr>
                      <w:rFonts w:hint="eastAsia" w:ascii="宋体" w:hAnsi="宋体" w:cs="宋体"/>
                      <w:sz w:val="18"/>
                      <w:szCs w:val="18"/>
                      <w:lang w:val="en-US" w:eastAsia="zh-CN"/>
                    </w:rPr>
                    <w:t>口</w:t>
                  </w:r>
                </w:p>
              </w:tc>
            </w:tr>
            <w:tr w14:paraId="1A1E71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673" w:type="pct"/>
                  <w:gridSpan w:val="2"/>
                  <w:vAlign w:val="center"/>
                </w:tcPr>
                <w:p w14:paraId="14BC0892">
                  <w:pPr>
                    <w:jc w:val="center"/>
                    <w:rPr>
                      <w:rFonts w:ascii="Times New Roman" w:hAnsi="Times New Roman" w:eastAsia="宋体" w:cs="Times New Roman"/>
                      <w:b/>
                      <w:bCs/>
                      <w:kern w:val="2"/>
                      <w:sz w:val="18"/>
                      <w:szCs w:val="18"/>
                      <w:lang w:val="en-US" w:eastAsia="zh-CN" w:bidi="ar-SA"/>
                    </w:rPr>
                  </w:pPr>
                  <w:r>
                    <w:rPr>
                      <w:rFonts w:ascii="Times New Roman" w:hAnsi="Times New Roman"/>
                      <w:b/>
                      <w:bCs/>
                      <w:sz w:val="18"/>
                      <w:szCs w:val="18"/>
                    </w:rPr>
                    <w:t>排气筒高度（m）</w:t>
                  </w:r>
                </w:p>
              </w:tc>
              <w:tc>
                <w:tcPr>
                  <w:tcW w:w="1663" w:type="pct"/>
                  <w:gridSpan w:val="3"/>
                  <w:vAlign w:val="center"/>
                </w:tcPr>
                <w:p w14:paraId="2C981F27">
                  <w:pPr>
                    <w:jc w:val="center"/>
                    <w:rPr>
                      <w:rFonts w:hint="default" w:ascii="Times New Roman" w:hAnsi="Times New Roman" w:cs="Times New Roman"/>
                      <w:bCs/>
                      <w:sz w:val="18"/>
                      <w:szCs w:val="18"/>
                      <w:lang w:val="en-US" w:eastAsia="zh-CN"/>
                    </w:rPr>
                  </w:pPr>
                  <w:r>
                    <w:rPr>
                      <w:rFonts w:hint="eastAsia" w:ascii="Times New Roman" w:hAnsi="Times New Roman" w:cs="Times New Roman"/>
                      <w:bCs/>
                      <w:sz w:val="18"/>
                      <w:szCs w:val="18"/>
                      <w:lang w:val="en-US" w:eastAsia="zh-CN"/>
                    </w:rPr>
                    <w:t>/</w:t>
                  </w:r>
                </w:p>
              </w:tc>
              <w:tc>
                <w:tcPr>
                  <w:tcW w:w="1663" w:type="pct"/>
                  <w:gridSpan w:val="3"/>
                  <w:vAlign w:val="center"/>
                </w:tcPr>
                <w:p w14:paraId="1F70688A">
                  <w:pPr>
                    <w:jc w:val="center"/>
                    <w:rPr>
                      <w:rFonts w:hint="default" w:ascii="Times New Roman" w:hAnsi="Times New Roman" w:cs="Times New Roman"/>
                      <w:bCs/>
                      <w:sz w:val="18"/>
                      <w:szCs w:val="18"/>
                      <w:lang w:val="en-US" w:eastAsia="zh-CN"/>
                    </w:rPr>
                  </w:pPr>
                  <w:r>
                    <w:rPr>
                      <w:rFonts w:hint="eastAsia" w:ascii="Times New Roman" w:hAnsi="Times New Roman" w:cs="Times New Roman"/>
                      <w:bCs/>
                      <w:sz w:val="18"/>
                      <w:szCs w:val="18"/>
                      <w:lang w:val="en-US" w:eastAsia="zh-CN"/>
                    </w:rPr>
                    <w:t>15</w:t>
                  </w:r>
                </w:p>
              </w:tc>
            </w:tr>
            <w:tr w14:paraId="31944D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673" w:type="pct"/>
                  <w:gridSpan w:val="2"/>
                  <w:vAlign w:val="center"/>
                </w:tcPr>
                <w:p w14:paraId="70C6374A">
                  <w:pPr>
                    <w:jc w:val="center"/>
                    <w:rPr>
                      <w:rFonts w:ascii="Times New Roman" w:hAnsi="Times New Roman"/>
                      <w:b/>
                      <w:bCs/>
                      <w:sz w:val="18"/>
                      <w:szCs w:val="18"/>
                    </w:rPr>
                  </w:pPr>
                  <w:r>
                    <w:rPr>
                      <w:rFonts w:ascii="Times New Roman" w:hAnsi="Times New Roman"/>
                      <w:b/>
                      <w:bCs/>
                      <w:sz w:val="18"/>
                      <w:szCs w:val="18"/>
                    </w:rPr>
                    <w:t>排气筒截面积（m</w:t>
                  </w:r>
                  <w:r>
                    <w:rPr>
                      <w:rFonts w:ascii="Times New Roman" w:hAnsi="Times New Roman"/>
                      <w:b/>
                      <w:bCs/>
                      <w:sz w:val="18"/>
                      <w:szCs w:val="18"/>
                      <w:vertAlign w:val="superscript"/>
                    </w:rPr>
                    <w:t>2</w:t>
                  </w:r>
                  <w:r>
                    <w:rPr>
                      <w:rFonts w:ascii="Times New Roman" w:hAnsi="Times New Roman"/>
                      <w:b/>
                      <w:bCs/>
                      <w:sz w:val="18"/>
                      <w:szCs w:val="18"/>
                    </w:rPr>
                    <w:t>）</w:t>
                  </w:r>
                </w:p>
              </w:tc>
              <w:tc>
                <w:tcPr>
                  <w:tcW w:w="1663" w:type="pct"/>
                  <w:gridSpan w:val="3"/>
                  <w:vAlign w:val="center"/>
                </w:tcPr>
                <w:p w14:paraId="5DBAA189">
                  <w:pPr>
                    <w:jc w:val="center"/>
                    <w:textAlignment w:val="center"/>
                    <w:rPr>
                      <w:rFonts w:hint="default" w:ascii="Times New Roman" w:hAnsi="Times New Roman"/>
                      <w:bCs/>
                      <w:sz w:val="18"/>
                      <w:szCs w:val="18"/>
                      <w:lang w:val="en-US" w:eastAsia="zh-CN"/>
                    </w:rPr>
                  </w:pPr>
                  <w:r>
                    <w:rPr>
                      <w:rFonts w:hint="eastAsia" w:ascii="Times New Roman" w:hAnsi="Times New Roman"/>
                      <w:bCs/>
                      <w:sz w:val="18"/>
                      <w:szCs w:val="18"/>
                      <w:lang w:val="en-US" w:eastAsia="zh-CN"/>
                    </w:rPr>
                    <w:t>0.0707</w:t>
                  </w:r>
                </w:p>
              </w:tc>
              <w:tc>
                <w:tcPr>
                  <w:tcW w:w="1663" w:type="pct"/>
                  <w:gridSpan w:val="3"/>
                  <w:vAlign w:val="center"/>
                </w:tcPr>
                <w:p w14:paraId="3F093685">
                  <w:pPr>
                    <w:jc w:val="center"/>
                    <w:textAlignment w:val="center"/>
                    <w:rPr>
                      <w:rFonts w:hint="default" w:ascii="Times New Roman" w:hAnsi="Times New Roman"/>
                      <w:bCs/>
                      <w:sz w:val="18"/>
                      <w:szCs w:val="18"/>
                      <w:lang w:val="en-US" w:eastAsia="zh-CN"/>
                    </w:rPr>
                  </w:pPr>
                  <w:r>
                    <w:rPr>
                      <w:rFonts w:hint="eastAsia" w:ascii="Times New Roman" w:hAnsi="Times New Roman"/>
                      <w:bCs/>
                      <w:sz w:val="18"/>
                      <w:szCs w:val="18"/>
                      <w:lang w:val="en-US" w:eastAsia="zh-CN"/>
                    </w:rPr>
                    <w:t>0.0707</w:t>
                  </w:r>
                </w:p>
              </w:tc>
            </w:tr>
            <w:tr w14:paraId="05D7F0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673" w:type="pct"/>
                  <w:gridSpan w:val="2"/>
                  <w:vAlign w:val="center"/>
                </w:tcPr>
                <w:p w14:paraId="51DCB0ED">
                  <w:pPr>
                    <w:jc w:val="center"/>
                    <w:rPr>
                      <w:rFonts w:ascii="Times New Roman" w:hAnsi="Times New Roman"/>
                      <w:b/>
                      <w:bCs/>
                      <w:sz w:val="18"/>
                      <w:szCs w:val="18"/>
                    </w:rPr>
                  </w:pPr>
                  <w:r>
                    <w:rPr>
                      <w:rFonts w:hint="eastAsia" w:ascii="Times New Roman" w:hAnsi="Times New Roman"/>
                      <w:b/>
                      <w:bCs/>
                      <w:sz w:val="18"/>
                      <w:szCs w:val="18"/>
                    </w:rPr>
                    <w:t>检测日期</w:t>
                  </w:r>
                </w:p>
              </w:tc>
              <w:tc>
                <w:tcPr>
                  <w:tcW w:w="1663" w:type="pct"/>
                  <w:gridSpan w:val="3"/>
                  <w:vAlign w:val="center"/>
                </w:tcPr>
                <w:p w14:paraId="5FAD41F2">
                  <w:pPr>
                    <w:jc w:val="center"/>
                    <w:rPr>
                      <w:rFonts w:hint="eastAsia" w:ascii="Times New Roman" w:hAnsi="Times New Roman" w:eastAsia="宋体"/>
                      <w:bCs/>
                      <w:sz w:val="18"/>
                      <w:szCs w:val="18"/>
                      <w:lang w:eastAsia="zh-CN"/>
                    </w:rPr>
                  </w:pPr>
                  <w:r>
                    <w:rPr>
                      <w:rFonts w:hint="eastAsia" w:ascii="Times New Roman" w:hAnsi="Times New Roman"/>
                      <w:sz w:val="18"/>
                      <w:szCs w:val="18"/>
                      <w:lang w:eastAsia="zh-CN"/>
                    </w:rPr>
                    <w:t>2024.08.16</w:t>
                  </w:r>
                </w:p>
              </w:tc>
              <w:tc>
                <w:tcPr>
                  <w:tcW w:w="1663" w:type="pct"/>
                  <w:gridSpan w:val="3"/>
                  <w:vAlign w:val="center"/>
                </w:tcPr>
                <w:p w14:paraId="62206698">
                  <w:pPr>
                    <w:jc w:val="center"/>
                    <w:rPr>
                      <w:rFonts w:hint="eastAsia" w:ascii="Times New Roman" w:hAnsi="Times New Roman"/>
                      <w:sz w:val="18"/>
                      <w:szCs w:val="18"/>
                      <w:lang w:eastAsia="zh-CN"/>
                    </w:rPr>
                  </w:pPr>
                  <w:r>
                    <w:rPr>
                      <w:rFonts w:hint="eastAsia" w:ascii="Times New Roman" w:hAnsi="Times New Roman"/>
                      <w:sz w:val="18"/>
                      <w:szCs w:val="18"/>
                      <w:lang w:eastAsia="zh-CN"/>
                    </w:rPr>
                    <w:t>2024.08.16</w:t>
                  </w:r>
                </w:p>
              </w:tc>
            </w:tr>
            <w:tr w14:paraId="1FB2AD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673" w:type="pct"/>
                  <w:gridSpan w:val="2"/>
                  <w:vAlign w:val="center"/>
                </w:tcPr>
                <w:p w14:paraId="6AF5533B">
                  <w:pPr>
                    <w:jc w:val="center"/>
                    <w:rPr>
                      <w:rFonts w:ascii="Times New Roman" w:hAnsi="Times New Roman" w:eastAsia="宋体" w:cs="Times New Roman"/>
                      <w:b/>
                      <w:bCs/>
                      <w:kern w:val="2"/>
                      <w:sz w:val="18"/>
                      <w:szCs w:val="18"/>
                      <w:lang w:val="en-US" w:eastAsia="zh-CN" w:bidi="ar-SA"/>
                    </w:rPr>
                  </w:pPr>
                  <w:r>
                    <w:rPr>
                      <w:rFonts w:hint="eastAsia" w:ascii="Times New Roman" w:hAnsi="Times New Roman"/>
                      <w:b/>
                      <w:bCs/>
                      <w:sz w:val="18"/>
                      <w:szCs w:val="18"/>
                    </w:rPr>
                    <w:t>检测</w:t>
                  </w:r>
                  <w:r>
                    <w:rPr>
                      <w:rFonts w:ascii="Times New Roman" w:hAnsi="Times New Roman"/>
                      <w:b/>
                      <w:bCs/>
                      <w:sz w:val="18"/>
                      <w:szCs w:val="18"/>
                    </w:rPr>
                    <w:t>频次</w:t>
                  </w:r>
                </w:p>
              </w:tc>
              <w:tc>
                <w:tcPr>
                  <w:tcW w:w="554" w:type="pct"/>
                  <w:vAlign w:val="center"/>
                </w:tcPr>
                <w:p w14:paraId="140A7607">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频次1</w:t>
                  </w:r>
                </w:p>
              </w:tc>
              <w:tc>
                <w:tcPr>
                  <w:tcW w:w="554" w:type="pct"/>
                  <w:vAlign w:val="center"/>
                </w:tcPr>
                <w:p w14:paraId="04D8F3B3">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频次2</w:t>
                  </w:r>
                </w:p>
              </w:tc>
              <w:tc>
                <w:tcPr>
                  <w:tcW w:w="554" w:type="pct"/>
                  <w:vAlign w:val="center"/>
                </w:tcPr>
                <w:p w14:paraId="18F3A9D2">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频次3</w:t>
                  </w:r>
                </w:p>
              </w:tc>
              <w:tc>
                <w:tcPr>
                  <w:tcW w:w="554" w:type="pct"/>
                  <w:vAlign w:val="center"/>
                </w:tcPr>
                <w:p w14:paraId="4A3C061F">
                  <w:pPr>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频次1</w:t>
                  </w:r>
                </w:p>
              </w:tc>
              <w:tc>
                <w:tcPr>
                  <w:tcW w:w="554" w:type="pct"/>
                  <w:vAlign w:val="center"/>
                </w:tcPr>
                <w:p w14:paraId="2B1471FC">
                  <w:pPr>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频次2</w:t>
                  </w:r>
                </w:p>
              </w:tc>
              <w:tc>
                <w:tcPr>
                  <w:tcW w:w="555" w:type="pct"/>
                  <w:vAlign w:val="center"/>
                </w:tcPr>
                <w:p w14:paraId="50CA7A21">
                  <w:pPr>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频次3</w:t>
                  </w:r>
                </w:p>
              </w:tc>
            </w:tr>
            <w:tr w14:paraId="459111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673" w:type="pct"/>
                  <w:gridSpan w:val="2"/>
                  <w:vAlign w:val="center"/>
                </w:tcPr>
                <w:p w14:paraId="36EAB736">
                  <w:pPr>
                    <w:jc w:val="center"/>
                    <w:rPr>
                      <w:rFonts w:ascii="Times New Roman" w:hAnsi="Times New Roman"/>
                      <w:b/>
                      <w:sz w:val="18"/>
                      <w:szCs w:val="18"/>
                    </w:rPr>
                  </w:pPr>
                  <w:r>
                    <w:rPr>
                      <w:rFonts w:ascii="Times New Roman" w:hAnsi="Times New Roman"/>
                      <w:b/>
                      <w:sz w:val="18"/>
                      <w:szCs w:val="18"/>
                    </w:rPr>
                    <w:t>标干流量（m</w:t>
                  </w:r>
                  <w:r>
                    <w:rPr>
                      <w:rFonts w:ascii="Times New Roman" w:hAnsi="Times New Roman"/>
                      <w:b/>
                      <w:sz w:val="18"/>
                      <w:szCs w:val="18"/>
                      <w:vertAlign w:val="superscript"/>
                    </w:rPr>
                    <w:t>3</w:t>
                  </w:r>
                  <w:r>
                    <w:rPr>
                      <w:rFonts w:ascii="Times New Roman" w:hAnsi="Times New Roman"/>
                      <w:b/>
                      <w:sz w:val="18"/>
                      <w:szCs w:val="18"/>
                    </w:rPr>
                    <w:t>/h）</w:t>
                  </w:r>
                </w:p>
              </w:tc>
              <w:tc>
                <w:tcPr>
                  <w:tcW w:w="554" w:type="pct"/>
                  <w:vAlign w:val="center"/>
                </w:tcPr>
                <w:p w14:paraId="5EE9009E">
                  <w:pPr>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1237</w:t>
                  </w:r>
                </w:p>
              </w:tc>
              <w:tc>
                <w:tcPr>
                  <w:tcW w:w="554" w:type="pct"/>
                  <w:vAlign w:val="center"/>
                </w:tcPr>
                <w:p w14:paraId="009F08E5">
                  <w:pPr>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1213</w:t>
                  </w:r>
                </w:p>
              </w:tc>
              <w:tc>
                <w:tcPr>
                  <w:tcW w:w="554" w:type="pct"/>
                  <w:vAlign w:val="center"/>
                </w:tcPr>
                <w:p w14:paraId="62C827DD">
                  <w:pPr>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1263</w:t>
                  </w:r>
                </w:p>
              </w:tc>
              <w:tc>
                <w:tcPr>
                  <w:tcW w:w="554" w:type="pct"/>
                  <w:vAlign w:val="center"/>
                </w:tcPr>
                <w:p w14:paraId="519D37E7">
                  <w:pPr>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2328</w:t>
                  </w:r>
                </w:p>
              </w:tc>
              <w:tc>
                <w:tcPr>
                  <w:tcW w:w="554" w:type="pct"/>
                  <w:vAlign w:val="center"/>
                </w:tcPr>
                <w:p w14:paraId="32275AC4">
                  <w:pPr>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2328</w:t>
                  </w:r>
                </w:p>
              </w:tc>
              <w:tc>
                <w:tcPr>
                  <w:tcW w:w="555" w:type="pct"/>
                  <w:vAlign w:val="center"/>
                </w:tcPr>
                <w:p w14:paraId="6AF09458">
                  <w:pPr>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2320</w:t>
                  </w:r>
                </w:p>
              </w:tc>
            </w:tr>
            <w:tr w14:paraId="24B035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594" w:type="pct"/>
                  <w:vMerge w:val="restart"/>
                  <w:tcBorders>
                    <w:right w:val="single" w:color="auto" w:sz="4" w:space="0"/>
                  </w:tcBorders>
                  <w:vAlign w:val="center"/>
                </w:tcPr>
                <w:p w14:paraId="2DB345CA">
                  <w:pPr>
                    <w:jc w:val="center"/>
                    <w:rPr>
                      <w:rFonts w:ascii="Times New Roman" w:hAnsi="Times New Roman"/>
                      <w:b/>
                      <w:sz w:val="18"/>
                      <w:szCs w:val="18"/>
                    </w:rPr>
                  </w:pPr>
                  <w:r>
                    <w:rPr>
                      <w:rFonts w:hint="default" w:ascii="Times New Roman" w:hAnsi="Times New Roman" w:eastAsia="宋体" w:cs="Times New Roman"/>
                      <w:b/>
                      <w:sz w:val="18"/>
                      <w:szCs w:val="18"/>
                      <w:lang w:val="en-US" w:eastAsia="zh-CN"/>
                    </w:rPr>
                    <w:t>VOCs</w:t>
                  </w:r>
                </w:p>
              </w:tc>
              <w:tc>
                <w:tcPr>
                  <w:tcW w:w="1078" w:type="pct"/>
                  <w:tcBorders>
                    <w:left w:val="single" w:color="auto" w:sz="4" w:space="0"/>
                  </w:tcBorders>
                  <w:vAlign w:val="center"/>
                </w:tcPr>
                <w:p w14:paraId="60AFF64A">
                  <w:pPr>
                    <w:rPr>
                      <w:rFonts w:ascii="Times New Roman" w:hAnsi="Times New Roman"/>
                      <w:b/>
                      <w:sz w:val="18"/>
                      <w:szCs w:val="18"/>
                    </w:rPr>
                  </w:pPr>
                  <w:r>
                    <w:rPr>
                      <w:rFonts w:ascii="Times New Roman" w:hAnsi="Times New Roman"/>
                      <w:b/>
                      <w:sz w:val="18"/>
                      <w:szCs w:val="18"/>
                    </w:rPr>
                    <w:t>排放浓度（mg/m</w:t>
                  </w:r>
                  <w:r>
                    <w:rPr>
                      <w:rFonts w:ascii="Times New Roman" w:hAnsi="Times New Roman"/>
                      <w:b/>
                      <w:sz w:val="18"/>
                      <w:szCs w:val="18"/>
                      <w:vertAlign w:val="superscript"/>
                    </w:rPr>
                    <w:t>3</w:t>
                  </w:r>
                  <w:r>
                    <w:rPr>
                      <w:rFonts w:ascii="Times New Roman" w:hAnsi="Times New Roman"/>
                      <w:b/>
                      <w:sz w:val="18"/>
                      <w:szCs w:val="18"/>
                    </w:rPr>
                    <w:t>）</w:t>
                  </w:r>
                </w:p>
              </w:tc>
              <w:tc>
                <w:tcPr>
                  <w:tcW w:w="554" w:type="pct"/>
                  <w:vAlign w:val="center"/>
                </w:tcPr>
                <w:p w14:paraId="23CFA781">
                  <w:pPr>
                    <w:jc w:val="center"/>
                    <w:textAlignment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41.3</w:t>
                  </w:r>
                </w:p>
              </w:tc>
              <w:tc>
                <w:tcPr>
                  <w:tcW w:w="554" w:type="pct"/>
                  <w:vAlign w:val="center"/>
                </w:tcPr>
                <w:p w14:paraId="727296E2">
                  <w:pPr>
                    <w:jc w:val="center"/>
                    <w:textAlignment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32.2</w:t>
                  </w:r>
                </w:p>
              </w:tc>
              <w:tc>
                <w:tcPr>
                  <w:tcW w:w="554" w:type="pct"/>
                  <w:vAlign w:val="center"/>
                </w:tcPr>
                <w:p w14:paraId="3F09BADF">
                  <w:pPr>
                    <w:jc w:val="center"/>
                    <w:textAlignment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33.5</w:t>
                  </w:r>
                </w:p>
              </w:tc>
              <w:tc>
                <w:tcPr>
                  <w:tcW w:w="554" w:type="pct"/>
                  <w:vAlign w:val="center"/>
                </w:tcPr>
                <w:p w14:paraId="30493C88">
                  <w:pPr>
                    <w:jc w:val="center"/>
                    <w:textAlignment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4.06</w:t>
                  </w:r>
                </w:p>
              </w:tc>
              <w:tc>
                <w:tcPr>
                  <w:tcW w:w="554" w:type="pct"/>
                  <w:vAlign w:val="center"/>
                </w:tcPr>
                <w:p w14:paraId="5814E431">
                  <w:pPr>
                    <w:jc w:val="center"/>
                    <w:textAlignment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3.88</w:t>
                  </w:r>
                </w:p>
              </w:tc>
              <w:tc>
                <w:tcPr>
                  <w:tcW w:w="555" w:type="pct"/>
                  <w:vAlign w:val="center"/>
                </w:tcPr>
                <w:p w14:paraId="2FF60261">
                  <w:pPr>
                    <w:jc w:val="center"/>
                    <w:textAlignment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4.28</w:t>
                  </w:r>
                </w:p>
              </w:tc>
            </w:tr>
            <w:tr w14:paraId="6D4CAB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594" w:type="pct"/>
                  <w:vMerge w:val="continue"/>
                  <w:tcBorders>
                    <w:right w:val="single" w:color="auto" w:sz="4" w:space="0"/>
                  </w:tcBorders>
                  <w:vAlign w:val="center"/>
                </w:tcPr>
                <w:p w14:paraId="2308B0B6">
                  <w:pPr>
                    <w:jc w:val="center"/>
                    <w:rPr>
                      <w:rFonts w:ascii="Times New Roman" w:hAnsi="Times New Roman"/>
                      <w:b/>
                      <w:sz w:val="18"/>
                      <w:szCs w:val="18"/>
                    </w:rPr>
                  </w:pPr>
                </w:p>
              </w:tc>
              <w:tc>
                <w:tcPr>
                  <w:tcW w:w="1078" w:type="pct"/>
                  <w:tcBorders>
                    <w:left w:val="single" w:color="auto" w:sz="4" w:space="0"/>
                  </w:tcBorders>
                  <w:vAlign w:val="center"/>
                </w:tcPr>
                <w:p w14:paraId="03568E68">
                  <w:pPr>
                    <w:jc w:val="left"/>
                    <w:rPr>
                      <w:rFonts w:ascii="Times New Roman" w:hAnsi="Times New Roman"/>
                      <w:b/>
                      <w:sz w:val="18"/>
                      <w:szCs w:val="18"/>
                    </w:rPr>
                  </w:pPr>
                  <w:r>
                    <w:rPr>
                      <w:rFonts w:ascii="Times New Roman" w:hAnsi="Times New Roman"/>
                      <w:b/>
                      <w:sz w:val="18"/>
                      <w:szCs w:val="18"/>
                    </w:rPr>
                    <w:t>排放速率（kg/h）</w:t>
                  </w:r>
                </w:p>
              </w:tc>
              <w:tc>
                <w:tcPr>
                  <w:tcW w:w="554" w:type="pct"/>
                  <w:vAlign w:val="center"/>
                </w:tcPr>
                <w:p w14:paraId="2FD52105">
                  <w:pPr>
                    <w:jc w:val="center"/>
                    <w:textAlignment w:val="center"/>
                    <w:rPr>
                      <w:rFonts w:hint="default" w:ascii="Times New Roman" w:hAnsi="Times New Roman"/>
                      <w:sz w:val="18"/>
                      <w:szCs w:val="18"/>
                      <w:lang w:val="en-US" w:eastAsia="zh-CN"/>
                    </w:rPr>
                  </w:pPr>
                  <w:r>
                    <w:rPr>
                      <w:rFonts w:hint="eastAsia" w:ascii="Times New Roman" w:hAnsi="Times New Roman"/>
                      <w:sz w:val="18"/>
                      <w:szCs w:val="18"/>
                      <w:lang w:val="en-US" w:eastAsia="zh-CN"/>
                    </w:rPr>
                    <w:t>5.1</w:t>
                  </w: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Times New Roman" w:hAnsi="Times New Roman" w:eastAsia="宋体" w:cs="Times New Roman"/>
                      <w:i w:val="0"/>
                      <w:iCs w:val="0"/>
                      <w:color w:val="000000"/>
                      <w:kern w:val="0"/>
                      <w:sz w:val="18"/>
                      <w:szCs w:val="18"/>
                      <w:u w:val="none"/>
                      <w:vertAlign w:val="superscript"/>
                      <w:lang w:val="en-US" w:eastAsia="zh-CN" w:bidi="ar"/>
                    </w:rPr>
                    <w:t>-</w:t>
                  </w:r>
                  <w:r>
                    <w:rPr>
                      <w:rFonts w:hint="eastAsia" w:ascii="Times New Roman" w:hAnsi="Times New Roman" w:cs="Times New Roman"/>
                      <w:i w:val="0"/>
                      <w:iCs w:val="0"/>
                      <w:color w:val="000000"/>
                      <w:kern w:val="0"/>
                      <w:sz w:val="18"/>
                      <w:szCs w:val="18"/>
                      <w:u w:val="none"/>
                      <w:vertAlign w:val="superscript"/>
                      <w:lang w:val="en-US" w:eastAsia="zh-CN" w:bidi="ar"/>
                    </w:rPr>
                    <w:t>2</w:t>
                  </w:r>
                </w:p>
              </w:tc>
              <w:tc>
                <w:tcPr>
                  <w:tcW w:w="554" w:type="pct"/>
                  <w:vAlign w:val="center"/>
                </w:tcPr>
                <w:p w14:paraId="1E66ABC5">
                  <w:pPr>
                    <w:jc w:val="center"/>
                    <w:textAlignment w:val="center"/>
                    <w:rPr>
                      <w:rFonts w:hint="default" w:ascii="Times New Roman" w:hAnsi="Times New Roman"/>
                      <w:sz w:val="18"/>
                      <w:szCs w:val="18"/>
                      <w:lang w:val="en-US" w:eastAsia="zh-CN"/>
                    </w:rPr>
                  </w:pPr>
                  <w:r>
                    <w:rPr>
                      <w:rFonts w:hint="eastAsia" w:ascii="Times New Roman" w:hAnsi="Times New Roman"/>
                      <w:sz w:val="18"/>
                      <w:szCs w:val="18"/>
                      <w:lang w:val="en-US" w:eastAsia="zh-CN"/>
                    </w:rPr>
                    <w:t>3.9</w:t>
                  </w: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Times New Roman" w:hAnsi="Times New Roman" w:eastAsia="宋体" w:cs="Times New Roman"/>
                      <w:i w:val="0"/>
                      <w:iCs w:val="0"/>
                      <w:color w:val="000000"/>
                      <w:kern w:val="0"/>
                      <w:sz w:val="18"/>
                      <w:szCs w:val="18"/>
                      <w:u w:val="none"/>
                      <w:vertAlign w:val="superscript"/>
                      <w:lang w:val="en-US" w:eastAsia="zh-CN" w:bidi="ar"/>
                    </w:rPr>
                    <w:t>-</w:t>
                  </w:r>
                  <w:r>
                    <w:rPr>
                      <w:rFonts w:hint="eastAsia" w:ascii="Times New Roman" w:hAnsi="Times New Roman" w:cs="Times New Roman"/>
                      <w:i w:val="0"/>
                      <w:iCs w:val="0"/>
                      <w:color w:val="000000"/>
                      <w:kern w:val="0"/>
                      <w:sz w:val="18"/>
                      <w:szCs w:val="18"/>
                      <w:u w:val="none"/>
                      <w:vertAlign w:val="superscript"/>
                      <w:lang w:val="en-US" w:eastAsia="zh-CN" w:bidi="ar"/>
                    </w:rPr>
                    <w:t>2</w:t>
                  </w:r>
                </w:p>
              </w:tc>
              <w:tc>
                <w:tcPr>
                  <w:tcW w:w="554" w:type="pct"/>
                  <w:vAlign w:val="center"/>
                </w:tcPr>
                <w:p w14:paraId="44CEDB63">
                  <w:pPr>
                    <w:jc w:val="center"/>
                    <w:textAlignment w:val="center"/>
                    <w:rPr>
                      <w:rFonts w:hint="default" w:ascii="Times New Roman" w:hAnsi="Times New Roman"/>
                      <w:sz w:val="18"/>
                      <w:szCs w:val="18"/>
                      <w:lang w:val="en-US" w:eastAsia="zh-CN"/>
                    </w:rPr>
                  </w:pPr>
                  <w:r>
                    <w:rPr>
                      <w:rFonts w:hint="eastAsia" w:ascii="Times New Roman" w:hAnsi="Times New Roman"/>
                      <w:sz w:val="18"/>
                      <w:szCs w:val="18"/>
                      <w:lang w:val="en-US" w:eastAsia="zh-CN"/>
                    </w:rPr>
                    <w:t>4.2</w:t>
                  </w: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Times New Roman" w:hAnsi="Times New Roman" w:eastAsia="宋体" w:cs="Times New Roman"/>
                      <w:i w:val="0"/>
                      <w:iCs w:val="0"/>
                      <w:color w:val="000000"/>
                      <w:kern w:val="0"/>
                      <w:sz w:val="18"/>
                      <w:szCs w:val="18"/>
                      <w:u w:val="none"/>
                      <w:vertAlign w:val="superscript"/>
                      <w:lang w:val="en-US" w:eastAsia="zh-CN" w:bidi="ar"/>
                    </w:rPr>
                    <w:t>-</w:t>
                  </w:r>
                  <w:r>
                    <w:rPr>
                      <w:rFonts w:hint="eastAsia" w:ascii="Times New Roman" w:hAnsi="Times New Roman" w:cs="Times New Roman"/>
                      <w:i w:val="0"/>
                      <w:iCs w:val="0"/>
                      <w:color w:val="000000"/>
                      <w:kern w:val="0"/>
                      <w:sz w:val="18"/>
                      <w:szCs w:val="18"/>
                      <w:u w:val="none"/>
                      <w:vertAlign w:val="superscript"/>
                      <w:lang w:val="en-US" w:eastAsia="zh-CN" w:bidi="ar"/>
                    </w:rPr>
                    <w:t>2</w:t>
                  </w:r>
                </w:p>
              </w:tc>
              <w:tc>
                <w:tcPr>
                  <w:tcW w:w="554" w:type="pct"/>
                  <w:vAlign w:val="center"/>
                </w:tcPr>
                <w:p w14:paraId="3CE67A93">
                  <w:pPr>
                    <w:jc w:val="center"/>
                    <w:textAlignment w:val="center"/>
                    <w:rPr>
                      <w:rFonts w:hint="default" w:ascii="Times New Roman" w:hAnsi="Times New Roman"/>
                      <w:sz w:val="18"/>
                      <w:szCs w:val="18"/>
                      <w:lang w:val="en-US" w:eastAsia="zh-CN"/>
                    </w:rPr>
                  </w:pPr>
                  <w:r>
                    <w:rPr>
                      <w:rFonts w:hint="eastAsia" w:ascii="Times New Roman" w:hAnsi="Times New Roman"/>
                      <w:sz w:val="18"/>
                      <w:szCs w:val="18"/>
                      <w:lang w:val="en-US" w:eastAsia="zh-CN"/>
                    </w:rPr>
                    <w:t>9.5</w:t>
                  </w: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Times New Roman" w:hAnsi="Times New Roman" w:eastAsia="宋体" w:cs="Times New Roman"/>
                      <w:i w:val="0"/>
                      <w:iCs w:val="0"/>
                      <w:color w:val="000000"/>
                      <w:kern w:val="0"/>
                      <w:sz w:val="18"/>
                      <w:szCs w:val="18"/>
                      <w:u w:val="none"/>
                      <w:vertAlign w:val="superscript"/>
                      <w:lang w:val="en-US" w:eastAsia="zh-CN" w:bidi="ar"/>
                    </w:rPr>
                    <w:t>-3</w:t>
                  </w:r>
                </w:p>
              </w:tc>
              <w:tc>
                <w:tcPr>
                  <w:tcW w:w="554" w:type="pct"/>
                  <w:vAlign w:val="center"/>
                </w:tcPr>
                <w:p w14:paraId="3EB8A0F1">
                  <w:pPr>
                    <w:jc w:val="center"/>
                    <w:textAlignment w:val="center"/>
                    <w:rPr>
                      <w:rFonts w:hint="default" w:ascii="Times New Roman" w:hAnsi="Times New Roman"/>
                      <w:sz w:val="18"/>
                      <w:szCs w:val="18"/>
                      <w:lang w:val="en-US" w:eastAsia="zh-CN"/>
                    </w:rPr>
                  </w:pPr>
                  <w:r>
                    <w:rPr>
                      <w:rFonts w:hint="eastAsia" w:ascii="Times New Roman" w:hAnsi="Times New Roman"/>
                      <w:sz w:val="18"/>
                      <w:szCs w:val="18"/>
                      <w:lang w:val="en-US" w:eastAsia="zh-CN"/>
                    </w:rPr>
                    <w:t>9.0</w:t>
                  </w: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Times New Roman" w:hAnsi="Times New Roman" w:eastAsia="宋体" w:cs="Times New Roman"/>
                      <w:i w:val="0"/>
                      <w:iCs w:val="0"/>
                      <w:color w:val="000000"/>
                      <w:kern w:val="0"/>
                      <w:sz w:val="18"/>
                      <w:szCs w:val="18"/>
                      <w:u w:val="none"/>
                      <w:vertAlign w:val="superscript"/>
                      <w:lang w:val="en-US" w:eastAsia="zh-CN" w:bidi="ar"/>
                    </w:rPr>
                    <w:t>-</w:t>
                  </w:r>
                  <w:r>
                    <w:rPr>
                      <w:rFonts w:hint="eastAsia" w:ascii="Times New Roman" w:hAnsi="Times New Roman" w:cs="Times New Roman"/>
                      <w:i w:val="0"/>
                      <w:iCs w:val="0"/>
                      <w:color w:val="000000"/>
                      <w:kern w:val="0"/>
                      <w:sz w:val="18"/>
                      <w:szCs w:val="18"/>
                      <w:u w:val="none"/>
                      <w:vertAlign w:val="superscript"/>
                      <w:lang w:val="en-US" w:eastAsia="zh-CN" w:bidi="ar"/>
                    </w:rPr>
                    <w:t>3</w:t>
                  </w:r>
                </w:p>
              </w:tc>
              <w:tc>
                <w:tcPr>
                  <w:tcW w:w="555" w:type="pct"/>
                  <w:vAlign w:val="center"/>
                </w:tcPr>
                <w:p w14:paraId="5FE406A6">
                  <w:pPr>
                    <w:jc w:val="center"/>
                    <w:textAlignment w:val="center"/>
                    <w:rPr>
                      <w:rFonts w:hint="default" w:ascii="Times New Roman" w:hAnsi="Times New Roman"/>
                      <w:sz w:val="18"/>
                      <w:szCs w:val="18"/>
                      <w:lang w:val="en-US" w:eastAsia="zh-CN"/>
                    </w:rPr>
                  </w:pPr>
                  <w:r>
                    <w:rPr>
                      <w:rFonts w:hint="eastAsia" w:ascii="Times New Roman" w:hAnsi="Times New Roman"/>
                      <w:sz w:val="18"/>
                      <w:szCs w:val="18"/>
                      <w:lang w:val="en-US" w:eastAsia="zh-CN"/>
                    </w:rPr>
                    <w:t>9.9</w:t>
                  </w: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Times New Roman" w:hAnsi="Times New Roman" w:eastAsia="宋体" w:cs="Times New Roman"/>
                      <w:i w:val="0"/>
                      <w:iCs w:val="0"/>
                      <w:color w:val="000000"/>
                      <w:kern w:val="0"/>
                      <w:sz w:val="18"/>
                      <w:szCs w:val="18"/>
                      <w:u w:val="none"/>
                      <w:vertAlign w:val="superscript"/>
                      <w:lang w:val="en-US" w:eastAsia="zh-CN" w:bidi="ar"/>
                    </w:rPr>
                    <w:t>-</w:t>
                  </w:r>
                  <w:r>
                    <w:rPr>
                      <w:rFonts w:hint="eastAsia" w:ascii="Times New Roman" w:hAnsi="Times New Roman" w:cs="Times New Roman"/>
                      <w:i w:val="0"/>
                      <w:iCs w:val="0"/>
                      <w:color w:val="000000"/>
                      <w:kern w:val="0"/>
                      <w:sz w:val="18"/>
                      <w:szCs w:val="18"/>
                      <w:u w:val="none"/>
                      <w:vertAlign w:val="superscript"/>
                      <w:lang w:val="en-US" w:eastAsia="zh-CN" w:bidi="ar"/>
                    </w:rPr>
                    <w:t>3</w:t>
                  </w:r>
                </w:p>
              </w:tc>
            </w:tr>
            <w:tr w14:paraId="3E4B98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673" w:type="pct"/>
                  <w:gridSpan w:val="2"/>
                  <w:vAlign w:val="center"/>
                </w:tcPr>
                <w:p w14:paraId="5EB9575D">
                  <w:pPr>
                    <w:jc w:val="center"/>
                    <w:rPr>
                      <w:rFonts w:ascii="Times New Roman" w:hAnsi="Times New Roman"/>
                      <w:b/>
                      <w:sz w:val="18"/>
                      <w:szCs w:val="18"/>
                    </w:rPr>
                  </w:pPr>
                  <w:r>
                    <w:rPr>
                      <w:rFonts w:ascii="Times New Roman" w:hAnsi="Times New Roman"/>
                      <w:b/>
                      <w:sz w:val="18"/>
                      <w:szCs w:val="18"/>
                    </w:rPr>
                    <w:t>备注</w:t>
                  </w:r>
                </w:p>
              </w:tc>
              <w:tc>
                <w:tcPr>
                  <w:tcW w:w="3326" w:type="pct"/>
                  <w:gridSpan w:val="6"/>
                  <w:vAlign w:val="center"/>
                </w:tcPr>
                <w:p w14:paraId="322C17C3">
                  <w:pPr>
                    <w:jc w:val="center"/>
                    <w:rPr>
                      <w:rFonts w:ascii="Times New Roman" w:hAnsi="Times New Roman"/>
                      <w:color w:val="000000"/>
                      <w:kern w:val="0"/>
                      <w:sz w:val="18"/>
                      <w:szCs w:val="18"/>
                      <w:highlight w:val="yellow"/>
                    </w:rPr>
                  </w:pPr>
                  <w:r>
                    <w:rPr>
                      <w:rFonts w:ascii="Times New Roman" w:hAnsi="Times New Roman"/>
                      <w:color w:val="000000"/>
                      <w:kern w:val="0"/>
                      <w:sz w:val="18"/>
                      <w:szCs w:val="18"/>
                    </w:rPr>
                    <w:t>/</w:t>
                  </w:r>
                </w:p>
              </w:tc>
            </w:tr>
            <w:tr w14:paraId="63CB08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673" w:type="pct"/>
                  <w:gridSpan w:val="2"/>
                  <w:vAlign w:val="center"/>
                </w:tcPr>
                <w:p w14:paraId="09727C67">
                  <w:pPr>
                    <w:jc w:val="center"/>
                    <w:rPr>
                      <w:rFonts w:ascii="Times New Roman" w:hAnsi="Times New Roman" w:eastAsia="宋体" w:cs="Times New Roman"/>
                      <w:b/>
                      <w:bCs/>
                      <w:kern w:val="2"/>
                      <w:sz w:val="18"/>
                      <w:szCs w:val="18"/>
                      <w:lang w:val="en-US" w:eastAsia="zh-CN" w:bidi="ar-SA"/>
                    </w:rPr>
                  </w:pPr>
                  <w:r>
                    <w:rPr>
                      <w:rFonts w:ascii="Times New Roman" w:hAnsi="Times New Roman"/>
                      <w:b/>
                      <w:bCs/>
                      <w:sz w:val="18"/>
                      <w:szCs w:val="18"/>
                    </w:rPr>
                    <w:t>检测点位</w:t>
                  </w:r>
                </w:p>
              </w:tc>
              <w:tc>
                <w:tcPr>
                  <w:tcW w:w="3326" w:type="pct"/>
                  <w:gridSpan w:val="6"/>
                  <w:vAlign w:val="center"/>
                </w:tcPr>
                <w:p w14:paraId="6C84AB07">
                  <w:pPr>
                    <w:jc w:val="center"/>
                    <w:rPr>
                      <w:rFonts w:hint="eastAsia" w:ascii="Times New Roman" w:hAnsi="Times New Roman"/>
                      <w:bCs/>
                      <w:sz w:val="18"/>
                      <w:szCs w:val="18"/>
                      <w:lang w:val="en-US" w:eastAsia="zh-CN"/>
                    </w:rPr>
                  </w:pPr>
                  <w:r>
                    <w:rPr>
                      <w:rFonts w:hint="eastAsia" w:ascii="Times New Roman" w:hAnsi="Times New Roman"/>
                      <w:bCs/>
                      <w:sz w:val="18"/>
                      <w:szCs w:val="18"/>
                      <w:lang w:val="en-US" w:eastAsia="zh-CN"/>
                    </w:rPr>
                    <w:t>DA002排气筒出口</w:t>
                  </w:r>
                </w:p>
              </w:tc>
            </w:tr>
            <w:tr w14:paraId="5F6915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673" w:type="pct"/>
                  <w:gridSpan w:val="2"/>
                  <w:vAlign w:val="center"/>
                </w:tcPr>
                <w:p w14:paraId="29412FFB">
                  <w:pPr>
                    <w:jc w:val="center"/>
                    <w:rPr>
                      <w:rFonts w:ascii="Times New Roman" w:hAnsi="Times New Roman" w:eastAsia="宋体" w:cs="Times New Roman"/>
                      <w:b/>
                      <w:bCs/>
                      <w:kern w:val="2"/>
                      <w:sz w:val="18"/>
                      <w:szCs w:val="18"/>
                      <w:lang w:val="en-US" w:eastAsia="zh-CN" w:bidi="ar-SA"/>
                    </w:rPr>
                  </w:pPr>
                  <w:r>
                    <w:rPr>
                      <w:rFonts w:ascii="Times New Roman" w:hAnsi="Times New Roman"/>
                      <w:b/>
                      <w:bCs/>
                      <w:sz w:val="18"/>
                      <w:szCs w:val="18"/>
                    </w:rPr>
                    <w:t>排气筒高度（m）</w:t>
                  </w:r>
                </w:p>
              </w:tc>
              <w:tc>
                <w:tcPr>
                  <w:tcW w:w="3326" w:type="pct"/>
                  <w:gridSpan w:val="6"/>
                  <w:vAlign w:val="center"/>
                </w:tcPr>
                <w:p w14:paraId="6D691D51">
                  <w:pPr>
                    <w:jc w:val="center"/>
                    <w:rPr>
                      <w:rFonts w:hint="default" w:ascii="Times New Roman" w:hAnsi="Times New Roman" w:cs="Times New Roman"/>
                      <w:bCs/>
                      <w:sz w:val="18"/>
                      <w:szCs w:val="18"/>
                      <w:lang w:val="en-US" w:eastAsia="zh-CN"/>
                    </w:rPr>
                  </w:pPr>
                  <w:r>
                    <w:rPr>
                      <w:rFonts w:hint="eastAsia" w:ascii="Times New Roman" w:hAnsi="Times New Roman" w:cs="Times New Roman"/>
                      <w:bCs/>
                      <w:sz w:val="18"/>
                      <w:szCs w:val="18"/>
                      <w:lang w:val="en-US" w:eastAsia="zh-CN"/>
                    </w:rPr>
                    <w:t>15</w:t>
                  </w:r>
                </w:p>
              </w:tc>
            </w:tr>
            <w:tr w14:paraId="69516F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673" w:type="pct"/>
                  <w:gridSpan w:val="2"/>
                  <w:vAlign w:val="center"/>
                </w:tcPr>
                <w:p w14:paraId="244AD979">
                  <w:pPr>
                    <w:jc w:val="center"/>
                    <w:rPr>
                      <w:rFonts w:ascii="Times New Roman" w:hAnsi="Times New Roman"/>
                      <w:b/>
                      <w:bCs/>
                      <w:sz w:val="18"/>
                      <w:szCs w:val="18"/>
                    </w:rPr>
                  </w:pPr>
                  <w:r>
                    <w:rPr>
                      <w:rFonts w:ascii="Times New Roman" w:hAnsi="Times New Roman"/>
                      <w:b/>
                      <w:bCs/>
                      <w:sz w:val="18"/>
                      <w:szCs w:val="18"/>
                    </w:rPr>
                    <w:t>排气筒截面积（m</w:t>
                  </w:r>
                  <w:r>
                    <w:rPr>
                      <w:rFonts w:ascii="Times New Roman" w:hAnsi="Times New Roman"/>
                      <w:b/>
                      <w:bCs/>
                      <w:sz w:val="18"/>
                      <w:szCs w:val="18"/>
                      <w:vertAlign w:val="superscript"/>
                    </w:rPr>
                    <w:t>2</w:t>
                  </w:r>
                  <w:r>
                    <w:rPr>
                      <w:rFonts w:ascii="Times New Roman" w:hAnsi="Times New Roman"/>
                      <w:b/>
                      <w:bCs/>
                      <w:sz w:val="18"/>
                      <w:szCs w:val="18"/>
                    </w:rPr>
                    <w:t>）</w:t>
                  </w:r>
                </w:p>
              </w:tc>
              <w:tc>
                <w:tcPr>
                  <w:tcW w:w="3326" w:type="pct"/>
                  <w:gridSpan w:val="6"/>
                  <w:vAlign w:val="center"/>
                </w:tcPr>
                <w:p w14:paraId="66B6FB19">
                  <w:pPr>
                    <w:jc w:val="center"/>
                    <w:textAlignment w:val="center"/>
                    <w:rPr>
                      <w:rFonts w:hint="default" w:ascii="Times New Roman" w:hAnsi="Times New Roman"/>
                      <w:bCs/>
                      <w:sz w:val="18"/>
                      <w:szCs w:val="18"/>
                      <w:lang w:val="en-US" w:eastAsia="zh-CN"/>
                    </w:rPr>
                  </w:pPr>
                  <w:r>
                    <w:rPr>
                      <w:rFonts w:hint="eastAsia" w:ascii="Times New Roman" w:hAnsi="Times New Roman"/>
                      <w:bCs/>
                      <w:sz w:val="18"/>
                      <w:szCs w:val="18"/>
                      <w:lang w:val="en-US" w:eastAsia="zh-CN"/>
                    </w:rPr>
                    <w:t>0.0314</w:t>
                  </w:r>
                </w:p>
              </w:tc>
            </w:tr>
            <w:tr w14:paraId="1CA7D5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673" w:type="pct"/>
                  <w:gridSpan w:val="2"/>
                  <w:vAlign w:val="center"/>
                </w:tcPr>
                <w:p w14:paraId="72F937B7">
                  <w:pPr>
                    <w:jc w:val="center"/>
                    <w:rPr>
                      <w:rFonts w:ascii="Times New Roman" w:hAnsi="Times New Roman"/>
                      <w:b/>
                      <w:bCs/>
                      <w:sz w:val="18"/>
                      <w:szCs w:val="18"/>
                    </w:rPr>
                  </w:pPr>
                  <w:r>
                    <w:rPr>
                      <w:rFonts w:hint="eastAsia" w:ascii="Times New Roman" w:hAnsi="Times New Roman"/>
                      <w:b/>
                      <w:bCs/>
                      <w:sz w:val="18"/>
                      <w:szCs w:val="18"/>
                    </w:rPr>
                    <w:t>检测日期</w:t>
                  </w:r>
                </w:p>
              </w:tc>
              <w:tc>
                <w:tcPr>
                  <w:tcW w:w="3326" w:type="pct"/>
                  <w:gridSpan w:val="6"/>
                  <w:vAlign w:val="center"/>
                </w:tcPr>
                <w:p w14:paraId="24B021F1">
                  <w:pPr>
                    <w:jc w:val="center"/>
                    <w:rPr>
                      <w:rFonts w:hint="eastAsia" w:ascii="Times New Roman" w:hAnsi="Times New Roman" w:eastAsia="宋体"/>
                      <w:bCs/>
                      <w:sz w:val="18"/>
                      <w:szCs w:val="18"/>
                      <w:lang w:eastAsia="zh-CN"/>
                    </w:rPr>
                  </w:pPr>
                  <w:r>
                    <w:rPr>
                      <w:rFonts w:hint="eastAsia" w:ascii="Times New Roman" w:hAnsi="Times New Roman"/>
                      <w:sz w:val="18"/>
                      <w:szCs w:val="18"/>
                      <w:lang w:eastAsia="zh-CN"/>
                    </w:rPr>
                    <w:t>2024.08.16</w:t>
                  </w:r>
                </w:p>
              </w:tc>
            </w:tr>
            <w:tr w14:paraId="0979BD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673" w:type="pct"/>
                  <w:gridSpan w:val="2"/>
                  <w:vAlign w:val="center"/>
                </w:tcPr>
                <w:p w14:paraId="3979E8A4">
                  <w:pPr>
                    <w:jc w:val="center"/>
                    <w:rPr>
                      <w:rFonts w:ascii="Times New Roman" w:hAnsi="Times New Roman" w:eastAsia="宋体" w:cs="Times New Roman"/>
                      <w:b/>
                      <w:bCs/>
                      <w:kern w:val="2"/>
                      <w:sz w:val="18"/>
                      <w:szCs w:val="18"/>
                      <w:lang w:val="en-US" w:eastAsia="zh-CN" w:bidi="ar-SA"/>
                    </w:rPr>
                  </w:pPr>
                  <w:r>
                    <w:rPr>
                      <w:rFonts w:hint="eastAsia" w:ascii="Times New Roman" w:hAnsi="Times New Roman"/>
                      <w:b/>
                      <w:bCs/>
                      <w:sz w:val="18"/>
                      <w:szCs w:val="18"/>
                    </w:rPr>
                    <w:t>检测</w:t>
                  </w:r>
                  <w:r>
                    <w:rPr>
                      <w:rFonts w:ascii="Times New Roman" w:hAnsi="Times New Roman"/>
                      <w:b/>
                      <w:bCs/>
                      <w:sz w:val="18"/>
                      <w:szCs w:val="18"/>
                    </w:rPr>
                    <w:t>频次</w:t>
                  </w:r>
                </w:p>
              </w:tc>
              <w:tc>
                <w:tcPr>
                  <w:tcW w:w="1108" w:type="pct"/>
                  <w:gridSpan w:val="2"/>
                  <w:vAlign w:val="center"/>
                </w:tcPr>
                <w:p w14:paraId="2A1B128F">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频次1</w:t>
                  </w:r>
                </w:p>
              </w:tc>
              <w:tc>
                <w:tcPr>
                  <w:tcW w:w="1109" w:type="pct"/>
                  <w:gridSpan w:val="2"/>
                  <w:vAlign w:val="center"/>
                </w:tcPr>
                <w:p w14:paraId="48456058">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频次2</w:t>
                  </w:r>
                </w:p>
              </w:tc>
              <w:tc>
                <w:tcPr>
                  <w:tcW w:w="1109" w:type="pct"/>
                  <w:gridSpan w:val="2"/>
                  <w:vAlign w:val="center"/>
                </w:tcPr>
                <w:p w14:paraId="713D8759">
                  <w:pPr>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频次3</w:t>
                  </w:r>
                </w:p>
              </w:tc>
            </w:tr>
            <w:tr w14:paraId="5FEA25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673" w:type="pct"/>
                  <w:gridSpan w:val="2"/>
                  <w:vAlign w:val="center"/>
                </w:tcPr>
                <w:p w14:paraId="5DB8D57D">
                  <w:pPr>
                    <w:jc w:val="center"/>
                    <w:rPr>
                      <w:rFonts w:ascii="Times New Roman" w:hAnsi="Times New Roman" w:eastAsia="宋体" w:cs="Times New Roman"/>
                      <w:b/>
                      <w:kern w:val="2"/>
                      <w:sz w:val="18"/>
                      <w:szCs w:val="18"/>
                      <w:lang w:val="en-US" w:eastAsia="zh-CN" w:bidi="ar-SA"/>
                    </w:rPr>
                  </w:pPr>
                  <w:r>
                    <w:rPr>
                      <w:rFonts w:ascii="Times New Roman" w:hAnsi="Times New Roman"/>
                      <w:b/>
                      <w:sz w:val="18"/>
                      <w:szCs w:val="18"/>
                    </w:rPr>
                    <w:t>标干流量（m</w:t>
                  </w:r>
                  <w:r>
                    <w:rPr>
                      <w:rFonts w:ascii="Times New Roman" w:hAnsi="Times New Roman"/>
                      <w:b/>
                      <w:sz w:val="18"/>
                      <w:szCs w:val="18"/>
                      <w:vertAlign w:val="superscript"/>
                    </w:rPr>
                    <w:t>3</w:t>
                  </w:r>
                  <w:r>
                    <w:rPr>
                      <w:rFonts w:ascii="Times New Roman" w:hAnsi="Times New Roman"/>
                      <w:b/>
                      <w:sz w:val="18"/>
                      <w:szCs w:val="18"/>
                    </w:rPr>
                    <w:t>/h）</w:t>
                  </w:r>
                </w:p>
              </w:tc>
              <w:tc>
                <w:tcPr>
                  <w:tcW w:w="1108" w:type="pct"/>
                  <w:gridSpan w:val="2"/>
                  <w:vAlign w:val="center"/>
                </w:tcPr>
                <w:p w14:paraId="39224F03">
                  <w:pPr>
                    <w:jc w:val="center"/>
                    <w:textAlignment w:val="center"/>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107</w:t>
                  </w:r>
                </w:p>
              </w:tc>
              <w:tc>
                <w:tcPr>
                  <w:tcW w:w="1109" w:type="pct"/>
                  <w:gridSpan w:val="2"/>
                  <w:vAlign w:val="center"/>
                </w:tcPr>
                <w:p w14:paraId="7A8CDDB2">
                  <w:pPr>
                    <w:jc w:val="center"/>
                    <w:textAlignment w:val="center"/>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107</w:t>
                  </w:r>
                </w:p>
              </w:tc>
              <w:tc>
                <w:tcPr>
                  <w:tcW w:w="1109" w:type="pct"/>
                  <w:gridSpan w:val="2"/>
                  <w:vAlign w:val="center"/>
                </w:tcPr>
                <w:p w14:paraId="1295A654">
                  <w:pPr>
                    <w:jc w:val="center"/>
                    <w:textAlignment w:val="center"/>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106</w:t>
                  </w:r>
                </w:p>
              </w:tc>
            </w:tr>
            <w:tr w14:paraId="1DBA3F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594" w:type="pct"/>
                  <w:vMerge w:val="restart"/>
                  <w:tcBorders>
                    <w:right w:val="single" w:color="auto" w:sz="4" w:space="0"/>
                  </w:tcBorders>
                  <w:vAlign w:val="center"/>
                </w:tcPr>
                <w:p w14:paraId="075B6648">
                  <w:pPr>
                    <w:jc w:val="center"/>
                    <w:rPr>
                      <w:rFonts w:ascii="Times New Roman" w:hAnsi="Times New Roman"/>
                      <w:b/>
                      <w:sz w:val="18"/>
                      <w:szCs w:val="18"/>
                    </w:rPr>
                  </w:pPr>
                  <w:r>
                    <w:rPr>
                      <w:rFonts w:hint="default" w:ascii="Times New Roman" w:hAnsi="Times New Roman" w:eastAsia="宋体" w:cs="Times New Roman"/>
                      <w:b/>
                      <w:sz w:val="18"/>
                      <w:szCs w:val="18"/>
                      <w:lang w:val="en-US" w:eastAsia="zh-CN"/>
                    </w:rPr>
                    <w:t>VOCs</w:t>
                  </w:r>
                </w:p>
              </w:tc>
              <w:tc>
                <w:tcPr>
                  <w:tcW w:w="1078" w:type="pct"/>
                  <w:tcBorders>
                    <w:left w:val="single" w:color="auto" w:sz="4" w:space="0"/>
                  </w:tcBorders>
                  <w:vAlign w:val="center"/>
                </w:tcPr>
                <w:p w14:paraId="08F886D2">
                  <w:pPr>
                    <w:rPr>
                      <w:rFonts w:ascii="Times New Roman" w:hAnsi="Times New Roman"/>
                      <w:b/>
                      <w:sz w:val="18"/>
                      <w:szCs w:val="18"/>
                    </w:rPr>
                  </w:pPr>
                  <w:r>
                    <w:rPr>
                      <w:rFonts w:ascii="Times New Roman" w:hAnsi="Times New Roman"/>
                      <w:b/>
                      <w:sz w:val="18"/>
                      <w:szCs w:val="18"/>
                    </w:rPr>
                    <w:t>排放浓度（mg/m</w:t>
                  </w:r>
                  <w:r>
                    <w:rPr>
                      <w:rFonts w:ascii="Times New Roman" w:hAnsi="Times New Roman"/>
                      <w:b/>
                      <w:sz w:val="18"/>
                      <w:szCs w:val="18"/>
                      <w:vertAlign w:val="superscript"/>
                    </w:rPr>
                    <w:t>3</w:t>
                  </w:r>
                  <w:r>
                    <w:rPr>
                      <w:rFonts w:ascii="Times New Roman" w:hAnsi="Times New Roman"/>
                      <w:b/>
                      <w:sz w:val="18"/>
                      <w:szCs w:val="18"/>
                    </w:rPr>
                    <w:t>）</w:t>
                  </w:r>
                </w:p>
              </w:tc>
              <w:tc>
                <w:tcPr>
                  <w:tcW w:w="1108" w:type="pct"/>
                  <w:gridSpan w:val="2"/>
                  <w:vAlign w:val="center"/>
                </w:tcPr>
                <w:p w14:paraId="7D1B4B54">
                  <w:pPr>
                    <w:jc w:val="center"/>
                    <w:textAlignment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3.93</w:t>
                  </w:r>
                </w:p>
              </w:tc>
              <w:tc>
                <w:tcPr>
                  <w:tcW w:w="1109" w:type="pct"/>
                  <w:gridSpan w:val="2"/>
                  <w:vAlign w:val="center"/>
                </w:tcPr>
                <w:p w14:paraId="26213ED1">
                  <w:pPr>
                    <w:jc w:val="center"/>
                    <w:textAlignment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3.67</w:t>
                  </w:r>
                </w:p>
              </w:tc>
              <w:tc>
                <w:tcPr>
                  <w:tcW w:w="1109" w:type="pct"/>
                  <w:gridSpan w:val="2"/>
                  <w:vAlign w:val="center"/>
                </w:tcPr>
                <w:p w14:paraId="39D20231">
                  <w:pPr>
                    <w:jc w:val="center"/>
                    <w:textAlignment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4.08</w:t>
                  </w:r>
                </w:p>
              </w:tc>
            </w:tr>
            <w:tr w14:paraId="7A5BC6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594" w:type="pct"/>
                  <w:vMerge w:val="continue"/>
                  <w:tcBorders>
                    <w:right w:val="single" w:color="auto" w:sz="4" w:space="0"/>
                  </w:tcBorders>
                  <w:vAlign w:val="center"/>
                </w:tcPr>
                <w:p w14:paraId="69AC3933">
                  <w:pPr>
                    <w:jc w:val="center"/>
                    <w:rPr>
                      <w:rFonts w:ascii="Times New Roman" w:hAnsi="Times New Roman"/>
                      <w:b/>
                      <w:sz w:val="18"/>
                      <w:szCs w:val="18"/>
                    </w:rPr>
                  </w:pPr>
                </w:p>
              </w:tc>
              <w:tc>
                <w:tcPr>
                  <w:tcW w:w="1078" w:type="pct"/>
                  <w:tcBorders>
                    <w:left w:val="single" w:color="auto" w:sz="4" w:space="0"/>
                  </w:tcBorders>
                  <w:vAlign w:val="center"/>
                </w:tcPr>
                <w:p w14:paraId="6CDCC959">
                  <w:pPr>
                    <w:jc w:val="left"/>
                    <w:rPr>
                      <w:rFonts w:ascii="Times New Roman" w:hAnsi="Times New Roman"/>
                      <w:b/>
                      <w:sz w:val="18"/>
                      <w:szCs w:val="18"/>
                    </w:rPr>
                  </w:pPr>
                  <w:r>
                    <w:rPr>
                      <w:rFonts w:ascii="Times New Roman" w:hAnsi="Times New Roman"/>
                      <w:b/>
                      <w:sz w:val="18"/>
                      <w:szCs w:val="18"/>
                    </w:rPr>
                    <w:t>排放速率（kg/h）</w:t>
                  </w:r>
                </w:p>
              </w:tc>
              <w:tc>
                <w:tcPr>
                  <w:tcW w:w="1108" w:type="pct"/>
                  <w:gridSpan w:val="2"/>
                  <w:vAlign w:val="center"/>
                </w:tcPr>
                <w:p w14:paraId="16297A88">
                  <w:pPr>
                    <w:jc w:val="center"/>
                    <w:textAlignment w:val="center"/>
                    <w:rPr>
                      <w:rFonts w:hint="default" w:ascii="Times New Roman" w:hAnsi="Times New Roman"/>
                      <w:sz w:val="18"/>
                      <w:szCs w:val="18"/>
                      <w:lang w:val="en-US" w:eastAsia="zh-CN"/>
                    </w:rPr>
                  </w:pPr>
                  <w:r>
                    <w:rPr>
                      <w:rFonts w:hint="eastAsia" w:ascii="Times New Roman" w:hAnsi="Times New Roman"/>
                      <w:sz w:val="18"/>
                      <w:szCs w:val="18"/>
                      <w:lang w:val="en-US" w:eastAsia="zh-CN"/>
                    </w:rPr>
                    <w:t>4.2</w:t>
                  </w: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Times New Roman" w:hAnsi="Times New Roman" w:eastAsia="宋体" w:cs="Times New Roman"/>
                      <w:i w:val="0"/>
                      <w:iCs w:val="0"/>
                      <w:color w:val="000000"/>
                      <w:kern w:val="0"/>
                      <w:sz w:val="18"/>
                      <w:szCs w:val="18"/>
                      <w:u w:val="none"/>
                      <w:vertAlign w:val="superscript"/>
                      <w:lang w:val="en-US" w:eastAsia="zh-CN" w:bidi="ar"/>
                    </w:rPr>
                    <w:t>-</w:t>
                  </w:r>
                  <w:r>
                    <w:rPr>
                      <w:rFonts w:hint="eastAsia" w:ascii="Times New Roman" w:hAnsi="Times New Roman" w:cs="Times New Roman"/>
                      <w:i w:val="0"/>
                      <w:iCs w:val="0"/>
                      <w:color w:val="000000"/>
                      <w:kern w:val="0"/>
                      <w:sz w:val="18"/>
                      <w:szCs w:val="18"/>
                      <w:u w:val="none"/>
                      <w:vertAlign w:val="superscript"/>
                      <w:lang w:val="en-US" w:eastAsia="zh-CN" w:bidi="ar"/>
                    </w:rPr>
                    <w:t>4</w:t>
                  </w:r>
                </w:p>
              </w:tc>
              <w:tc>
                <w:tcPr>
                  <w:tcW w:w="1109" w:type="pct"/>
                  <w:gridSpan w:val="2"/>
                  <w:vAlign w:val="center"/>
                </w:tcPr>
                <w:p w14:paraId="4CF87C04">
                  <w:pPr>
                    <w:jc w:val="center"/>
                    <w:textAlignment w:val="center"/>
                    <w:rPr>
                      <w:rFonts w:hint="default" w:ascii="Times New Roman" w:hAnsi="Times New Roman"/>
                      <w:sz w:val="18"/>
                      <w:szCs w:val="18"/>
                      <w:lang w:val="en-US" w:eastAsia="zh-CN"/>
                    </w:rPr>
                  </w:pPr>
                  <w:r>
                    <w:rPr>
                      <w:rFonts w:hint="eastAsia" w:ascii="Times New Roman" w:hAnsi="Times New Roman"/>
                      <w:sz w:val="18"/>
                      <w:szCs w:val="18"/>
                      <w:lang w:val="en-US" w:eastAsia="zh-CN"/>
                    </w:rPr>
                    <w:t>3.9</w:t>
                  </w: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Times New Roman" w:hAnsi="Times New Roman" w:eastAsia="宋体" w:cs="Times New Roman"/>
                      <w:i w:val="0"/>
                      <w:iCs w:val="0"/>
                      <w:color w:val="000000"/>
                      <w:kern w:val="0"/>
                      <w:sz w:val="18"/>
                      <w:szCs w:val="18"/>
                      <w:u w:val="none"/>
                      <w:vertAlign w:val="superscript"/>
                      <w:lang w:val="en-US" w:eastAsia="zh-CN" w:bidi="ar"/>
                    </w:rPr>
                    <w:t>-</w:t>
                  </w:r>
                  <w:r>
                    <w:rPr>
                      <w:rFonts w:hint="eastAsia" w:ascii="Times New Roman" w:hAnsi="Times New Roman" w:cs="Times New Roman"/>
                      <w:i w:val="0"/>
                      <w:iCs w:val="0"/>
                      <w:color w:val="000000"/>
                      <w:kern w:val="0"/>
                      <w:sz w:val="18"/>
                      <w:szCs w:val="18"/>
                      <w:u w:val="none"/>
                      <w:vertAlign w:val="superscript"/>
                      <w:lang w:val="en-US" w:eastAsia="zh-CN" w:bidi="ar"/>
                    </w:rPr>
                    <w:t>4</w:t>
                  </w:r>
                </w:p>
              </w:tc>
              <w:tc>
                <w:tcPr>
                  <w:tcW w:w="1109" w:type="pct"/>
                  <w:gridSpan w:val="2"/>
                  <w:vAlign w:val="center"/>
                </w:tcPr>
                <w:p w14:paraId="4394720A">
                  <w:pPr>
                    <w:jc w:val="center"/>
                    <w:textAlignment w:val="center"/>
                    <w:rPr>
                      <w:rFonts w:hint="default" w:ascii="Times New Roman" w:hAnsi="Times New Roman"/>
                      <w:sz w:val="18"/>
                      <w:szCs w:val="18"/>
                      <w:lang w:val="en-US" w:eastAsia="zh-CN"/>
                    </w:rPr>
                  </w:pPr>
                  <w:r>
                    <w:rPr>
                      <w:rFonts w:hint="eastAsia" w:ascii="Times New Roman" w:hAnsi="Times New Roman"/>
                      <w:sz w:val="18"/>
                      <w:szCs w:val="18"/>
                      <w:lang w:val="en-US" w:eastAsia="zh-CN"/>
                    </w:rPr>
                    <w:t>4.3</w:t>
                  </w: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Times New Roman" w:hAnsi="Times New Roman" w:eastAsia="宋体" w:cs="Times New Roman"/>
                      <w:i w:val="0"/>
                      <w:iCs w:val="0"/>
                      <w:color w:val="000000"/>
                      <w:kern w:val="0"/>
                      <w:sz w:val="18"/>
                      <w:szCs w:val="18"/>
                      <w:u w:val="none"/>
                      <w:vertAlign w:val="superscript"/>
                      <w:lang w:val="en-US" w:eastAsia="zh-CN" w:bidi="ar"/>
                    </w:rPr>
                    <w:t>-</w:t>
                  </w:r>
                  <w:r>
                    <w:rPr>
                      <w:rFonts w:hint="eastAsia" w:ascii="Times New Roman" w:hAnsi="Times New Roman" w:cs="Times New Roman"/>
                      <w:i w:val="0"/>
                      <w:iCs w:val="0"/>
                      <w:color w:val="000000"/>
                      <w:kern w:val="0"/>
                      <w:sz w:val="18"/>
                      <w:szCs w:val="18"/>
                      <w:u w:val="none"/>
                      <w:vertAlign w:val="superscript"/>
                      <w:lang w:val="en-US" w:eastAsia="zh-CN" w:bidi="ar"/>
                    </w:rPr>
                    <w:t>4</w:t>
                  </w:r>
                </w:p>
              </w:tc>
            </w:tr>
            <w:tr w14:paraId="3FFBF8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1673" w:type="pct"/>
                  <w:gridSpan w:val="2"/>
                  <w:vAlign w:val="center"/>
                </w:tcPr>
                <w:p w14:paraId="747EC19D">
                  <w:pPr>
                    <w:jc w:val="center"/>
                    <w:rPr>
                      <w:rFonts w:ascii="Times New Roman" w:hAnsi="Times New Roman"/>
                      <w:b/>
                      <w:sz w:val="18"/>
                      <w:szCs w:val="18"/>
                    </w:rPr>
                  </w:pPr>
                  <w:r>
                    <w:rPr>
                      <w:rFonts w:ascii="Times New Roman" w:hAnsi="Times New Roman"/>
                      <w:b/>
                      <w:sz w:val="18"/>
                      <w:szCs w:val="18"/>
                    </w:rPr>
                    <w:t>备注</w:t>
                  </w:r>
                </w:p>
              </w:tc>
              <w:tc>
                <w:tcPr>
                  <w:tcW w:w="3326" w:type="pct"/>
                  <w:gridSpan w:val="6"/>
                  <w:vAlign w:val="center"/>
                </w:tcPr>
                <w:p w14:paraId="50F7FB97">
                  <w:pPr>
                    <w:jc w:val="center"/>
                    <w:rPr>
                      <w:rFonts w:ascii="Times New Roman" w:hAnsi="Times New Roman"/>
                      <w:color w:val="000000"/>
                      <w:kern w:val="0"/>
                      <w:sz w:val="18"/>
                      <w:szCs w:val="18"/>
                      <w:highlight w:val="yellow"/>
                    </w:rPr>
                  </w:pPr>
                  <w:r>
                    <w:rPr>
                      <w:rFonts w:ascii="Times New Roman" w:hAnsi="Times New Roman"/>
                      <w:color w:val="000000"/>
                      <w:kern w:val="0"/>
                      <w:sz w:val="18"/>
                      <w:szCs w:val="18"/>
                    </w:rPr>
                    <w:t>/</w:t>
                  </w:r>
                </w:p>
              </w:tc>
            </w:tr>
          </w:tbl>
          <w:p w14:paraId="6A025180">
            <w:pPr>
              <w:pStyle w:val="85"/>
              <w:spacing w:after="0"/>
              <w:ind w:left="0" w:leftChars="0" w:firstLine="0" w:firstLineChars="0"/>
              <w:jc w:val="center"/>
              <w:rPr>
                <w:rFonts w:hint="default" w:ascii="Times New Roman" w:hAnsi="Times New Roman" w:eastAsia="黑体" w:cs="Times New Roman"/>
                <w:color w:val="auto"/>
                <w:highlight w:val="none"/>
              </w:rPr>
            </w:pPr>
          </w:p>
          <w:p w14:paraId="581E54EF">
            <w:pPr>
              <w:pStyle w:val="85"/>
              <w:spacing w:after="0"/>
              <w:ind w:left="0" w:leftChars="0" w:firstLine="0" w:firstLineChars="0"/>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表2-</w:t>
            </w:r>
            <w:r>
              <w:rPr>
                <w:rFonts w:hint="eastAsia" w:eastAsia="黑体" w:cs="Times New Roman"/>
                <w:color w:val="auto"/>
                <w:highlight w:val="none"/>
                <w:lang w:val="en-US" w:eastAsia="zh-CN"/>
              </w:rPr>
              <w:t>7</w:t>
            </w:r>
            <w:r>
              <w:rPr>
                <w:rFonts w:hint="default" w:ascii="Times New Roman" w:hAnsi="Times New Roman" w:eastAsia="黑体" w:cs="Times New Roman"/>
                <w:color w:val="auto"/>
                <w:highlight w:val="none"/>
              </w:rPr>
              <w:t>厂界无组织检测结果</w:t>
            </w:r>
          </w:p>
          <w:tbl>
            <w:tblPr>
              <w:tblStyle w:val="8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204"/>
              <w:gridCol w:w="1197"/>
              <w:gridCol w:w="962"/>
              <w:gridCol w:w="1273"/>
              <w:gridCol w:w="1273"/>
              <w:gridCol w:w="1273"/>
              <w:gridCol w:w="1284"/>
            </w:tblGrid>
            <w:tr w14:paraId="292E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7" w:type="pct"/>
                  <w:vMerge w:val="restart"/>
                  <w:tcBorders>
                    <w:tl2br w:val="nil"/>
                    <w:tr2bl w:val="nil"/>
                  </w:tcBorders>
                  <w:vAlign w:val="center"/>
                </w:tcPr>
                <w:p w14:paraId="69B8FB14">
                  <w:pPr>
                    <w:pStyle w:val="85"/>
                    <w:spacing w:after="0"/>
                    <w:ind w:left="0" w:leftChars="0" w:firstLine="0" w:firstLineChars="0"/>
                    <w:jc w:val="center"/>
                    <w:rPr>
                      <w:rFonts w:ascii="Times New Roman" w:hAnsi="Times New Roman"/>
                      <w:b/>
                      <w:color w:val="auto"/>
                      <w:sz w:val="18"/>
                      <w:szCs w:val="18"/>
                    </w:rPr>
                  </w:pPr>
                  <w:r>
                    <w:rPr>
                      <w:rFonts w:hint="eastAsia" w:ascii="Times New Roman" w:hAnsi="Times New Roman"/>
                      <w:b/>
                      <w:color w:val="auto"/>
                      <w:sz w:val="18"/>
                      <w:szCs w:val="18"/>
                    </w:rPr>
                    <w:t>类别</w:t>
                  </w:r>
                </w:p>
              </w:tc>
              <w:tc>
                <w:tcPr>
                  <w:tcW w:w="663" w:type="pct"/>
                  <w:vMerge w:val="restart"/>
                  <w:tcBorders>
                    <w:tl2br w:val="nil"/>
                    <w:tr2bl w:val="nil"/>
                  </w:tcBorders>
                  <w:vAlign w:val="center"/>
                </w:tcPr>
                <w:p w14:paraId="740A7A5F">
                  <w:pPr>
                    <w:pStyle w:val="85"/>
                    <w:spacing w:after="0"/>
                    <w:ind w:left="0" w:leftChars="0" w:firstLine="0" w:firstLineChars="0"/>
                    <w:jc w:val="center"/>
                    <w:rPr>
                      <w:rFonts w:ascii="Times New Roman" w:hAnsi="Times New Roman"/>
                      <w:b/>
                      <w:color w:val="auto"/>
                      <w:sz w:val="18"/>
                      <w:szCs w:val="18"/>
                    </w:rPr>
                  </w:pPr>
                  <w:r>
                    <w:rPr>
                      <w:rFonts w:ascii="Times New Roman" w:hAnsi="Times New Roman"/>
                      <w:b/>
                      <w:color w:val="auto"/>
                      <w:sz w:val="18"/>
                      <w:szCs w:val="18"/>
                    </w:rPr>
                    <w:t>检测项目</w:t>
                  </w:r>
                </w:p>
              </w:tc>
              <w:tc>
                <w:tcPr>
                  <w:tcW w:w="657" w:type="pct"/>
                  <w:vMerge w:val="restart"/>
                  <w:tcBorders>
                    <w:tl2br w:val="nil"/>
                    <w:tr2bl w:val="nil"/>
                  </w:tcBorders>
                  <w:vAlign w:val="center"/>
                </w:tcPr>
                <w:p w14:paraId="2235FB7C">
                  <w:pPr>
                    <w:jc w:val="center"/>
                    <w:rPr>
                      <w:rFonts w:hint="eastAsia" w:ascii="Times New Roman" w:hAnsi="Times New Roman" w:eastAsia="宋体"/>
                      <w:bCs/>
                      <w:color w:val="auto"/>
                      <w:sz w:val="18"/>
                      <w:szCs w:val="18"/>
                      <w:lang w:eastAsia="zh-CN"/>
                    </w:rPr>
                  </w:pPr>
                  <w:r>
                    <w:rPr>
                      <w:rFonts w:hint="eastAsia" w:ascii="Times New Roman" w:hAnsi="Times New Roman"/>
                      <w:b/>
                      <w:color w:val="auto"/>
                      <w:sz w:val="18"/>
                      <w:szCs w:val="18"/>
                      <w:lang w:eastAsia="zh-CN"/>
                    </w:rPr>
                    <w:t>检测日期</w:t>
                  </w:r>
                </w:p>
              </w:tc>
              <w:tc>
                <w:tcPr>
                  <w:tcW w:w="530" w:type="pct"/>
                  <w:vMerge w:val="restart"/>
                  <w:tcBorders>
                    <w:tl2br w:val="nil"/>
                    <w:tr2bl w:val="nil"/>
                  </w:tcBorders>
                  <w:vAlign w:val="center"/>
                </w:tcPr>
                <w:p w14:paraId="126D7682">
                  <w:pPr>
                    <w:jc w:val="center"/>
                    <w:rPr>
                      <w:rFonts w:ascii="Times New Roman" w:hAnsi="Times New Roman"/>
                      <w:b/>
                      <w:bCs/>
                      <w:color w:val="auto"/>
                      <w:sz w:val="18"/>
                      <w:szCs w:val="18"/>
                    </w:rPr>
                  </w:pPr>
                  <w:r>
                    <w:rPr>
                      <w:rFonts w:hint="eastAsia" w:ascii="Times New Roman" w:hAnsi="Times New Roman"/>
                      <w:b/>
                      <w:bCs/>
                      <w:color w:val="auto"/>
                      <w:sz w:val="18"/>
                      <w:szCs w:val="18"/>
                    </w:rPr>
                    <w:t>检测频次</w:t>
                  </w:r>
                </w:p>
              </w:tc>
              <w:tc>
                <w:tcPr>
                  <w:tcW w:w="2809" w:type="pct"/>
                  <w:gridSpan w:val="4"/>
                  <w:tcBorders>
                    <w:tl2br w:val="nil"/>
                    <w:tr2bl w:val="nil"/>
                  </w:tcBorders>
                  <w:vAlign w:val="center"/>
                </w:tcPr>
                <w:p w14:paraId="5CDC1084">
                  <w:pPr>
                    <w:jc w:val="center"/>
                    <w:rPr>
                      <w:rFonts w:ascii="Times New Roman" w:hAnsi="Times New Roman"/>
                      <w:b/>
                      <w:bCs/>
                      <w:color w:val="auto"/>
                      <w:sz w:val="18"/>
                      <w:szCs w:val="18"/>
                    </w:rPr>
                  </w:pPr>
                  <w:r>
                    <w:rPr>
                      <w:rFonts w:hint="eastAsia" w:ascii="Times New Roman" w:hAnsi="Times New Roman"/>
                      <w:b/>
                      <w:bCs/>
                      <w:color w:val="auto"/>
                      <w:sz w:val="18"/>
                      <w:szCs w:val="18"/>
                    </w:rPr>
                    <w:t>检测结果</w:t>
                  </w:r>
                </w:p>
              </w:tc>
            </w:tr>
            <w:tr w14:paraId="5E8D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7" w:type="pct"/>
                  <w:vMerge w:val="continue"/>
                  <w:tcBorders>
                    <w:tl2br w:val="nil"/>
                    <w:tr2bl w:val="nil"/>
                  </w:tcBorders>
                  <w:vAlign w:val="center"/>
                </w:tcPr>
                <w:p w14:paraId="6D26951C">
                  <w:pPr>
                    <w:pStyle w:val="85"/>
                    <w:spacing w:after="0"/>
                    <w:ind w:left="0" w:leftChars="0" w:firstLine="0" w:firstLineChars="0"/>
                    <w:jc w:val="center"/>
                    <w:rPr>
                      <w:rFonts w:ascii="Times New Roman" w:hAnsi="Times New Roman"/>
                      <w:b/>
                      <w:sz w:val="18"/>
                      <w:szCs w:val="18"/>
                    </w:rPr>
                  </w:pPr>
                </w:p>
              </w:tc>
              <w:tc>
                <w:tcPr>
                  <w:tcW w:w="663" w:type="pct"/>
                  <w:vMerge w:val="continue"/>
                  <w:tcBorders>
                    <w:tl2br w:val="nil"/>
                    <w:tr2bl w:val="nil"/>
                  </w:tcBorders>
                  <w:vAlign w:val="center"/>
                </w:tcPr>
                <w:p w14:paraId="338BC6E9">
                  <w:pPr>
                    <w:pStyle w:val="85"/>
                    <w:spacing w:after="0"/>
                    <w:ind w:left="0" w:leftChars="0" w:firstLine="0" w:firstLineChars="0"/>
                    <w:jc w:val="center"/>
                    <w:rPr>
                      <w:rFonts w:ascii="Times New Roman" w:hAnsi="Times New Roman"/>
                      <w:b/>
                      <w:sz w:val="18"/>
                      <w:szCs w:val="18"/>
                    </w:rPr>
                  </w:pPr>
                </w:p>
              </w:tc>
              <w:tc>
                <w:tcPr>
                  <w:tcW w:w="657" w:type="pct"/>
                  <w:vMerge w:val="continue"/>
                  <w:tcBorders>
                    <w:tl2br w:val="nil"/>
                    <w:tr2bl w:val="nil"/>
                  </w:tcBorders>
                  <w:vAlign w:val="center"/>
                </w:tcPr>
                <w:p w14:paraId="015EEBC6">
                  <w:pPr>
                    <w:jc w:val="center"/>
                    <w:rPr>
                      <w:rFonts w:ascii="Times New Roman" w:hAnsi="Times New Roman"/>
                      <w:b/>
                      <w:sz w:val="18"/>
                      <w:szCs w:val="18"/>
                    </w:rPr>
                  </w:pPr>
                </w:p>
              </w:tc>
              <w:tc>
                <w:tcPr>
                  <w:tcW w:w="530" w:type="pct"/>
                  <w:vMerge w:val="continue"/>
                  <w:tcBorders>
                    <w:tl2br w:val="nil"/>
                    <w:tr2bl w:val="nil"/>
                  </w:tcBorders>
                  <w:vAlign w:val="center"/>
                </w:tcPr>
                <w:p w14:paraId="7CC0687A">
                  <w:pPr>
                    <w:jc w:val="center"/>
                    <w:rPr>
                      <w:rFonts w:ascii="Times New Roman" w:hAnsi="Times New Roman"/>
                      <w:b/>
                      <w:sz w:val="18"/>
                      <w:szCs w:val="18"/>
                    </w:rPr>
                  </w:pPr>
                </w:p>
              </w:tc>
              <w:tc>
                <w:tcPr>
                  <w:tcW w:w="701" w:type="pct"/>
                  <w:tcBorders>
                    <w:tl2br w:val="nil"/>
                    <w:tr2bl w:val="nil"/>
                  </w:tcBorders>
                  <w:vAlign w:val="center"/>
                </w:tcPr>
                <w:p w14:paraId="5D96CFD5">
                  <w:pPr>
                    <w:jc w:val="center"/>
                    <w:rPr>
                      <w:rFonts w:ascii="Times New Roman" w:hAnsi="Times New Roman"/>
                      <w:bCs/>
                      <w:sz w:val="18"/>
                      <w:szCs w:val="18"/>
                    </w:rPr>
                  </w:pPr>
                  <w:r>
                    <w:rPr>
                      <w:rFonts w:ascii="Times New Roman" w:hAnsi="Times New Roman"/>
                      <w:b/>
                      <w:sz w:val="18"/>
                      <w:szCs w:val="18"/>
                    </w:rPr>
                    <w:t>上风向1#</w:t>
                  </w:r>
                </w:p>
              </w:tc>
              <w:tc>
                <w:tcPr>
                  <w:tcW w:w="701" w:type="pct"/>
                  <w:tcBorders>
                    <w:tl2br w:val="nil"/>
                    <w:tr2bl w:val="nil"/>
                  </w:tcBorders>
                  <w:vAlign w:val="center"/>
                </w:tcPr>
                <w:p w14:paraId="29A64433">
                  <w:pPr>
                    <w:jc w:val="center"/>
                    <w:rPr>
                      <w:rFonts w:ascii="Times New Roman" w:hAnsi="Times New Roman"/>
                      <w:bCs/>
                      <w:sz w:val="18"/>
                      <w:szCs w:val="18"/>
                    </w:rPr>
                  </w:pPr>
                  <w:r>
                    <w:rPr>
                      <w:rFonts w:ascii="Times New Roman" w:hAnsi="Times New Roman"/>
                      <w:b/>
                      <w:sz w:val="18"/>
                      <w:szCs w:val="18"/>
                    </w:rPr>
                    <w:t>下风向2#</w:t>
                  </w:r>
                </w:p>
              </w:tc>
              <w:tc>
                <w:tcPr>
                  <w:tcW w:w="701" w:type="pct"/>
                  <w:tcBorders>
                    <w:tl2br w:val="nil"/>
                    <w:tr2bl w:val="nil"/>
                  </w:tcBorders>
                  <w:vAlign w:val="center"/>
                </w:tcPr>
                <w:p w14:paraId="02417A6E">
                  <w:pPr>
                    <w:jc w:val="center"/>
                    <w:rPr>
                      <w:rFonts w:ascii="Times New Roman" w:hAnsi="Times New Roman"/>
                      <w:bCs/>
                      <w:sz w:val="18"/>
                      <w:szCs w:val="18"/>
                    </w:rPr>
                  </w:pPr>
                  <w:r>
                    <w:rPr>
                      <w:rFonts w:ascii="Times New Roman" w:hAnsi="Times New Roman"/>
                      <w:b/>
                      <w:sz w:val="18"/>
                      <w:szCs w:val="18"/>
                    </w:rPr>
                    <w:t>下风向3#</w:t>
                  </w:r>
                </w:p>
              </w:tc>
              <w:tc>
                <w:tcPr>
                  <w:tcW w:w="705" w:type="pct"/>
                  <w:tcBorders>
                    <w:tl2br w:val="nil"/>
                    <w:tr2bl w:val="nil"/>
                  </w:tcBorders>
                  <w:vAlign w:val="center"/>
                </w:tcPr>
                <w:p w14:paraId="5E383C26">
                  <w:pPr>
                    <w:jc w:val="center"/>
                    <w:rPr>
                      <w:rFonts w:ascii="Times New Roman" w:hAnsi="Times New Roman"/>
                      <w:bCs/>
                      <w:sz w:val="18"/>
                      <w:szCs w:val="18"/>
                    </w:rPr>
                  </w:pPr>
                  <w:r>
                    <w:rPr>
                      <w:rFonts w:ascii="Times New Roman" w:hAnsi="Times New Roman"/>
                      <w:b/>
                      <w:sz w:val="18"/>
                      <w:szCs w:val="18"/>
                    </w:rPr>
                    <w:t>下风向4#</w:t>
                  </w:r>
                </w:p>
              </w:tc>
            </w:tr>
            <w:tr w14:paraId="6400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7" w:type="pct"/>
                  <w:vMerge w:val="restart"/>
                  <w:tcBorders>
                    <w:tl2br w:val="nil"/>
                    <w:tr2bl w:val="nil"/>
                  </w:tcBorders>
                  <w:vAlign w:val="center"/>
                </w:tcPr>
                <w:p w14:paraId="3CA709EE">
                  <w:pPr>
                    <w:jc w:val="center"/>
                    <w:rPr>
                      <w:rFonts w:ascii="Times New Roman" w:hAnsi="Times New Roman"/>
                      <w:b/>
                      <w:sz w:val="18"/>
                      <w:szCs w:val="18"/>
                    </w:rPr>
                  </w:pPr>
                  <w:r>
                    <w:rPr>
                      <w:rFonts w:ascii="Times New Roman" w:hAnsi="Times New Roman"/>
                      <w:b/>
                      <w:sz w:val="18"/>
                      <w:szCs w:val="18"/>
                    </w:rPr>
                    <w:t>无组织</w:t>
                  </w:r>
                </w:p>
              </w:tc>
              <w:tc>
                <w:tcPr>
                  <w:tcW w:w="663" w:type="pct"/>
                  <w:tcBorders>
                    <w:tl2br w:val="nil"/>
                    <w:tr2bl w:val="nil"/>
                  </w:tcBorders>
                  <w:vAlign w:val="center"/>
                </w:tcPr>
                <w:p w14:paraId="4BE19A85">
                  <w:pPr>
                    <w:jc w:val="center"/>
                    <w:rPr>
                      <w:rFonts w:ascii="Times New Roman" w:hAnsi="Times New Roman"/>
                      <w:b/>
                      <w:sz w:val="18"/>
                      <w:szCs w:val="18"/>
                    </w:rPr>
                  </w:pPr>
                  <w:r>
                    <w:rPr>
                      <w:rFonts w:hint="default" w:ascii="Times New Roman" w:hAnsi="Times New Roman" w:eastAsia="宋体" w:cs="Times New Roman"/>
                      <w:b/>
                      <w:sz w:val="18"/>
                      <w:szCs w:val="18"/>
                    </w:rPr>
                    <w:t>颗粒物</w:t>
                  </w:r>
                  <w:r>
                    <w:rPr>
                      <w:rFonts w:hint="default" w:ascii="Times New Roman" w:hAnsi="Times New Roman" w:eastAsia="宋体" w:cs="Times New Roman"/>
                      <w:b/>
                      <w:bCs w:val="0"/>
                      <w:sz w:val="18"/>
                      <w:szCs w:val="18"/>
                      <w:lang w:eastAsia="zh-CN"/>
                    </w:rPr>
                    <w:t>（</w:t>
                  </w:r>
                  <w:r>
                    <w:rPr>
                      <w:rFonts w:hint="default" w:ascii="Times New Roman" w:hAnsi="Times New Roman" w:cs="Times New Roman" w:eastAsiaTheme="minorEastAsia"/>
                      <w:b/>
                      <w:bCs/>
                      <w:sz w:val="18"/>
                      <w:szCs w:val="18"/>
                    </w:rPr>
                    <w:t>μ</w:t>
                  </w:r>
                  <w:r>
                    <w:rPr>
                      <w:rFonts w:ascii="Times New Roman" w:hAnsi="Times New Roman"/>
                      <w:b/>
                      <w:bCs/>
                      <w:sz w:val="18"/>
                      <w:szCs w:val="18"/>
                    </w:rPr>
                    <w:t>g/</w:t>
                  </w:r>
                  <w:r>
                    <w:rPr>
                      <w:rFonts w:ascii="Times New Roman" w:hAnsi="Times New Roman"/>
                      <w:b/>
                      <w:sz w:val="18"/>
                      <w:szCs w:val="18"/>
                    </w:rPr>
                    <w:t>m</w:t>
                  </w:r>
                  <w:r>
                    <w:rPr>
                      <w:rFonts w:ascii="Times New Roman" w:hAnsi="Times New Roman"/>
                      <w:b/>
                      <w:sz w:val="18"/>
                      <w:szCs w:val="18"/>
                      <w:vertAlign w:val="superscript"/>
                    </w:rPr>
                    <w:t>3</w:t>
                  </w:r>
                  <w:r>
                    <w:rPr>
                      <w:rFonts w:hint="default" w:ascii="Times New Roman" w:hAnsi="Times New Roman" w:eastAsia="宋体" w:cs="Times New Roman"/>
                      <w:b/>
                      <w:bCs w:val="0"/>
                      <w:sz w:val="18"/>
                      <w:szCs w:val="18"/>
                      <w:lang w:eastAsia="zh-CN"/>
                    </w:rPr>
                    <w:t>）</w:t>
                  </w:r>
                </w:p>
              </w:tc>
              <w:tc>
                <w:tcPr>
                  <w:tcW w:w="657" w:type="pct"/>
                  <w:vMerge w:val="restart"/>
                  <w:tcBorders>
                    <w:tl2br w:val="nil"/>
                    <w:tr2bl w:val="nil"/>
                  </w:tcBorders>
                  <w:vAlign w:val="center"/>
                </w:tcPr>
                <w:p w14:paraId="27133256">
                  <w:pPr>
                    <w:jc w:val="center"/>
                    <w:rPr>
                      <w:rFonts w:hint="default" w:ascii="Times New Roman" w:hAnsi="Times New Roman" w:eastAsia="宋体"/>
                      <w:bCs/>
                      <w:sz w:val="18"/>
                      <w:szCs w:val="18"/>
                      <w:lang w:val="en-US" w:eastAsia="zh-CN"/>
                    </w:rPr>
                  </w:pPr>
                  <w:r>
                    <w:rPr>
                      <w:rFonts w:hint="eastAsia" w:ascii="Times New Roman" w:hAnsi="Times New Roman"/>
                      <w:bCs/>
                      <w:sz w:val="18"/>
                      <w:szCs w:val="18"/>
                      <w:lang w:val="en-US" w:eastAsia="zh-CN"/>
                    </w:rPr>
                    <w:t>2024.02.29</w:t>
                  </w:r>
                </w:p>
              </w:tc>
              <w:tc>
                <w:tcPr>
                  <w:tcW w:w="530" w:type="pct"/>
                  <w:tcBorders>
                    <w:tl2br w:val="nil"/>
                    <w:tr2bl w:val="nil"/>
                  </w:tcBorders>
                  <w:vAlign w:val="center"/>
                </w:tcPr>
                <w:p w14:paraId="5D0FFB00">
                  <w:pPr>
                    <w:jc w:val="center"/>
                    <w:rPr>
                      <w:rFonts w:ascii="Times New Roman" w:hAnsi="Times New Roman"/>
                      <w:b/>
                      <w:sz w:val="18"/>
                      <w:szCs w:val="18"/>
                    </w:rPr>
                  </w:pPr>
                  <w:r>
                    <w:rPr>
                      <w:rFonts w:hint="eastAsia" w:ascii="Times New Roman" w:hAnsi="Times New Roman"/>
                      <w:bCs/>
                      <w:sz w:val="18"/>
                      <w:szCs w:val="18"/>
                    </w:rPr>
                    <w:t>频次1</w:t>
                  </w:r>
                </w:p>
              </w:tc>
              <w:tc>
                <w:tcPr>
                  <w:tcW w:w="701" w:type="pct"/>
                  <w:tcBorders>
                    <w:tl2br w:val="nil"/>
                    <w:tr2bl w:val="nil"/>
                  </w:tcBorders>
                  <w:vAlign w:val="center"/>
                </w:tcPr>
                <w:p w14:paraId="397D7F5B">
                  <w:pPr>
                    <w:jc w:val="center"/>
                    <w:rPr>
                      <w:rFonts w:hint="default" w:ascii="Times New Roman" w:hAnsi="Times New Roman" w:eastAsia="宋体"/>
                      <w:bCs/>
                      <w:sz w:val="18"/>
                      <w:szCs w:val="18"/>
                      <w:lang w:val="en-US" w:eastAsia="zh-CN"/>
                    </w:rPr>
                  </w:pPr>
                  <w:r>
                    <w:rPr>
                      <w:rFonts w:hint="eastAsia" w:ascii="Times New Roman" w:hAnsi="Times New Roman"/>
                      <w:bCs/>
                      <w:sz w:val="18"/>
                      <w:szCs w:val="18"/>
                      <w:lang w:val="en-US" w:eastAsia="zh-CN"/>
                    </w:rPr>
                    <w:t>328</w:t>
                  </w:r>
                </w:p>
              </w:tc>
              <w:tc>
                <w:tcPr>
                  <w:tcW w:w="701" w:type="pct"/>
                  <w:tcBorders>
                    <w:tl2br w:val="nil"/>
                    <w:tr2bl w:val="nil"/>
                  </w:tcBorders>
                  <w:vAlign w:val="center"/>
                </w:tcPr>
                <w:p w14:paraId="2EB29B05">
                  <w:pPr>
                    <w:jc w:val="center"/>
                    <w:rPr>
                      <w:rFonts w:hint="default" w:ascii="Times New Roman" w:hAnsi="Times New Roman" w:eastAsia="宋体"/>
                      <w:bCs/>
                      <w:sz w:val="18"/>
                      <w:szCs w:val="18"/>
                      <w:lang w:val="en-US" w:eastAsia="zh-CN"/>
                    </w:rPr>
                  </w:pPr>
                  <w:r>
                    <w:rPr>
                      <w:rFonts w:hint="eastAsia" w:ascii="Times New Roman" w:hAnsi="Times New Roman"/>
                      <w:bCs/>
                      <w:sz w:val="18"/>
                      <w:szCs w:val="18"/>
                      <w:lang w:val="en-US" w:eastAsia="zh-CN"/>
                    </w:rPr>
                    <w:t>462</w:t>
                  </w:r>
                </w:p>
              </w:tc>
              <w:tc>
                <w:tcPr>
                  <w:tcW w:w="701" w:type="pct"/>
                  <w:tcBorders>
                    <w:tl2br w:val="nil"/>
                    <w:tr2bl w:val="nil"/>
                  </w:tcBorders>
                  <w:vAlign w:val="center"/>
                </w:tcPr>
                <w:p w14:paraId="0888A149">
                  <w:pPr>
                    <w:jc w:val="center"/>
                    <w:rPr>
                      <w:rFonts w:hint="default" w:ascii="Times New Roman" w:hAnsi="Times New Roman" w:eastAsia="宋体"/>
                      <w:bCs/>
                      <w:sz w:val="18"/>
                      <w:szCs w:val="18"/>
                      <w:lang w:val="en-US" w:eastAsia="zh-CN"/>
                    </w:rPr>
                  </w:pPr>
                  <w:r>
                    <w:rPr>
                      <w:rFonts w:hint="eastAsia" w:ascii="Times New Roman" w:hAnsi="Times New Roman"/>
                      <w:bCs/>
                      <w:sz w:val="18"/>
                      <w:szCs w:val="18"/>
                      <w:lang w:val="en-US" w:eastAsia="zh-CN"/>
                    </w:rPr>
                    <w:t>473</w:t>
                  </w:r>
                </w:p>
              </w:tc>
              <w:tc>
                <w:tcPr>
                  <w:tcW w:w="705" w:type="pct"/>
                  <w:tcBorders>
                    <w:tl2br w:val="nil"/>
                    <w:tr2bl w:val="nil"/>
                  </w:tcBorders>
                  <w:vAlign w:val="center"/>
                </w:tcPr>
                <w:p w14:paraId="665A5F63">
                  <w:pPr>
                    <w:jc w:val="center"/>
                    <w:rPr>
                      <w:rFonts w:hint="default" w:ascii="Times New Roman" w:hAnsi="Times New Roman" w:eastAsia="宋体"/>
                      <w:bCs/>
                      <w:sz w:val="18"/>
                      <w:szCs w:val="18"/>
                      <w:lang w:val="en-US" w:eastAsia="zh-CN"/>
                    </w:rPr>
                  </w:pPr>
                  <w:r>
                    <w:rPr>
                      <w:rFonts w:hint="eastAsia" w:ascii="Times New Roman" w:hAnsi="Times New Roman"/>
                      <w:bCs/>
                      <w:sz w:val="18"/>
                      <w:szCs w:val="18"/>
                      <w:lang w:val="en-US" w:eastAsia="zh-CN"/>
                    </w:rPr>
                    <w:t>469</w:t>
                  </w:r>
                </w:p>
              </w:tc>
            </w:tr>
            <w:tr w14:paraId="01AA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7" w:type="pct"/>
                  <w:vMerge w:val="continue"/>
                  <w:tcBorders>
                    <w:tl2br w:val="nil"/>
                    <w:tr2bl w:val="nil"/>
                  </w:tcBorders>
                  <w:vAlign w:val="center"/>
                </w:tcPr>
                <w:p w14:paraId="3C69E03A">
                  <w:pPr>
                    <w:jc w:val="center"/>
                    <w:rPr>
                      <w:rFonts w:ascii="Times New Roman" w:hAnsi="Times New Roman"/>
                      <w:b/>
                      <w:sz w:val="18"/>
                      <w:szCs w:val="18"/>
                    </w:rPr>
                  </w:pPr>
                </w:p>
              </w:tc>
              <w:tc>
                <w:tcPr>
                  <w:tcW w:w="663" w:type="pct"/>
                  <w:tcBorders>
                    <w:tl2br w:val="nil"/>
                    <w:tr2bl w:val="nil"/>
                  </w:tcBorders>
                  <w:vAlign w:val="center"/>
                </w:tcPr>
                <w:p w14:paraId="6C075307">
                  <w:pPr>
                    <w:jc w:val="cente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lang w:val="en-US" w:eastAsia="zh-CN"/>
                    </w:rPr>
                    <w:t>VOCs</w:t>
                  </w:r>
                  <w:r>
                    <w:rPr>
                      <w:rFonts w:hint="default" w:ascii="Times New Roman" w:hAnsi="Times New Roman" w:eastAsia="宋体" w:cs="Times New Roman"/>
                      <w:b/>
                      <w:bCs w:val="0"/>
                      <w:sz w:val="18"/>
                      <w:szCs w:val="18"/>
                      <w:lang w:eastAsia="zh-CN"/>
                    </w:rPr>
                    <w:t>（</w:t>
                  </w:r>
                  <w:r>
                    <w:rPr>
                      <w:rFonts w:ascii="Times New Roman" w:hAnsi="Times New Roman"/>
                      <w:b/>
                      <w:sz w:val="18"/>
                      <w:szCs w:val="18"/>
                    </w:rPr>
                    <w:t>mg/m</w:t>
                  </w:r>
                  <w:r>
                    <w:rPr>
                      <w:rFonts w:ascii="Times New Roman" w:hAnsi="Times New Roman"/>
                      <w:b/>
                      <w:sz w:val="18"/>
                      <w:szCs w:val="18"/>
                      <w:vertAlign w:val="superscript"/>
                    </w:rPr>
                    <w:t>3</w:t>
                  </w:r>
                  <w:r>
                    <w:rPr>
                      <w:rFonts w:hint="default" w:ascii="Times New Roman" w:hAnsi="Times New Roman" w:eastAsia="宋体" w:cs="Times New Roman"/>
                      <w:b/>
                      <w:bCs w:val="0"/>
                      <w:sz w:val="18"/>
                      <w:szCs w:val="18"/>
                      <w:lang w:eastAsia="zh-CN"/>
                    </w:rPr>
                    <w:t>）</w:t>
                  </w:r>
                </w:p>
              </w:tc>
              <w:tc>
                <w:tcPr>
                  <w:tcW w:w="657" w:type="pct"/>
                  <w:vMerge w:val="continue"/>
                  <w:tcBorders>
                    <w:tl2br w:val="nil"/>
                    <w:tr2bl w:val="nil"/>
                  </w:tcBorders>
                  <w:vAlign w:val="center"/>
                </w:tcPr>
                <w:p w14:paraId="528D91FB">
                  <w:pPr>
                    <w:jc w:val="center"/>
                    <w:rPr>
                      <w:rFonts w:hint="eastAsia" w:ascii="Times New Roman" w:hAnsi="Times New Roman"/>
                      <w:bCs/>
                      <w:sz w:val="18"/>
                      <w:szCs w:val="18"/>
                      <w:lang w:val="en-US" w:eastAsia="zh-CN"/>
                    </w:rPr>
                  </w:pPr>
                </w:p>
              </w:tc>
              <w:tc>
                <w:tcPr>
                  <w:tcW w:w="530" w:type="pct"/>
                  <w:tcBorders>
                    <w:tl2br w:val="nil"/>
                    <w:tr2bl w:val="nil"/>
                  </w:tcBorders>
                  <w:vAlign w:val="center"/>
                </w:tcPr>
                <w:p w14:paraId="729EC48E">
                  <w:pPr>
                    <w:jc w:val="center"/>
                    <w:rPr>
                      <w:rFonts w:hint="eastAsia" w:ascii="Times New Roman" w:hAnsi="Times New Roman" w:eastAsia="宋体" w:cs="Times New Roman"/>
                      <w:b/>
                      <w:kern w:val="2"/>
                      <w:sz w:val="18"/>
                      <w:szCs w:val="18"/>
                      <w:lang w:val="en-US" w:eastAsia="zh-CN" w:bidi="ar-SA"/>
                    </w:rPr>
                  </w:pPr>
                  <w:r>
                    <w:rPr>
                      <w:rFonts w:hint="eastAsia" w:ascii="Times New Roman" w:hAnsi="Times New Roman"/>
                      <w:bCs/>
                      <w:sz w:val="18"/>
                      <w:szCs w:val="18"/>
                    </w:rPr>
                    <w:t>频次1</w:t>
                  </w:r>
                </w:p>
              </w:tc>
              <w:tc>
                <w:tcPr>
                  <w:tcW w:w="701" w:type="pct"/>
                  <w:tcBorders>
                    <w:tl2br w:val="nil"/>
                    <w:tr2bl w:val="nil"/>
                  </w:tcBorders>
                  <w:vAlign w:val="center"/>
                </w:tcPr>
                <w:p w14:paraId="185937C8">
                  <w:pPr>
                    <w:jc w:val="center"/>
                    <w:rPr>
                      <w:rFonts w:hint="default" w:ascii="Times New Roman" w:hAnsi="Times New Roman"/>
                      <w:bCs/>
                      <w:sz w:val="18"/>
                      <w:szCs w:val="18"/>
                      <w:lang w:val="en-US" w:eastAsia="zh-CN"/>
                    </w:rPr>
                  </w:pPr>
                  <w:r>
                    <w:rPr>
                      <w:rFonts w:hint="eastAsia" w:ascii="Times New Roman" w:hAnsi="Times New Roman"/>
                      <w:bCs/>
                      <w:sz w:val="18"/>
                      <w:szCs w:val="18"/>
                      <w:lang w:val="en-US" w:eastAsia="zh-CN"/>
                    </w:rPr>
                    <w:t>0.94</w:t>
                  </w:r>
                </w:p>
              </w:tc>
              <w:tc>
                <w:tcPr>
                  <w:tcW w:w="701" w:type="pct"/>
                  <w:tcBorders>
                    <w:tl2br w:val="nil"/>
                    <w:tr2bl w:val="nil"/>
                  </w:tcBorders>
                  <w:vAlign w:val="center"/>
                </w:tcPr>
                <w:p w14:paraId="0556D3AC">
                  <w:pPr>
                    <w:jc w:val="center"/>
                    <w:rPr>
                      <w:rFonts w:hint="default" w:ascii="Times New Roman" w:hAnsi="Times New Roman"/>
                      <w:bCs/>
                      <w:sz w:val="18"/>
                      <w:szCs w:val="18"/>
                      <w:lang w:val="en-US" w:eastAsia="zh-CN"/>
                    </w:rPr>
                  </w:pPr>
                  <w:r>
                    <w:rPr>
                      <w:rFonts w:hint="eastAsia" w:ascii="Times New Roman" w:hAnsi="Times New Roman"/>
                      <w:bCs/>
                      <w:sz w:val="18"/>
                      <w:szCs w:val="18"/>
                      <w:lang w:val="en-US" w:eastAsia="zh-CN"/>
                    </w:rPr>
                    <w:t>1.41</w:t>
                  </w:r>
                </w:p>
              </w:tc>
              <w:tc>
                <w:tcPr>
                  <w:tcW w:w="701" w:type="pct"/>
                  <w:tcBorders>
                    <w:tl2br w:val="nil"/>
                    <w:tr2bl w:val="nil"/>
                  </w:tcBorders>
                  <w:vAlign w:val="center"/>
                </w:tcPr>
                <w:p w14:paraId="462AE26D">
                  <w:pPr>
                    <w:jc w:val="center"/>
                    <w:rPr>
                      <w:rFonts w:hint="default" w:ascii="Times New Roman" w:hAnsi="Times New Roman"/>
                      <w:bCs/>
                      <w:sz w:val="18"/>
                      <w:szCs w:val="18"/>
                      <w:lang w:val="en-US" w:eastAsia="zh-CN"/>
                    </w:rPr>
                  </w:pPr>
                  <w:r>
                    <w:rPr>
                      <w:rFonts w:hint="eastAsia" w:ascii="Times New Roman" w:hAnsi="Times New Roman"/>
                      <w:bCs/>
                      <w:sz w:val="18"/>
                      <w:szCs w:val="18"/>
                      <w:lang w:val="en-US" w:eastAsia="zh-CN"/>
                    </w:rPr>
                    <w:t>1.55</w:t>
                  </w:r>
                </w:p>
              </w:tc>
              <w:tc>
                <w:tcPr>
                  <w:tcW w:w="705" w:type="pct"/>
                  <w:tcBorders>
                    <w:tl2br w:val="nil"/>
                    <w:tr2bl w:val="nil"/>
                  </w:tcBorders>
                  <w:vAlign w:val="center"/>
                </w:tcPr>
                <w:p w14:paraId="41F93288">
                  <w:pPr>
                    <w:jc w:val="center"/>
                    <w:rPr>
                      <w:rFonts w:hint="default" w:ascii="Times New Roman" w:hAnsi="Times New Roman"/>
                      <w:bCs/>
                      <w:sz w:val="18"/>
                      <w:szCs w:val="18"/>
                      <w:lang w:val="en-US" w:eastAsia="zh-CN"/>
                    </w:rPr>
                  </w:pPr>
                  <w:r>
                    <w:rPr>
                      <w:rFonts w:hint="eastAsia" w:ascii="Times New Roman" w:hAnsi="Times New Roman"/>
                      <w:bCs/>
                      <w:sz w:val="18"/>
                      <w:szCs w:val="18"/>
                      <w:lang w:val="en-US" w:eastAsia="zh-CN"/>
                    </w:rPr>
                    <w:t>1.36</w:t>
                  </w:r>
                </w:p>
              </w:tc>
            </w:tr>
            <w:tr w14:paraId="0FDF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9" w:type="pct"/>
                  <w:gridSpan w:val="3"/>
                  <w:tcBorders>
                    <w:tl2br w:val="nil"/>
                    <w:tr2bl w:val="nil"/>
                  </w:tcBorders>
                  <w:vAlign w:val="center"/>
                </w:tcPr>
                <w:p w14:paraId="182E172D">
                  <w:pPr>
                    <w:jc w:val="center"/>
                    <w:rPr>
                      <w:rFonts w:ascii="Times New Roman" w:hAnsi="Times New Roman"/>
                      <w:b/>
                      <w:sz w:val="18"/>
                      <w:szCs w:val="18"/>
                    </w:rPr>
                  </w:pPr>
                  <w:r>
                    <w:rPr>
                      <w:rFonts w:ascii="Times New Roman" w:hAnsi="Times New Roman"/>
                      <w:b/>
                      <w:sz w:val="18"/>
                      <w:szCs w:val="18"/>
                    </w:rPr>
                    <w:t>备注</w:t>
                  </w:r>
                </w:p>
              </w:tc>
              <w:tc>
                <w:tcPr>
                  <w:tcW w:w="3340" w:type="pct"/>
                  <w:gridSpan w:val="5"/>
                  <w:tcBorders>
                    <w:tl2br w:val="nil"/>
                    <w:tr2bl w:val="nil"/>
                  </w:tcBorders>
                  <w:vAlign w:val="center"/>
                </w:tcPr>
                <w:p w14:paraId="4AA5D900">
                  <w:pPr>
                    <w:jc w:val="left"/>
                    <w:rPr>
                      <w:rFonts w:ascii="Times New Roman" w:hAnsi="Times New Roman"/>
                      <w:b/>
                      <w:sz w:val="18"/>
                      <w:szCs w:val="18"/>
                    </w:rPr>
                  </w:pPr>
                  <w:r>
                    <w:rPr>
                      <w:rFonts w:ascii="Times New Roman" w:hAnsi="Times New Roman"/>
                      <w:bCs/>
                      <w:sz w:val="18"/>
                      <w:szCs w:val="18"/>
                    </w:rPr>
                    <w:t>检测点位见附图</w:t>
                  </w:r>
                </w:p>
              </w:tc>
            </w:tr>
          </w:tbl>
          <w:p w14:paraId="70B589BE">
            <w:pPr>
              <w:spacing w:line="360" w:lineRule="auto"/>
              <w:ind w:firstLine="420" w:firstLineChars="200"/>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color w:val="auto"/>
                <w:highlight w:val="none"/>
              </w:rPr>
              <w:t>由上表可知，</w:t>
            </w:r>
            <w:r>
              <w:rPr>
                <w:rFonts w:hint="default" w:ascii="Times New Roman" w:hAnsi="Times New Roman" w:cs="Times New Roman" w:eastAsiaTheme="minorEastAsia"/>
                <w:bCs/>
                <w:color w:val="auto"/>
                <w:kern w:val="0"/>
                <w:sz w:val="21"/>
                <w:szCs w:val="21"/>
                <w:highlight w:val="none"/>
              </w:rPr>
              <w:t>检测期间</w:t>
            </w:r>
            <w:r>
              <w:rPr>
                <w:rFonts w:hint="eastAsia" w:cs="Times New Roman" w:eastAsiaTheme="minorEastAsia"/>
                <w:bCs/>
                <w:color w:val="auto"/>
                <w:kern w:val="0"/>
                <w:sz w:val="21"/>
                <w:szCs w:val="21"/>
                <w:highlight w:val="none"/>
                <w:lang w:val="en-US" w:eastAsia="zh-CN"/>
              </w:rPr>
              <w:t>DA001</w:t>
            </w:r>
            <w:r>
              <w:rPr>
                <w:rFonts w:hint="default" w:ascii="Times New Roman" w:hAnsi="Times New Roman" w:cs="Times New Roman" w:eastAsiaTheme="minorEastAsia"/>
                <w:color w:val="auto"/>
                <w:sz w:val="21"/>
                <w:szCs w:val="21"/>
                <w:highlight w:val="none"/>
                <w:lang w:val="en-US" w:eastAsia="zh-CN"/>
              </w:rPr>
              <w:t>排气筒</w:t>
            </w:r>
            <w:r>
              <w:rPr>
                <w:rFonts w:hint="eastAsia" w:cs="Times New Roman" w:eastAsiaTheme="minorEastAsia"/>
                <w:color w:val="auto"/>
                <w:sz w:val="21"/>
                <w:szCs w:val="21"/>
                <w:highlight w:val="none"/>
                <w:lang w:val="en-US" w:eastAsia="zh-CN"/>
              </w:rPr>
              <w:t>VOCs</w:t>
            </w:r>
            <w:r>
              <w:rPr>
                <w:rFonts w:hint="default" w:ascii="Times New Roman" w:hAnsi="Times New Roman" w:cs="Times New Roman" w:eastAsiaTheme="minorEastAsia"/>
                <w:color w:val="auto"/>
                <w:sz w:val="21"/>
                <w:szCs w:val="21"/>
                <w:highlight w:val="none"/>
              </w:rPr>
              <w:t>最大</w:t>
            </w:r>
            <w:r>
              <w:rPr>
                <w:rFonts w:hint="default" w:ascii="Times New Roman" w:hAnsi="Times New Roman" w:cs="Times New Roman" w:eastAsiaTheme="minorEastAsia"/>
                <w:bCs/>
                <w:color w:val="auto"/>
                <w:kern w:val="0"/>
                <w:sz w:val="21"/>
                <w:szCs w:val="21"/>
                <w:highlight w:val="none"/>
              </w:rPr>
              <w:t>排放浓度为</w:t>
            </w:r>
            <w:r>
              <w:rPr>
                <w:rFonts w:hint="eastAsia" w:cs="Times New Roman" w:eastAsiaTheme="minorEastAsia"/>
                <w:bCs/>
                <w:color w:val="auto"/>
                <w:kern w:val="0"/>
                <w:sz w:val="21"/>
                <w:szCs w:val="21"/>
                <w:highlight w:val="none"/>
                <w:lang w:val="en-US" w:eastAsia="zh-CN"/>
              </w:rPr>
              <w:t>4.28</w:t>
            </w:r>
            <w:r>
              <w:rPr>
                <w:rFonts w:hint="default" w:ascii="Times New Roman" w:hAnsi="Times New Roman" w:cs="Times New Roman" w:eastAsiaTheme="minorEastAsia"/>
                <w:bCs/>
                <w:color w:val="auto"/>
                <w:kern w:val="0"/>
                <w:sz w:val="21"/>
                <w:szCs w:val="21"/>
                <w:highlight w:val="none"/>
              </w:rPr>
              <w:t>mg/m</w:t>
            </w:r>
            <w:r>
              <w:rPr>
                <w:rFonts w:hint="default" w:ascii="Times New Roman" w:hAnsi="Times New Roman" w:cs="Times New Roman" w:eastAsiaTheme="minorEastAsia"/>
                <w:bCs/>
                <w:color w:val="auto"/>
                <w:kern w:val="0"/>
                <w:sz w:val="21"/>
                <w:szCs w:val="21"/>
                <w:highlight w:val="none"/>
                <w:vertAlign w:val="superscript"/>
              </w:rPr>
              <w:t>3</w:t>
            </w:r>
            <w:r>
              <w:rPr>
                <w:rFonts w:hint="default" w:ascii="Times New Roman" w:hAnsi="Times New Roman" w:cs="Times New Roman" w:eastAsiaTheme="minorEastAsia"/>
                <w:bCs/>
                <w:color w:val="auto"/>
                <w:kern w:val="0"/>
                <w:sz w:val="21"/>
                <w:szCs w:val="21"/>
                <w:highlight w:val="none"/>
              </w:rPr>
              <w:t>；</w:t>
            </w:r>
            <w:r>
              <w:rPr>
                <w:rFonts w:hint="eastAsia" w:cs="Times New Roman" w:eastAsiaTheme="minorEastAsia"/>
                <w:color w:val="auto"/>
                <w:sz w:val="21"/>
                <w:szCs w:val="21"/>
                <w:highlight w:val="none"/>
                <w:lang w:val="en-US" w:eastAsia="zh-CN"/>
              </w:rPr>
              <w:t>DA002</w:t>
            </w:r>
            <w:r>
              <w:rPr>
                <w:rFonts w:hint="default" w:ascii="Times New Roman" w:hAnsi="Times New Roman" w:cs="Times New Roman" w:eastAsiaTheme="minorEastAsia"/>
                <w:color w:val="auto"/>
                <w:sz w:val="21"/>
                <w:szCs w:val="21"/>
                <w:highlight w:val="none"/>
                <w:lang w:val="en-US" w:eastAsia="zh-CN"/>
              </w:rPr>
              <w:t>排气筒</w:t>
            </w:r>
            <w:r>
              <w:rPr>
                <w:rFonts w:hint="eastAsia" w:cs="Times New Roman" w:eastAsiaTheme="minorEastAsia"/>
                <w:color w:val="auto"/>
                <w:sz w:val="21"/>
                <w:szCs w:val="21"/>
                <w:highlight w:val="none"/>
                <w:lang w:val="en-US" w:eastAsia="zh-CN"/>
              </w:rPr>
              <w:t>VOCs</w:t>
            </w:r>
            <w:r>
              <w:rPr>
                <w:rFonts w:hint="default" w:ascii="Times New Roman" w:hAnsi="Times New Roman" w:cs="Times New Roman" w:eastAsiaTheme="minorEastAsia"/>
                <w:color w:val="auto"/>
                <w:sz w:val="21"/>
                <w:szCs w:val="21"/>
                <w:highlight w:val="none"/>
              </w:rPr>
              <w:t>最大</w:t>
            </w:r>
            <w:r>
              <w:rPr>
                <w:rFonts w:hint="default" w:ascii="Times New Roman" w:hAnsi="Times New Roman" w:cs="Times New Roman" w:eastAsiaTheme="minorEastAsia"/>
                <w:bCs/>
                <w:color w:val="auto"/>
                <w:kern w:val="0"/>
                <w:sz w:val="21"/>
                <w:szCs w:val="21"/>
                <w:highlight w:val="none"/>
              </w:rPr>
              <w:t>排放浓度为</w:t>
            </w:r>
            <w:r>
              <w:rPr>
                <w:rFonts w:hint="eastAsia" w:cs="Times New Roman" w:eastAsiaTheme="minorEastAsia"/>
                <w:bCs/>
                <w:color w:val="auto"/>
                <w:kern w:val="0"/>
                <w:sz w:val="21"/>
                <w:szCs w:val="21"/>
                <w:highlight w:val="none"/>
                <w:lang w:val="en-US" w:eastAsia="zh-CN"/>
              </w:rPr>
              <w:t>4.08</w:t>
            </w:r>
            <w:r>
              <w:rPr>
                <w:rFonts w:hint="default" w:ascii="Times New Roman" w:hAnsi="Times New Roman" w:cs="Times New Roman" w:eastAsiaTheme="minorEastAsia"/>
                <w:bCs/>
                <w:color w:val="auto"/>
                <w:kern w:val="0"/>
                <w:sz w:val="21"/>
                <w:szCs w:val="21"/>
                <w:highlight w:val="none"/>
              </w:rPr>
              <w:t>mg/m</w:t>
            </w:r>
            <w:r>
              <w:rPr>
                <w:rFonts w:hint="default" w:ascii="Times New Roman" w:hAnsi="Times New Roman" w:cs="Times New Roman" w:eastAsiaTheme="minorEastAsia"/>
                <w:bCs/>
                <w:color w:val="auto"/>
                <w:kern w:val="0"/>
                <w:sz w:val="21"/>
                <w:szCs w:val="21"/>
                <w:highlight w:val="none"/>
                <w:vertAlign w:val="superscript"/>
              </w:rPr>
              <w:t>3</w:t>
            </w:r>
            <w:r>
              <w:rPr>
                <w:rFonts w:hint="eastAsia" w:cs="Times New Roman" w:eastAsiaTheme="minorEastAsia"/>
                <w:bCs/>
                <w:color w:val="auto"/>
                <w:kern w:val="0"/>
                <w:sz w:val="21"/>
                <w:szCs w:val="21"/>
                <w:highlight w:val="none"/>
                <w:lang w:eastAsia="zh-CN"/>
              </w:rPr>
              <w:t>，</w:t>
            </w:r>
            <w:r>
              <w:rPr>
                <w:rFonts w:hint="default" w:ascii="Times New Roman" w:hAnsi="Times New Roman" w:cs="Times New Roman" w:eastAsiaTheme="minorEastAsia"/>
                <w:bCs/>
                <w:color w:val="auto"/>
                <w:kern w:val="0"/>
                <w:sz w:val="21"/>
                <w:szCs w:val="21"/>
                <w:highlight w:val="none"/>
              </w:rPr>
              <w:t>能够满足</w:t>
            </w:r>
            <w:r>
              <w:rPr>
                <w:rFonts w:hint="eastAsia" w:cs="Times New Roman" w:eastAsiaTheme="minorEastAsia"/>
                <w:bCs/>
                <w:color w:val="auto"/>
                <w:kern w:val="0"/>
                <w:sz w:val="21"/>
                <w:szCs w:val="21"/>
                <w:highlight w:val="none"/>
                <w:lang w:eastAsia="zh-CN"/>
              </w:rPr>
              <w:t>《</w:t>
            </w:r>
            <w:r>
              <w:rPr>
                <w:rFonts w:hint="default" w:ascii="Times New Roman" w:hAnsi="Times New Roman" w:cs="Times New Roman"/>
                <w:color w:val="auto"/>
                <w:sz w:val="21"/>
                <w:szCs w:val="21"/>
                <w:highlight w:val="none"/>
              </w:rPr>
              <w:t>挥发性有机物排放标准第7部分</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其他行业</w:t>
            </w:r>
            <w:r>
              <w:rPr>
                <w:rFonts w:hint="eastAsia" w:cs="Times New Roman" w:eastAsiaTheme="minorEastAsia"/>
                <w:bCs/>
                <w:color w:val="auto"/>
                <w:kern w:val="0"/>
                <w:sz w:val="21"/>
                <w:szCs w:val="21"/>
                <w:highlight w:val="none"/>
                <w:lang w:eastAsia="zh-CN"/>
              </w:rPr>
              <w:t>》</w:t>
            </w:r>
            <w:r>
              <w:rPr>
                <w:rFonts w:hint="eastAsia" w:cs="Times New Roman" w:eastAsiaTheme="minorEastAsia"/>
                <w:color w:val="auto"/>
                <w:sz w:val="21"/>
                <w:szCs w:val="21"/>
                <w:highlight w:val="none"/>
                <w:lang w:eastAsia="zh-CN"/>
              </w:rPr>
              <w:t>（</w:t>
            </w:r>
            <w:r>
              <w:rPr>
                <w:rFonts w:hint="default" w:ascii="Times New Roman" w:hAnsi="Times New Roman" w:cs="Times New Roman"/>
                <w:color w:val="auto"/>
                <w:sz w:val="21"/>
                <w:szCs w:val="21"/>
                <w:highlight w:val="none"/>
              </w:rPr>
              <w:t>DB37/2801.7-2019</w:t>
            </w:r>
            <w:r>
              <w:rPr>
                <w:rFonts w:hint="eastAsia" w:cs="Times New Roman" w:eastAsiaTheme="minorEastAsia"/>
                <w:color w:val="auto"/>
                <w:sz w:val="21"/>
                <w:szCs w:val="21"/>
                <w:highlight w:val="none"/>
                <w:lang w:eastAsia="zh-CN"/>
              </w:rPr>
              <w:t>）</w:t>
            </w:r>
            <w:r>
              <w:rPr>
                <w:rFonts w:hint="default" w:ascii="Times New Roman" w:hAnsi="Times New Roman" w:cs="Times New Roman"/>
                <w:color w:val="auto"/>
                <w:sz w:val="21"/>
                <w:szCs w:val="21"/>
                <w:highlight w:val="none"/>
              </w:rPr>
              <w:t>表</w:t>
            </w:r>
            <w:r>
              <w:rPr>
                <w:rFonts w:hint="eastAsia" w:cs="Times New Roman"/>
                <w:color w:val="auto"/>
                <w:sz w:val="21"/>
                <w:szCs w:val="21"/>
                <w:highlight w:val="none"/>
                <w:lang w:val="en-US" w:eastAsia="zh-CN"/>
              </w:rPr>
              <w:t>1非金属矿物制品业II时段排放限值</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VOCs最高允许排放浓度20</w:t>
            </w:r>
            <w:r>
              <w:rPr>
                <w:rFonts w:hint="default" w:ascii="Times New Roman" w:hAnsi="Times New Roman" w:cs="Times New Roman"/>
                <w:bCs/>
                <w:color w:val="auto"/>
                <w:sz w:val="21"/>
                <w:szCs w:val="21"/>
                <w:highlight w:val="none"/>
                <w:lang w:val="de-DE"/>
              </w:rPr>
              <w:t xml:space="preserve"> mg/m</w:t>
            </w:r>
            <w:r>
              <w:rPr>
                <w:rFonts w:hint="default" w:ascii="Times New Roman" w:hAnsi="Times New Roman" w:cs="Times New Roman"/>
                <w:bCs/>
                <w:color w:val="auto"/>
                <w:sz w:val="21"/>
                <w:szCs w:val="21"/>
                <w:highlight w:val="none"/>
                <w:vertAlign w:val="superscript"/>
                <w:lang w:val="de-DE"/>
              </w:rPr>
              <w:t>3</w:t>
            </w:r>
            <w:r>
              <w:rPr>
                <w:rFonts w:hint="eastAsia" w:cs="Times New Roman"/>
                <w:bCs/>
                <w:color w:val="auto"/>
                <w:sz w:val="21"/>
                <w:szCs w:val="21"/>
                <w:highlight w:val="none"/>
                <w:vertAlign w:val="baseline"/>
                <w:lang w:val="de-DE" w:eastAsia="zh-CN"/>
              </w:rPr>
              <w:t>、</w:t>
            </w:r>
            <w:r>
              <w:rPr>
                <w:rFonts w:hint="eastAsia" w:cs="Times New Roman"/>
                <w:bCs/>
                <w:color w:val="auto"/>
                <w:sz w:val="21"/>
                <w:szCs w:val="21"/>
                <w:highlight w:val="none"/>
                <w:vertAlign w:val="baseline"/>
                <w:lang w:val="en-US" w:eastAsia="zh-CN"/>
              </w:rPr>
              <w:t>排放速率3.0kg/h</w:t>
            </w:r>
            <w:r>
              <w:rPr>
                <w:rFonts w:hint="default" w:ascii="Times New Roman" w:hAnsi="Times New Roman" w:cs="Times New Roman"/>
                <w:color w:val="auto"/>
                <w:sz w:val="21"/>
                <w:szCs w:val="21"/>
                <w:highlight w:val="none"/>
              </w:rPr>
              <w:t>）</w:t>
            </w:r>
            <w:r>
              <w:rPr>
                <w:rFonts w:hint="default" w:ascii="Times New Roman" w:hAnsi="Times New Roman" w:cs="Times New Roman" w:eastAsiaTheme="minorEastAsia"/>
                <w:color w:val="auto"/>
                <w:sz w:val="21"/>
                <w:szCs w:val="21"/>
                <w:highlight w:val="none"/>
                <w:lang w:val="en-US" w:eastAsia="zh-CN"/>
              </w:rPr>
              <w:t>。</w:t>
            </w:r>
          </w:p>
          <w:p w14:paraId="52996B00">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eastAsiaTheme="minorEastAsia"/>
                <w:bCs/>
                <w:color w:val="auto"/>
                <w:kern w:val="0"/>
                <w:sz w:val="21"/>
                <w:szCs w:val="21"/>
                <w:highlight w:val="none"/>
              </w:rPr>
              <w:t>厂界无组织颗粒物最大排放浓度为0.</w:t>
            </w:r>
            <w:r>
              <w:rPr>
                <w:rFonts w:hint="eastAsia" w:cs="Times New Roman" w:eastAsiaTheme="minorEastAsia"/>
                <w:bCs/>
                <w:color w:val="auto"/>
                <w:kern w:val="0"/>
                <w:sz w:val="21"/>
                <w:szCs w:val="21"/>
                <w:highlight w:val="none"/>
                <w:lang w:val="en-US" w:eastAsia="zh-CN"/>
              </w:rPr>
              <w:t>473</w:t>
            </w:r>
            <w:r>
              <w:rPr>
                <w:rFonts w:hint="default" w:ascii="Times New Roman" w:hAnsi="Times New Roman" w:cs="Times New Roman" w:eastAsiaTheme="minorEastAsia"/>
                <w:color w:val="auto"/>
                <w:sz w:val="21"/>
                <w:szCs w:val="21"/>
                <w:highlight w:val="none"/>
              </w:rPr>
              <w:t>mg/m</w:t>
            </w:r>
            <w:r>
              <w:rPr>
                <w:rFonts w:hint="default" w:ascii="Times New Roman" w:hAnsi="Times New Roman" w:cs="Times New Roman" w:eastAsiaTheme="minorEastAsia"/>
                <w:color w:val="auto"/>
                <w:sz w:val="21"/>
                <w:szCs w:val="21"/>
                <w:highlight w:val="none"/>
                <w:vertAlign w:val="superscript"/>
              </w:rPr>
              <w:t>3</w:t>
            </w:r>
            <w:r>
              <w:rPr>
                <w:rFonts w:hint="default" w:ascii="Times New Roman" w:hAnsi="Times New Roman" w:cs="Times New Roman" w:eastAsiaTheme="minorEastAsia"/>
                <w:bCs/>
                <w:color w:val="auto"/>
                <w:kern w:val="0"/>
                <w:sz w:val="21"/>
                <w:szCs w:val="21"/>
                <w:highlight w:val="none"/>
              </w:rPr>
              <w:t>，</w:t>
            </w:r>
            <w:r>
              <w:rPr>
                <w:rFonts w:hint="default" w:ascii="Times New Roman" w:hAnsi="Times New Roman" w:cs="Times New Roman" w:eastAsiaTheme="minorEastAsia"/>
                <w:color w:val="auto"/>
                <w:sz w:val="21"/>
                <w:szCs w:val="21"/>
                <w:highlight w:val="none"/>
              </w:rPr>
              <w:t>满足</w:t>
            </w:r>
            <w:r>
              <w:rPr>
                <w:rFonts w:hint="default" w:ascii="Times New Roman" w:hAnsi="Times New Roman" w:cs="Times New Roman"/>
                <w:color w:val="auto"/>
                <w:sz w:val="21"/>
                <w:szCs w:val="21"/>
                <w:highlight w:val="none"/>
              </w:rPr>
              <w:t>《建材工业大气污染物排放标准》（DB37/2373-2018）</w:t>
            </w:r>
            <w:r>
              <w:rPr>
                <w:rFonts w:hint="default" w:ascii="Times New Roman" w:hAnsi="Times New Roman" w:cs="Times New Roman" w:eastAsiaTheme="minorEastAsia"/>
                <w:color w:val="auto"/>
                <w:sz w:val="21"/>
                <w:szCs w:val="21"/>
                <w:highlight w:val="none"/>
              </w:rPr>
              <w:t>表3中建材工业大气污染物无组织排放限值“除水泥外的其他建材”标准要求</w:t>
            </w:r>
            <w:r>
              <w:rPr>
                <w:rFonts w:hint="default" w:ascii="Times New Roman" w:hAnsi="Times New Roman" w:cs="Times New Roman"/>
                <w:color w:val="auto"/>
                <w:sz w:val="21"/>
                <w:szCs w:val="21"/>
                <w:highlight w:val="none"/>
              </w:rPr>
              <w:t>（颗粒物：1.0</w:t>
            </w:r>
            <w:r>
              <w:rPr>
                <w:rFonts w:hint="default" w:ascii="Times New Roman" w:hAnsi="Times New Roman" w:cs="Times New Roman"/>
                <w:bCs/>
                <w:color w:val="auto"/>
                <w:sz w:val="21"/>
                <w:szCs w:val="21"/>
                <w:highlight w:val="none"/>
                <w:lang w:val="de-DE"/>
              </w:rPr>
              <w:t xml:space="preserve"> mg/m</w:t>
            </w:r>
            <w:r>
              <w:rPr>
                <w:rFonts w:hint="default" w:ascii="Times New Roman" w:hAnsi="Times New Roman" w:cs="Times New Roman"/>
                <w:bCs/>
                <w:color w:val="auto"/>
                <w:sz w:val="21"/>
                <w:szCs w:val="21"/>
                <w:highlight w:val="none"/>
                <w:vertAlign w:val="superscript"/>
                <w:lang w:val="de-DE"/>
              </w:rPr>
              <w:t>3</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eastAsia="zh-CN"/>
              </w:rPr>
              <w:t>；</w:t>
            </w:r>
            <w:r>
              <w:rPr>
                <w:rFonts w:hint="default" w:ascii="Times New Roman" w:hAnsi="Times New Roman" w:cs="Times New Roman" w:eastAsiaTheme="minorEastAsia"/>
                <w:bCs/>
                <w:color w:val="auto"/>
                <w:kern w:val="0"/>
                <w:sz w:val="21"/>
                <w:szCs w:val="21"/>
                <w:highlight w:val="none"/>
              </w:rPr>
              <w:t>厂界无组织</w:t>
            </w:r>
            <w:r>
              <w:rPr>
                <w:rFonts w:hint="eastAsia" w:cs="Times New Roman" w:eastAsiaTheme="minorEastAsia"/>
                <w:color w:val="auto"/>
                <w:sz w:val="21"/>
                <w:szCs w:val="21"/>
                <w:highlight w:val="none"/>
                <w:lang w:val="en-US" w:eastAsia="zh-CN"/>
              </w:rPr>
              <w:t>VOCs</w:t>
            </w:r>
            <w:r>
              <w:rPr>
                <w:rFonts w:hint="default" w:ascii="Times New Roman" w:hAnsi="Times New Roman" w:cs="Times New Roman" w:eastAsiaTheme="minorEastAsia"/>
                <w:bCs/>
                <w:color w:val="auto"/>
                <w:kern w:val="0"/>
                <w:sz w:val="21"/>
                <w:szCs w:val="21"/>
                <w:highlight w:val="none"/>
              </w:rPr>
              <w:t>最大排放浓度为</w:t>
            </w:r>
            <w:r>
              <w:rPr>
                <w:rFonts w:hint="eastAsia" w:ascii="Times New Roman" w:hAnsi="Times New Roman" w:cs="Times New Roman" w:eastAsiaTheme="minorEastAsia"/>
                <w:bCs/>
                <w:color w:val="auto"/>
                <w:kern w:val="0"/>
                <w:sz w:val="21"/>
                <w:szCs w:val="21"/>
                <w:highlight w:val="none"/>
                <w:lang w:val="en-US" w:eastAsia="zh-CN"/>
              </w:rPr>
              <w:t>1.55</w:t>
            </w:r>
            <w:r>
              <w:rPr>
                <w:rFonts w:hint="default" w:ascii="Times New Roman" w:hAnsi="Times New Roman" w:cs="Times New Roman" w:eastAsiaTheme="minorEastAsia"/>
                <w:color w:val="auto"/>
                <w:sz w:val="21"/>
                <w:szCs w:val="21"/>
                <w:highlight w:val="none"/>
              </w:rPr>
              <w:t>mg/m</w:t>
            </w:r>
            <w:r>
              <w:rPr>
                <w:rFonts w:hint="default" w:ascii="Times New Roman" w:hAnsi="Times New Roman" w:cs="Times New Roman" w:eastAsiaTheme="minorEastAsia"/>
                <w:color w:val="auto"/>
                <w:sz w:val="21"/>
                <w:szCs w:val="21"/>
                <w:highlight w:val="none"/>
                <w:vertAlign w:val="superscript"/>
              </w:rPr>
              <w:t>3</w:t>
            </w:r>
            <w:r>
              <w:rPr>
                <w:rFonts w:hint="default" w:ascii="Times New Roman" w:hAnsi="Times New Roman" w:cs="Times New Roman" w:eastAsiaTheme="minorEastAsia"/>
                <w:bCs/>
                <w:color w:val="auto"/>
                <w:kern w:val="0"/>
                <w:sz w:val="21"/>
                <w:szCs w:val="21"/>
                <w:highlight w:val="none"/>
              </w:rPr>
              <w:t>，</w:t>
            </w:r>
            <w:r>
              <w:rPr>
                <w:rFonts w:hint="eastAsia" w:ascii="Times New Roman" w:hAnsi="Times New Roman" w:cs="Times New Roman" w:eastAsiaTheme="minorEastAsia"/>
                <w:bCs/>
                <w:color w:val="auto"/>
                <w:kern w:val="0"/>
                <w:sz w:val="21"/>
                <w:szCs w:val="21"/>
                <w:highlight w:val="none"/>
                <w:lang w:val="en-US" w:eastAsia="zh-CN"/>
              </w:rPr>
              <w:t>满足</w:t>
            </w:r>
            <w:r>
              <w:rPr>
                <w:rFonts w:hint="eastAsia" w:cs="Times New Roman" w:eastAsiaTheme="minorEastAsia"/>
                <w:bCs/>
                <w:color w:val="auto"/>
                <w:kern w:val="0"/>
                <w:sz w:val="21"/>
                <w:szCs w:val="21"/>
                <w:highlight w:val="none"/>
                <w:lang w:eastAsia="zh-CN"/>
              </w:rPr>
              <w:t>《</w:t>
            </w:r>
            <w:r>
              <w:rPr>
                <w:rFonts w:hint="default" w:ascii="Times New Roman" w:hAnsi="Times New Roman" w:cs="Times New Roman"/>
                <w:color w:val="auto"/>
                <w:sz w:val="21"/>
                <w:szCs w:val="21"/>
                <w:highlight w:val="none"/>
              </w:rPr>
              <w:t>挥发性有机物排放标准第7部分</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其他行业</w:t>
            </w:r>
            <w:r>
              <w:rPr>
                <w:rFonts w:hint="eastAsia" w:cs="Times New Roman" w:eastAsiaTheme="minorEastAsia"/>
                <w:bCs/>
                <w:color w:val="auto"/>
                <w:kern w:val="0"/>
                <w:sz w:val="21"/>
                <w:szCs w:val="21"/>
                <w:highlight w:val="none"/>
                <w:lang w:eastAsia="zh-CN"/>
              </w:rPr>
              <w:t>》</w:t>
            </w:r>
            <w:r>
              <w:rPr>
                <w:rFonts w:hint="eastAsia" w:cs="Times New Roman" w:eastAsiaTheme="minorEastAsia"/>
                <w:color w:val="auto"/>
                <w:sz w:val="21"/>
                <w:szCs w:val="21"/>
                <w:highlight w:val="none"/>
                <w:lang w:eastAsia="zh-CN"/>
              </w:rPr>
              <w:t>（</w:t>
            </w:r>
            <w:r>
              <w:rPr>
                <w:rFonts w:hint="default" w:ascii="Times New Roman" w:hAnsi="Times New Roman" w:cs="Times New Roman"/>
                <w:color w:val="auto"/>
                <w:sz w:val="21"/>
                <w:szCs w:val="21"/>
                <w:highlight w:val="none"/>
              </w:rPr>
              <w:t>DB37/2801.7-2019</w:t>
            </w:r>
            <w:r>
              <w:rPr>
                <w:rFonts w:hint="eastAsia" w:cs="Times New Roman" w:eastAsiaTheme="minorEastAsia"/>
                <w:color w:val="auto"/>
                <w:sz w:val="21"/>
                <w:szCs w:val="21"/>
                <w:highlight w:val="none"/>
                <w:lang w:eastAsia="zh-CN"/>
              </w:rPr>
              <w:t>）</w:t>
            </w:r>
            <w:r>
              <w:rPr>
                <w:rFonts w:hint="eastAsia" w:cs="Times New Roman" w:eastAsiaTheme="minorEastAsia"/>
                <w:color w:val="auto"/>
                <w:sz w:val="21"/>
                <w:szCs w:val="21"/>
                <w:highlight w:val="none"/>
                <w:lang w:val="en-US" w:eastAsia="zh-CN"/>
              </w:rPr>
              <w:t>表2厂界监控点浓度限值（VOCs2.0</w:t>
            </w:r>
            <w:r>
              <w:rPr>
                <w:rFonts w:hint="default" w:ascii="Times New Roman" w:hAnsi="Times New Roman" w:cs="Times New Roman"/>
                <w:bCs/>
                <w:color w:val="auto"/>
                <w:sz w:val="21"/>
                <w:szCs w:val="21"/>
                <w:highlight w:val="none"/>
                <w:lang w:val="de-DE"/>
              </w:rPr>
              <w:t>mg/m</w:t>
            </w:r>
            <w:r>
              <w:rPr>
                <w:rFonts w:hint="default" w:ascii="Times New Roman" w:hAnsi="Times New Roman" w:cs="Times New Roman"/>
                <w:bCs/>
                <w:color w:val="auto"/>
                <w:sz w:val="21"/>
                <w:szCs w:val="21"/>
                <w:highlight w:val="none"/>
                <w:vertAlign w:val="superscript"/>
                <w:lang w:val="de-DE"/>
              </w:rPr>
              <w:t>3</w:t>
            </w:r>
            <w:r>
              <w:rPr>
                <w:rFonts w:hint="eastAsia" w:cs="Times New Roman" w:eastAsiaTheme="minorEastAsia"/>
                <w:color w:val="auto"/>
                <w:sz w:val="21"/>
                <w:szCs w:val="21"/>
                <w:highlight w:val="none"/>
                <w:lang w:val="en-US" w:eastAsia="zh-CN"/>
              </w:rPr>
              <w:t>）</w:t>
            </w:r>
            <w:r>
              <w:rPr>
                <w:rFonts w:hint="default" w:ascii="Times New Roman" w:hAnsi="Times New Roman" w:cs="Times New Roman" w:eastAsiaTheme="minorEastAsia"/>
                <w:color w:val="auto"/>
                <w:sz w:val="21"/>
                <w:szCs w:val="21"/>
                <w:highlight w:val="none"/>
                <w:lang w:eastAsia="zh-CN"/>
              </w:rPr>
              <w:t>。</w:t>
            </w:r>
          </w:p>
          <w:p w14:paraId="7FB003C3">
            <w:pPr>
              <w:pStyle w:val="997"/>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（2）废水</w:t>
            </w:r>
          </w:p>
          <w:p w14:paraId="090519D4">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现有项目废水主要为职工生活污水</w:t>
            </w:r>
            <w:r>
              <w:rPr>
                <w:rFonts w:hint="eastAsia" w:cs="Times New Roman"/>
                <w:color w:val="auto"/>
                <w:highlight w:val="none"/>
                <w:lang w:eastAsia="zh-CN"/>
              </w:rPr>
              <w:t>，</w:t>
            </w:r>
            <w:r>
              <w:rPr>
                <w:rFonts w:hint="default" w:ascii="Times New Roman" w:hAnsi="Times New Roman" w:cs="Times New Roman"/>
                <w:color w:val="auto"/>
                <w:highlight w:val="none"/>
              </w:rPr>
              <w:t>经化粪池处理后由环卫部门定期清运，无需</w:t>
            </w:r>
            <w:r>
              <w:rPr>
                <w:rFonts w:hint="default" w:ascii="Times New Roman" w:hAnsi="Times New Roman" w:cs="Times New Roman"/>
                <w:color w:val="auto"/>
                <w:highlight w:val="none"/>
                <w:lang w:eastAsia="zh-CN"/>
              </w:rPr>
              <w:t>检测</w:t>
            </w:r>
            <w:r>
              <w:rPr>
                <w:rFonts w:hint="default" w:ascii="Times New Roman" w:hAnsi="Times New Roman" w:cs="Times New Roman"/>
                <w:color w:val="auto"/>
                <w:highlight w:val="none"/>
              </w:rPr>
              <w:t>。</w:t>
            </w:r>
          </w:p>
          <w:p w14:paraId="3D87C534">
            <w:pPr>
              <w:pStyle w:val="997"/>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（3）噪声</w:t>
            </w:r>
          </w:p>
          <w:p w14:paraId="060D3324">
            <w:pPr>
              <w:pStyle w:val="997"/>
              <w:spacing w:line="360" w:lineRule="auto"/>
              <w:rPr>
                <w:rFonts w:hint="default" w:ascii="Times New Roman" w:hAnsi="Times New Roman" w:cs="Times New Roman"/>
                <w:color w:val="auto"/>
                <w:highlight w:val="none"/>
              </w:rPr>
            </w:pPr>
            <w:r>
              <w:rPr>
                <w:rFonts w:hint="default" w:ascii="Times New Roman" w:hAnsi="Times New Roman" w:cs="Times New Roman" w:eastAsiaTheme="minorEastAsia"/>
                <w:color w:val="auto"/>
                <w:highlight w:val="none"/>
                <w:lang w:val="en-US" w:eastAsia="zh-CN"/>
              </w:rPr>
              <w:t>现有项目噪声源主要来自于真空泵，搅拌机，打浆机等设备在运行过程中产生的机械噪声，噪声源强在</w:t>
            </w:r>
            <w:r>
              <w:rPr>
                <w:rFonts w:hint="eastAsia" w:cs="Times New Roman" w:eastAsiaTheme="minorEastAsia"/>
                <w:color w:val="auto"/>
                <w:highlight w:val="none"/>
                <w:lang w:val="en-US" w:eastAsia="zh-CN"/>
              </w:rPr>
              <w:t>70</w:t>
            </w:r>
            <w:r>
              <w:rPr>
                <w:rFonts w:hint="default" w:ascii="Times New Roman" w:hAnsi="Times New Roman" w:cs="Times New Roman" w:eastAsiaTheme="minorEastAsia"/>
                <w:color w:val="auto"/>
                <w:highlight w:val="none"/>
                <w:lang w:val="en-US" w:eastAsia="zh-CN"/>
              </w:rPr>
              <w:t>~</w:t>
            </w:r>
            <w:r>
              <w:rPr>
                <w:rFonts w:hint="eastAsia" w:cs="Times New Roman" w:eastAsiaTheme="minorEastAsia"/>
                <w:color w:val="auto"/>
                <w:highlight w:val="none"/>
                <w:lang w:val="en-US" w:eastAsia="zh-CN"/>
              </w:rPr>
              <w:t>85</w:t>
            </w:r>
            <w:r>
              <w:rPr>
                <w:rFonts w:hint="default" w:ascii="Times New Roman" w:hAnsi="Times New Roman" w:cs="Times New Roman" w:eastAsiaTheme="minorEastAsia"/>
                <w:color w:val="auto"/>
                <w:highlight w:val="none"/>
                <w:lang w:val="en-US" w:eastAsia="zh-CN"/>
              </w:rPr>
              <w:t>dB(A)之间。</w:t>
            </w:r>
            <w:r>
              <w:rPr>
                <w:rFonts w:hint="default" w:ascii="Times New Roman" w:hAnsi="Times New Roman" w:cs="Times New Roman" w:eastAsiaTheme="minorEastAsia"/>
                <w:color w:val="auto"/>
                <w:highlight w:val="none"/>
              </w:rPr>
              <w:t>根据</w:t>
            </w:r>
            <w:r>
              <w:rPr>
                <w:rFonts w:hint="eastAsia" w:cs="Times New Roman" w:eastAsiaTheme="minorEastAsia"/>
                <w:color w:val="auto"/>
                <w:highlight w:val="none"/>
                <w:lang w:eastAsia="zh-CN"/>
              </w:rPr>
              <w:t>山东方杰检测技术有限公司</w:t>
            </w:r>
            <w:r>
              <w:rPr>
                <w:rFonts w:hint="default" w:ascii="Times New Roman" w:hAnsi="Times New Roman" w:cs="Times New Roman" w:eastAsiaTheme="minorEastAsia"/>
                <w:color w:val="auto"/>
                <w:highlight w:val="none"/>
              </w:rPr>
              <w:t>出具的</w:t>
            </w:r>
            <w:r>
              <w:rPr>
                <w:rFonts w:hint="default" w:ascii="Times New Roman" w:hAnsi="Times New Roman" w:cs="Times New Roman" w:eastAsiaTheme="minorEastAsia"/>
                <w:color w:val="auto"/>
                <w:highlight w:val="none"/>
                <w:lang w:val="de-DE"/>
              </w:rPr>
              <w:t>《</w:t>
            </w:r>
            <w:r>
              <w:rPr>
                <w:rFonts w:hint="eastAsia" w:cs="Times New Roman" w:eastAsiaTheme="minorEastAsia"/>
                <w:color w:val="auto"/>
                <w:highlight w:val="none"/>
                <w:lang w:val="de-DE" w:eastAsia="zh-CN"/>
              </w:rPr>
              <w:t>淄博宝路保温材料有限公司污染源现状检测</w:t>
            </w:r>
            <w:r>
              <w:rPr>
                <w:rFonts w:hint="default" w:ascii="Times New Roman" w:hAnsi="Times New Roman" w:cs="Times New Roman" w:eastAsiaTheme="minorEastAsia"/>
                <w:color w:val="auto"/>
                <w:highlight w:val="none"/>
                <w:lang w:val="de-DE"/>
              </w:rPr>
              <w:t>》（</w:t>
            </w:r>
            <w:r>
              <w:rPr>
                <w:rFonts w:hint="default" w:ascii="Times New Roman" w:hAnsi="Times New Roman" w:cs="Times New Roman" w:eastAsiaTheme="minorEastAsia"/>
                <w:color w:val="auto"/>
                <w:highlight w:val="none"/>
                <w:lang w:val="de-DE" w:eastAsia="zh-CN"/>
              </w:rPr>
              <w:t>FJH24081307</w:t>
            </w:r>
            <w:r>
              <w:rPr>
                <w:rFonts w:hint="default" w:ascii="Times New Roman" w:hAnsi="Times New Roman" w:cs="Times New Roman" w:eastAsiaTheme="minorEastAsia"/>
                <w:color w:val="auto"/>
                <w:highlight w:val="none"/>
                <w:lang w:val="de-DE"/>
              </w:rPr>
              <w:t>）</w:t>
            </w:r>
            <w:r>
              <w:rPr>
                <w:rFonts w:hint="default" w:ascii="Times New Roman" w:hAnsi="Times New Roman" w:cs="Times New Roman" w:eastAsiaTheme="minorEastAsia"/>
                <w:color w:val="auto"/>
                <w:highlight w:val="none"/>
                <w:lang w:val="de-DE" w:eastAsia="zh-CN"/>
              </w:rPr>
              <w:t>（</w:t>
            </w:r>
            <w:r>
              <w:rPr>
                <w:rFonts w:hint="default" w:ascii="Times New Roman" w:hAnsi="Times New Roman" w:cs="Times New Roman" w:eastAsiaTheme="minorEastAsia"/>
                <w:color w:val="auto"/>
                <w:highlight w:val="none"/>
              </w:rPr>
              <w:t>202</w:t>
            </w:r>
            <w:r>
              <w:rPr>
                <w:rFonts w:hint="default" w:ascii="Times New Roman" w:hAnsi="Times New Roman" w:cs="Times New Roman" w:eastAsiaTheme="minorEastAsia"/>
                <w:color w:val="auto"/>
                <w:highlight w:val="none"/>
                <w:lang w:val="en-US" w:eastAsia="zh-CN"/>
              </w:rPr>
              <w:t>4</w:t>
            </w:r>
            <w:r>
              <w:rPr>
                <w:rFonts w:hint="default" w:ascii="Times New Roman" w:hAnsi="Times New Roman" w:cs="Times New Roman" w:eastAsiaTheme="minorEastAsia"/>
                <w:color w:val="auto"/>
                <w:highlight w:val="none"/>
              </w:rPr>
              <w:t>年</w:t>
            </w:r>
            <w:r>
              <w:rPr>
                <w:rFonts w:hint="eastAsia" w:cs="Times New Roman" w:eastAsiaTheme="minorEastAsia"/>
                <w:color w:val="auto"/>
                <w:highlight w:val="none"/>
                <w:lang w:val="en-US" w:eastAsia="zh-CN"/>
              </w:rPr>
              <w:t>9</w:t>
            </w:r>
            <w:r>
              <w:rPr>
                <w:rFonts w:hint="default" w:ascii="Times New Roman" w:hAnsi="Times New Roman" w:cs="Times New Roman" w:eastAsiaTheme="minorEastAsia"/>
                <w:color w:val="auto"/>
                <w:highlight w:val="none"/>
              </w:rPr>
              <w:t>月</w:t>
            </w:r>
            <w:r>
              <w:rPr>
                <w:rFonts w:hint="eastAsia" w:cs="Times New Roman" w:eastAsiaTheme="minorEastAsia"/>
                <w:color w:val="auto"/>
                <w:highlight w:val="none"/>
                <w:lang w:val="en-US" w:eastAsia="zh-CN"/>
              </w:rPr>
              <w:t>4</w:t>
            </w:r>
            <w:r>
              <w:rPr>
                <w:rFonts w:hint="default" w:ascii="Times New Roman" w:hAnsi="Times New Roman" w:cs="Times New Roman" w:eastAsiaTheme="minorEastAsia"/>
                <w:color w:val="auto"/>
                <w:highlight w:val="none"/>
              </w:rPr>
              <w:t>日）</w:t>
            </w:r>
            <w:r>
              <w:rPr>
                <w:rFonts w:hint="default" w:ascii="Times New Roman" w:hAnsi="Times New Roman" w:cs="Times New Roman" w:eastAsiaTheme="minorEastAsia"/>
                <w:color w:val="auto"/>
                <w:highlight w:val="none"/>
                <w:lang w:val="en-US" w:eastAsia="zh-CN"/>
              </w:rPr>
              <w:t>，噪声检测结果见下表</w:t>
            </w:r>
            <w:r>
              <w:rPr>
                <w:rFonts w:hint="default" w:ascii="Times New Roman" w:hAnsi="Times New Roman" w:cs="Times New Roman"/>
                <w:color w:val="auto"/>
                <w:highlight w:val="none"/>
              </w:rPr>
              <w:t>。</w:t>
            </w:r>
          </w:p>
          <w:p w14:paraId="0D07936C">
            <w:pPr>
              <w:pStyle w:val="85"/>
              <w:spacing w:after="0"/>
              <w:ind w:left="0" w:leftChars="0" w:firstLine="0" w:firstLineChars="0"/>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表2-</w:t>
            </w:r>
            <w:r>
              <w:rPr>
                <w:rFonts w:hint="eastAsia" w:eastAsia="黑体" w:cs="Times New Roman"/>
                <w:color w:val="auto"/>
                <w:highlight w:val="none"/>
                <w:lang w:val="en-US" w:eastAsia="zh-CN"/>
              </w:rPr>
              <w:t>8</w:t>
            </w:r>
            <w:r>
              <w:rPr>
                <w:rFonts w:hint="default" w:ascii="Times New Roman" w:hAnsi="Times New Roman" w:eastAsia="黑体" w:cs="Times New Roman"/>
                <w:color w:val="auto"/>
                <w:highlight w:val="none"/>
              </w:rPr>
              <w:t>厂界噪声检测结果</w:t>
            </w:r>
          </w:p>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052"/>
              <w:gridCol w:w="1693"/>
              <w:gridCol w:w="1740"/>
              <w:gridCol w:w="1740"/>
              <w:gridCol w:w="1743"/>
            </w:tblGrid>
            <w:tr w14:paraId="3FFA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92" w:type="pct"/>
                  <w:gridSpan w:val="2"/>
                  <w:vMerge w:val="restart"/>
                  <w:tcBorders>
                    <w:tl2br w:val="nil"/>
                    <w:tr2bl w:val="nil"/>
                  </w:tcBorders>
                  <w:vAlign w:val="center"/>
                </w:tcPr>
                <w:p w14:paraId="3A99A31F">
                  <w:pPr>
                    <w:jc w:val="right"/>
                    <w:rPr>
                      <w:rFonts w:ascii="Times New Roman" w:hAnsi="Times New Roman"/>
                      <w:b/>
                      <w:bCs/>
                      <w:color w:val="auto"/>
                      <w:sz w:val="18"/>
                      <w:szCs w:val="18"/>
                    </w:rPr>
                  </w:pPr>
                  <w:r>
                    <w:rPr>
                      <w:rFonts w:ascii="Times New Roman" w:hAnsi="Times New Roman"/>
                      <w:color w:val="auto"/>
                      <w:sz w:val="18"/>
                      <w:szCs w:val="18"/>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5080</wp:posOffset>
                            </wp:positionV>
                            <wp:extent cx="1447165" cy="560070"/>
                            <wp:effectExtent l="1905" t="4445" r="17780" b="6985"/>
                            <wp:wrapNone/>
                            <wp:docPr id="21" name="直接连接符 21"/>
                            <wp:cNvGraphicFramePr/>
                            <a:graphic xmlns:a="http://schemas.openxmlformats.org/drawingml/2006/main">
                              <a:graphicData uri="http://schemas.microsoft.com/office/word/2010/wordprocessingShape">
                                <wps:wsp>
                                  <wps:cNvCnPr/>
                                  <wps:spPr>
                                    <a:xfrm>
                                      <a:off x="403860" y="4977765"/>
                                      <a:ext cx="1447165" cy="5600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pt;margin-top:0.4pt;height:44.1pt;width:113.95pt;z-index:251659264;mso-width-relative:page;mso-height-relative:page;" filled="f" stroked="t" coordsize="21600,21600" o:gfxdata="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T/btHVAAAABwEAAA8AAAAAAAAAAQAgAAAAIgAAAGRycy9kb3du&#10;cmV2LnhtbFBLAQIUABQAAAAIAIdO4kCmqmjsAgIAAOUDAAAOAAAAAAAAAAEAIAAAACQBAABkcnMv&#10;ZTJvRG9jLnhtbFBLBQYAAAAABgAGAFkBAACYBQAAAAA=&#10;">
                            <v:fill on="f" focussize="0,0"/>
                            <v:stroke color="#000000 [3200]" joinstyle="round"/>
                            <v:imagedata o:title=""/>
                            <o:lock v:ext="edit" aspectratio="f"/>
                          </v:line>
                        </w:pict>
                      </mc:Fallback>
                    </mc:AlternateContent>
                  </w:r>
                  <w:r>
                    <w:rPr>
                      <w:rFonts w:ascii="Times New Roman" w:hAnsi="Times New Roman"/>
                      <w:b/>
                      <w:bCs/>
                      <w:color w:val="auto"/>
                      <w:sz w:val="18"/>
                      <w:szCs w:val="18"/>
                    </w:rPr>
                    <w:t>检测点位</w:t>
                  </w:r>
                </w:p>
                <w:p w14:paraId="1FC11622">
                  <w:pPr>
                    <w:rPr>
                      <w:rFonts w:ascii="Times New Roman" w:hAnsi="Times New Roman"/>
                      <w:b/>
                      <w:bCs/>
                      <w:color w:val="auto"/>
                      <w:sz w:val="18"/>
                      <w:szCs w:val="18"/>
                    </w:rPr>
                  </w:pPr>
                </w:p>
                <w:p w14:paraId="335D5E7A">
                  <w:pPr>
                    <w:rPr>
                      <w:rFonts w:ascii="Times New Roman" w:hAnsi="Times New Roman"/>
                      <w:b/>
                      <w:bCs/>
                      <w:color w:val="auto"/>
                      <w:sz w:val="18"/>
                      <w:szCs w:val="18"/>
                    </w:rPr>
                  </w:pPr>
                  <w:r>
                    <w:rPr>
                      <w:rFonts w:ascii="Times New Roman" w:hAnsi="Times New Roman"/>
                      <w:b/>
                      <w:bCs/>
                      <w:color w:val="auto"/>
                      <w:sz w:val="18"/>
                      <w:szCs w:val="18"/>
                    </w:rPr>
                    <w:t>检测时间</w:t>
                  </w:r>
                </w:p>
              </w:tc>
              <w:tc>
                <w:tcPr>
                  <w:tcW w:w="3807" w:type="pct"/>
                  <w:gridSpan w:val="4"/>
                  <w:tcBorders>
                    <w:tl2br w:val="nil"/>
                    <w:tr2bl w:val="nil"/>
                  </w:tcBorders>
                  <w:vAlign w:val="center"/>
                </w:tcPr>
                <w:p w14:paraId="4727240A">
                  <w:pPr>
                    <w:jc w:val="center"/>
                    <w:rPr>
                      <w:rFonts w:ascii="Times New Roman" w:hAnsi="Times New Roman"/>
                      <w:b/>
                      <w:bCs/>
                      <w:color w:val="auto"/>
                      <w:sz w:val="18"/>
                      <w:szCs w:val="18"/>
                    </w:rPr>
                  </w:pPr>
                  <w:r>
                    <w:rPr>
                      <w:rFonts w:ascii="Times New Roman" w:hAnsi="Times New Roman"/>
                      <w:b/>
                      <w:bCs/>
                      <w:color w:val="auto"/>
                      <w:sz w:val="18"/>
                      <w:szCs w:val="18"/>
                    </w:rPr>
                    <w:t>检测结果Leq</w:t>
                  </w:r>
                  <w:r>
                    <w:rPr>
                      <w:rFonts w:ascii="Times New Roman" w:hAnsi="Times New Roman"/>
                      <w:b/>
                      <w:bCs/>
                      <w:color w:val="auto"/>
                      <w:kern w:val="0"/>
                      <w:sz w:val="18"/>
                      <w:szCs w:val="18"/>
                    </w:rPr>
                    <w:t>〔dB(A)〕</w:t>
                  </w:r>
                </w:p>
              </w:tc>
            </w:tr>
            <w:tr w14:paraId="2CDE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92" w:type="pct"/>
                  <w:gridSpan w:val="2"/>
                  <w:vMerge w:val="continue"/>
                  <w:tcBorders>
                    <w:tl2br w:val="nil"/>
                    <w:tr2bl w:val="nil"/>
                  </w:tcBorders>
                  <w:vAlign w:val="center"/>
                </w:tcPr>
                <w:p w14:paraId="42918B91">
                  <w:pPr>
                    <w:jc w:val="center"/>
                    <w:rPr>
                      <w:rFonts w:ascii="Times New Roman" w:hAnsi="Times New Roman"/>
                      <w:sz w:val="18"/>
                      <w:szCs w:val="18"/>
                    </w:rPr>
                  </w:pPr>
                </w:p>
              </w:tc>
              <w:tc>
                <w:tcPr>
                  <w:tcW w:w="932" w:type="pct"/>
                  <w:tcBorders>
                    <w:tl2br w:val="nil"/>
                    <w:tr2bl w:val="nil"/>
                  </w:tcBorders>
                  <w:vAlign w:val="center"/>
                </w:tcPr>
                <w:p w14:paraId="0D0B96DB">
                  <w:pPr>
                    <w:jc w:val="center"/>
                    <w:rPr>
                      <w:rFonts w:ascii="Times New Roman" w:hAnsi="Times New Roman"/>
                      <w:b/>
                      <w:bCs/>
                      <w:sz w:val="18"/>
                      <w:szCs w:val="18"/>
                      <w:highlight w:val="yellow"/>
                    </w:rPr>
                  </w:pPr>
                  <w:r>
                    <w:rPr>
                      <w:rFonts w:ascii="Times New Roman" w:hAnsi="Times New Roman"/>
                      <w:b/>
                      <w:bCs/>
                      <w:sz w:val="18"/>
                      <w:szCs w:val="18"/>
                    </w:rPr>
                    <w:t>1#</w:t>
                  </w:r>
                  <w:r>
                    <w:rPr>
                      <w:rFonts w:hint="eastAsia" w:ascii="Times New Roman" w:hAnsi="Times New Roman"/>
                      <w:b/>
                      <w:bCs/>
                      <w:sz w:val="18"/>
                      <w:szCs w:val="18"/>
                      <w:lang w:val="en-US" w:eastAsia="zh-CN"/>
                    </w:rPr>
                    <w:t>西</w:t>
                  </w:r>
                  <w:r>
                    <w:rPr>
                      <w:rFonts w:ascii="Times New Roman" w:hAnsi="Times New Roman"/>
                      <w:b/>
                      <w:bCs/>
                      <w:color w:val="000000"/>
                      <w:sz w:val="18"/>
                      <w:szCs w:val="18"/>
                    </w:rPr>
                    <w:t>厂界</w:t>
                  </w:r>
                </w:p>
              </w:tc>
              <w:tc>
                <w:tcPr>
                  <w:tcW w:w="958" w:type="pct"/>
                  <w:tcBorders>
                    <w:tl2br w:val="nil"/>
                    <w:tr2bl w:val="nil"/>
                  </w:tcBorders>
                  <w:vAlign w:val="center"/>
                </w:tcPr>
                <w:p w14:paraId="522BA814">
                  <w:pPr>
                    <w:jc w:val="center"/>
                    <w:rPr>
                      <w:rFonts w:ascii="Times New Roman" w:hAnsi="Times New Roman"/>
                      <w:b/>
                      <w:bCs/>
                      <w:sz w:val="18"/>
                      <w:szCs w:val="18"/>
                      <w:highlight w:val="yellow"/>
                    </w:rPr>
                  </w:pPr>
                  <w:r>
                    <w:rPr>
                      <w:rFonts w:ascii="Times New Roman" w:hAnsi="Times New Roman"/>
                      <w:b/>
                      <w:bCs/>
                      <w:sz w:val="18"/>
                      <w:szCs w:val="18"/>
                    </w:rPr>
                    <w:t>2#</w:t>
                  </w:r>
                  <w:r>
                    <w:rPr>
                      <w:rFonts w:hint="eastAsia" w:ascii="Times New Roman" w:hAnsi="Times New Roman"/>
                      <w:b/>
                      <w:bCs/>
                      <w:sz w:val="18"/>
                      <w:szCs w:val="18"/>
                      <w:lang w:val="en-US" w:eastAsia="zh-CN"/>
                    </w:rPr>
                    <w:t>北</w:t>
                  </w:r>
                  <w:r>
                    <w:rPr>
                      <w:rFonts w:ascii="Times New Roman" w:hAnsi="Times New Roman"/>
                      <w:b/>
                      <w:bCs/>
                      <w:color w:val="000000"/>
                      <w:sz w:val="18"/>
                      <w:szCs w:val="18"/>
                    </w:rPr>
                    <w:t>厂界</w:t>
                  </w:r>
                </w:p>
              </w:tc>
              <w:tc>
                <w:tcPr>
                  <w:tcW w:w="958" w:type="pct"/>
                  <w:tcBorders>
                    <w:tl2br w:val="nil"/>
                    <w:tr2bl w:val="nil"/>
                  </w:tcBorders>
                  <w:vAlign w:val="center"/>
                </w:tcPr>
                <w:p w14:paraId="35DDA494">
                  <w:pPr>
                    <w:jc w:val="center"/>
                    <w:rPr>
                      <w:rFonts w:ascii="Times New Roman" w:hAnsi="Times New Roman"/>
                      <w:b/>
                      <w:bCs/>
                      <w:sz w:val="18"/>
                      <w:szCs w:val="18"/>
                    </w:rPr>
                  </w:pPr>
                  <w:r>
                    <w:rPr>
                      <w:rFonts w:ascii="Times New Roman" w:hAnsi="Times New Roman"/>
                      <w:b/>
                      <w:bCs/>
                      <w:sz w:val="18"/>
                      <w:szCs w:val="18"/>
                    </w:rPr>
                    <w:t>3#</w:t>
                  </w:r>
                  <w:r>
                    <w:rPr>
                      <w:rFonts w:hint="eastAsia" w:ascii="Times New Roman" w:hAnsi="Times New Roman"/>
                      <w:b/>
                      <w:bCs/>
                      <w:sz w:val="18"/>
                      <w:szCs w:val="18"/>
                      <w:lang w:val="en-US" w:eastAsia="zh-CN"/>
                    </w:rPr>
                    <w:t>东</w:t>
                  </w:r>
                  <w:r>
                    <w:rPr>
                      <w:rFonts w:ascii="Times New Roman" w:hAnsi="Times New Roman"/>
                      <w:b/>
                      <w:bCs/>
                      <w:color w:val="000000"/>
                      <w:sz w:val="18"/>
                      <w:szCs w:val="18"/>
                    </w:rPr>
                    <w:t>厂界</w:t>
                  </w:r>
                </w:p>
              </w:tc>
              <w:tc>
                <w:tcPr>
                  <w:tcW w:w="959" w:type="pct"/>
                  <w:tcBorders>
                    <w:tl2br w:val="nil"/>
                    <w:tr2bl w:val="nil"/>
                  </w:tcBorders>
                  <w:vAlign w:val="center"/>
                </w:tcPr>
                <w:p w14:paraId="79628C08">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ascii="Times New Roman" w:hAnsi="Times New Roman"/>
                      <w:b/>
                      <w:bCs/>
                      <w:sz w:val="18"/>
                      <w:szCs w:val="18"/>
                    </w:rPr>
                    <w:t>4#</w:t>
                  </w:r>
                  <w:r>
                    <w:rPr>
                      <w:rFonts w:hint="eastAsia" w:ascii="Times New Roman" w:hAnsi="Times New Roman"/>
                      <w:b/>
                      <w:bCs/>
                      <w:sz w:val="18"/>
                      <w:szCs w:val="18"/>
                      <w:lang w:val="en-US" w:eastAsia="zh-CN"/>
                    </w:rPr>
                    <w:t>南</w:t>
                  </w:r>
                  <w:r>
                    <w:rPr>
                      <w:rFonts w:ascii="Times New Roman" w:hAnsi="Times New Roman"/>
                      <w:b/>
                      <w:bCs/>
                      <w:color w:val="000000"/>
                      <w:sz w:val="18"/>
                      <w:szCs w:val="18"/>
                    </w:rPr>
                    <w:t>厂界</w:t>
                  </w:r>
                </w:p>
              </w:tc>
            </w:tr>
            <w:tr w14:paraId="2672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13" w:type="pct"/>
                  <w:tcBorders>
                    <w:tl2br w:val="nil"/>
                    <w:tr2bl w:val="nil"/>
                  </w:tcBorders>
                  <w:vAlign w:val="center"/>
                </w:tcPr>
                <w:p w14:paraId="4DEA4E7C">
                  <w:pPr>
                    <w:jc w:val="center"/>
                    <w:rPr>
                      <w:rFonts w:hint="default" w:ascii="Times New Roman" w:hAnsi="Times New Roman" w:eastAsia="宋体" w:cs="Times New Roman"/>
                      <w:b/>
                      <w:bCs/>
                      <w:color w:val="auto"/>
                      <w:kern w:val="2"/>
                      <w:sz w:val="18"/>
                      <w:szCs w:val="18"/>
                      <w:lang w:val="en-US" w:eastAsia="zh-CN" w:bidi="ar-SA"/>
                    </w:rPr>
                  </w:pPr>
                  <w:r>
                    <w:rPr>
                      <w:rFonts w:hint="eastAsia" w:ascii="Times New Roman" w:hAnsi="Times New Roman"/>
                      <w:b/>
                      <w:bCs/>
                      <w:color w:val="auto"/>
                      <w:sz w:val="18"/>
                      <w:szCs w:val="18"/>
                      <w:lang w:eastAsia="zh-CN"/>
                    </w:rPr>
                    <w:t>2024.08.16</w:t>
                  </w:r>
                </w:p>
              </w:tc>
              <w:tc>
                <w:tcPr>
                  <w:tcW w:w="578" w:type="pct"/>
                  <w:tcBorders>
                    <w:tl2br w:val="nil"/>
                    <w:tr2bl w:val="nil"/>
                  </w:tcBorders>
                  <w:vAlign w:val="center"/>
                </w:tcPr>
                <w:p w14:paraId="62C0B35F">
                  <w:pPr>
                    <w:jc w:val="center"/>
                    <w:rPr>
                      <w:rFonts w:ascii="Times New Roman" w:hAnsi="Times New Roman" w:eastAsia="宋体" w:cs="Times New Roman"/>
                      <w:b/>
                      <w:bCs/>
                      <w:color w:val="auto"/>
                      <w:kern w:val="2"/>
                      <w:sz w:val="18"/>
                      <w:szCs w:val="18"/>
                      <w:lang w:val="en-US" w:eastAsia="zh-CN" w:bidi="ar-SA"/>
                    </w:rPr>
                  </w:pPr>
                  <w:r>
                    <w:rPr>
                      <w:rFonts w:ascii="Times New Roman" w:hAnsi="Times New Roman"/>
                      <w:b/>
                      <w:bCs/>
                      <w:color w:val="auto"/>
                      <w:sz w:val="18"/>
                      <w:szCs w:val="18"/>
                    </w:rPr>
                    <w:t>昼间</w:t>
                  </w:r>
                </w:p>
              </w:tc>
              <w:tc>
                <w:tcPr>
                  <w:tcW w:w="932" w:type="pct"/>
                  <w:tcBorders>
                    <w:tl2br w:val="nil"/>
                    <w:tr2bl w:val="nil"/>
                  </w:tcBorders>
                  <w:vAlign w:val="center"/>
                </w:tcPr>
                <w:p w14:paraId="027971D3">
                  <w:pPr>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56.3</w:t>
                  </w:r>
                </w:p>
              </w:tc>
              <w:tc>
                <w:tcPr>
                  <w:tcW w:w="958" w:type="pct"/>
                  <w:tcBorders>
                    <w:tl2br w:val="nil"/>
                    <w:tr2bl w:val="nil"/>
                  </w:tcBorders>
                  <w:vAlign w:val="center"/>
                </w:tcPr>
                <w:p w14:paraId="27200A27">
                  <w:pPr>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56.7</w:t>
                  </w:r>
                </w:p>
              </w:tc>
              <w:tc>
                <w:tcPr>
                  <w:tcW w:w="958" w:type="pct"/>
                  <w:tcBorders>
                    <w:tl2br w:val="nil"/>
                    <w:tr2bl w:val="nil"/>
                  </w:tcBorders>
                  <w:vAlign w:val="center"/>
                </w:tcPr>
                <w:p w14:paraId="1891D1B4">
                  <w:pPr>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51.7</w:t>
                  </w:r>
                </w:p>
              </w:tc>
              <w:tc>
                <w:tcPr>
                  <w:tcW w:w="959" w:type="pct"/>
                  <w:tcBorders>
                    <w:tl2br w:val="nil"/>
                    <w:tr2bl w:val="nil"/>
                  </w:tcBorders>
                  <w:vAlign w:val="center"/>
                </w:tcPr>
                <w:p w14:paraId="28941DD5">
                  <w:pPr>
                    <w:jc w:val="center"/>
                    <w:rPr>
                      <w:rFonts w:hint="default" w:ascii="Times New Roman" w:hAnsi="Times New Roman" w:cs="Times New Roman" w:eastAsiaTheme="minorEastAsia"/>
                      <w:color w:val="auto"/>
                      <w:kern w:val="2"/>
                      <w:sz w:val="18"/>
                      <w:szCs w:val="18"/>
                      <w:highlight w:val="none"/>
                      <w:lang w:val="en-US" w:eastAsia="zh-CN" w:bidi="ar-SA"/>
                    </w:rPr>
                  </w:pPr>
                  <w:r>
                    <w:rPr>
                      <w:rFonts w:hint="eastAsia" w:ascii="Times New Roman" w:hAnsi="Times New Roman" w:cs="Times New Roman" w:eastAsiaTheme="minorEastAsia"/>
                      <w:color w:val="auto"/>
                      <w:kern w:val="2"/>
                      <w:sz w:val="18"/>
                      <w:szCs w:val="18"/>
                      <w:highlight w:val="none"/>
                      <w:lang w:val="en-US" w:eastAsia="zh-CN" w:bidi="ar-SA"/>
                    </w:rPr>
                    <w:t>54.1</w:t>
                  </w:r>
                </w:p>
              </w:tc>
            </w:tr>
            <w:tr w14:paraId="5D7B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92" w:type="pct"/>
                  <w:gridSpan w:val="2"/>
                  <w:tcBorders>
                    <w:tl2br w:val="nil"/>
                    <w:tr2bl w:val="nil"/>
                  </w:tcBorders>
                  <w:vAlign w:val="center"/>
                </w:tcPr>
                <w:p w14:paraId="7EDA8EEF">
                  <w:pPr>
                    <w:jc w:val="center"/>
                    <w:rPr>
                      <w:rFonts w:ascii="Times New Roman" w:hAnsi="Times New Roman"/>
                      <w:b/>
                      <w:bCs/>
                      <w:color w:val="auto"/>
                      <w:sz w:val="18"/>
                      <w:szCs w:val="18"/>
                    </w:rPr>
                  </w:pPr>
                  <w:r>
                    <w:rPr>
                      <w:rFonts w:ascii="Times New Roman" w:hAnsi="Times New Roman"/>
                      <w:b/>
                      <w:bCs/>
                      <w:color w:val="auto"/>
                      <w:sz w:val="18"/>
                      <w:szCs w:val="18"/>
                    </w:rPr>
                    <w:t>备注</w:t>
                  </w:r>
                </w:p>
              </w:tc>
              <w:tc>
                <w:tcPr>
                  <w:tcW w:w="3807" w:type="pct"/>
                  <w:gridSpan w:val="4"/>
                  <w:tcBorders>
                    <w:tl2br w:val="nil"/>
                    <w:tr2bl w:val="nil"/>
                  </w:tcBorders>
                  <w:vAlign w:val="center"/>
                </w:tcPr>
                <w:p w14:paraId="44A0DF98">
                  <w:pPr>
                    <w:numPr>
                      <w:ilvl w:val="0"/>
                      <w:numId w:val="0"/>
                    </w:numPr>
                    <w:jc w:val="center"/>
                    <w:rPr>
                      <w:rFonts w:hint="eastAsia" w:ascii="Times New Roman" w:hAnsi="Times New Roman" w:eastAsia="宋体"/>
                      <w:color w:val="auto"/>
                      <w:sz w:val="18"/>
                      <w:szCs w:val="18"/>
                      <w:lang w:eastAsia="zh-CN"/>
                    </w:rPr>
                  </w:pPr>
                  <w:r>
                    <w:rPr>
                      <w:rFonts w:hint="eastAsia" w:eastAsia="宋体"/>
                      <w:color w:val="auto"/>
                      <w:sz w:val="18"/>
                      <w:szCs w:val="18"/>
                      <w:lang w:val="en-US" w:eastAsia="zh-CN"/>
                    </w:rPr>
                    <w:t>/</w:t>
                  </w:r>
                </w:p>
              </w:tc>
            </w:tr>
          </w:tbl>
          <w:p w14:paraId="768EE0C8">
            <w:pPr>
              <w:pStyle w:val="997"/>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由上表可知，</w:t>
            </w:r>
            <w:r>
              <w:rPr>
                <w:rFonts w:hint="eastAsia" w:cs="Times New Roman"/>
                <w:color w:val="auto"/>
                <w:highlight w:val="none"/>
                <w:lang w:val="en-US" w:eastAsia="zh-CN"/>
              </w:rPr>
              <w:t>2024年</w:t>
            </w:r>
            <w:r>
              <w:rPr>
                <w:rFonts w:hint="default" w:ascii="Times New Roman" w:hAnsi="Times New Roman" w:cs="Times New Roman"/>
                <w:color w:val="auto"/>
                <w:highlight w:val="none"/>
              </w:rPr>
              <w:t>现有项目</w:t>
            </w:r>
            <w:r>
              <w:rPr>
                <w:rFonts w:hint="eastAsia" w:cs="Times New Roman"/>
                <w:color w:val="auto"/>
                <w:highlight w:val="none"/>
                <w:lang w:val="en-US" w:eastAsia="zh-CN"/>
              </w:rPr>
              <w:t>夜间未生产，昼间</w:t>
            </w:r>
            <w:r>
              <w:rPr>
                <w:rFonts w:hint="default" w:ascii="Times New Roman" w:hAnsi="Times New Roman" w:cs="Times New Roman"/>
                <w:color w:val="auto"/>
                <w:highlight w:val="none"/>
              </w:rPr>
              <w:t>厂界噪声满足《工业企业厂界环境噪声排放标准》（GB12348-2008）2类标准（昼间60dB（A））。</w:t>
            </w:r>
          </w:p>
          <w:p w14:paraId="2B844FB9">
            <w:pPr>
              <w:pStyle w:val="997"/>
              <w:spacing w:line="360" w:lineRule="auto"/>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五、原有工程的污染物排放情况</w:t>
            </w:r>
          </w:p>
          <w:p w14:paraId="6FC1934B">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1、废气排放量</w:t>
            </w:r>
          </w:p>
          <w:p w14:paraId="481F57FE">
            <w:pPr>
              <w:pStyle w:val="85"/>
              <w:ind w:left="0" w:leftChars="0"/>
              <w:rPr>
                <w:rFonts w:hint="default" w:ascii="Times New Roman" w:hAnsi="Times New Roman" w:cs="Times New Roman"/>
                <w:color w:val="auto"/>
                <w:highlight w:val="none"/>
              </w:rPr>
            </w:pPr>
            <w:r>
              <w:rPr>
                <w:rFonts w:hint="default" w:ascii="Times New Roman" w:hAnsi="Times New Roman" w:cs="Times New Roman"/>
                <w:color w:val="auto"/>
                <w:highlight w:val="none"/>
              </w:rPr>
              <w:t>（1）有组织废气排放量</w:t>
            </w:r>
          </w:p>
          <w:p w14:paraId="464978DC">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现有生产线例行检测期间，企业生产负荷为</w:t>
            </w: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rPr>
              <w:t>0%，则现状建设单位有组织排污量见表2-</w:t>
            </w:r>
            <w:r>
              <w:rPr>
                <w:rFonts w:hint="eastAsia" w:cs="Times New Roman"/>
                <w:color w:val="auto"/>
                <w:highlight w:val="none"/>
                <w:lang w:val="en-US" w:eastAsia="zh-CN"/>
              </w:rPr>
              <w:t>9</w:t>
            </w:r>
            <w:r>
              <w:rPr>
                <w:rFonts w:hint="default" w:ascii="Times New Roman" w:hAnsi="Times New Roman" w:cs="Times New Roman"/>
                <w:color w:val="auto"/>
                <w:highlight w:val="none"/>
              </w:rPr>
              <w:t>。</w:t>
            </w:r>
          </w:p>
          <w:p w14:paraId="13E784D9">
            <w:pPr>
              <w:pStyle w:val="85"/>
              <w:spacing w:after="0"/>
              <w:ind w:left="0" w:leftChars="0" w:firstLine="0" w:firstLineChars="0"/>
              <w:jc w:val="cente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表2-</w:t>
            </w:r>
            <w:r>
              <w:rPr>
                <w:rFonts w:hint="eastAsia" w:eastAsia="黑体" w:cs="Times New Roman"/>
                <w:color w:val="auto"/>
                <w:highlight w:val="none"/>
                <w:lang w:val="en-US" w:eastAsia="zh-CN"/>
              </w:rPr>
              <w:t>9</w:t>
            </w:r>
            <w:r>
              <w:rPr>
                <w:rFonts w:hint="default" w:ascii="Times New Roman" w:hAnsi="Times New Roman" w:eastAsia="黑体" w:cs="Times New Roman"/>
                <w:color w:val="auto"/>
                <w:highlight w:val="none"/>
              </w:rPr>
              <w:t>现有生产线污染物有组织排放汇总结果表</w:t>
            </w:r>
          </w:p>
          <w:tbl>
            <w:tblPr>
              <w:tblStyle w:val="86"/>
              <w:tblW w:w="497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615"/>
              <w:gridCol w:w="1614"/>
              <w:gridCol w:w="1395"/>
              <w:gridCol w:w="1395"/>
              <w:gridCol w:w="1625"/>
              <w:gridCol w:w="1396"/>
            </w:tblGrid>
            <w:tr w14:paraId="070204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15" w:type="dxa"/>
                  <w:tcBorders>
                    <w:top w:val="single" w:color="auto" w:sz="2" w:space="0"/>
                    <w:left w:val="single" w:color="auto" w:sz="2" w:space="0"/>
                    <w:bottom w:val="single" w:color="auto" w:sz="2" w:space="0"/>
                    <w:right w:val="single" w:color="auto" w:sz="2" w:space="0"/>
                  </w:tcBorders>
                  <w:vAlign w:val="center"/>
                </w:tcPr>
                <w:p w14:paraId="720784DC">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排放口</w:t>
                  </w:r>
                </w:p>
              </w:tc>
              <w:tc>
                <w:tcPr>
                  <w:tcW w:w="1614" w:type="dxa"/>
                  <w:tcBorders>
                    <w:top w:val="single" w:color="auto" w:sz="2" w:space="0"/>
                    <w:left w:val="single" w:color="auto" w:sz="2" w:space="0"/>
                    <w:bottom w:val="single" w:color="auto" w:sz="2" w:space="0"/>
                    <w:right w:val="single" w:color="auto" w:sz="2" w:space="0"/>
                  </w:tcBorders>
                  <w:noWrap/>
                  <w:tcMar>
                    <w:top w:w="0" w:type="dxa"/>
                    <w:left w:w="0" w:type="dxa"/>
                    <w:bottom w:w="0" w:type="dxa"/>
                    <w:right w:w="0" w:type="dxa"/>
                  </w:tcMar>
                  <w:vAlign w:val="center"/>
                </w:tcPr>
                <w:p w14:paraId="69B92366">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污染物</w:t>
                  </w:r>
                </w:p>
              </w:tc>
              <w:tc>
                <w:tcPr>
                  <w:tcW w:w="1395" w:type="dxa"/>
                  <w:tcBorders>
                    <w:top w:val="single" w:color="auto" w:sz="2" w:space="0"/>
                    <w:left w:val="single" w:color="auto" w:sz="2" w:space="0"/>
                    <w:bottom w:val="single" w:color="auto" w:sz="2" w:space="0"/>
                    <w:right w:val="single" w:color="auto" w:sz="2" w:space="0"/>
                  </w:tcBorders>
                  <w:noWrap/>
                  <w:tcMar>
                    <w:top w:w="0" w:type="dxa"/>
                    <w:left w:w="0" w:type="dxa"/>
                    <w:bottom w:w="0" w:type="dxa"/>
                    <w:right w:w="0" w:type="dxa"/>
                  </w:tcMar>
                  <w:vAlign w:val="center"/>
                </w:tcPr>
                <w:p w14:paraId="0E04D671">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平均速率</w:t>
                  </w:r>
                </w:p>
                <w:p w14:paraId="0C0C855C">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（kg/h）</w:t>
                  </w:r>
                </w:p>
              </w:tc>
              <w:tc>
                <w:tcPr>
                  <w:tcW w:w="1395" w:type="dxa"/>
                  <w:tcBorders>
                    <w:top w:val="single" w:color="auto" w:sz="2" w:space="0"/>
                    <w:left w:val="single" w:color="auto" w:sz="2" w:space="0"/>
                    <w:bottom w:val="single" w:color="auto" w:sz="2" w:space="0"/>
                    <w:right w:val="single" w:color="auto" w:sz="2" w:space="0"/>
                  </w:tcBorders>
                  <w:noWrap/>
                  <w:tcMar>
                    <w:top w:w="0" w:type="dxa"/>
                    <w:left w:w="0" w:type="dxa"/>
                    <w:bottom w:w="0" w:type="dxa"/>
                    <w:right w:w="0" w:type="dxa"/>
                  </w:tcMar>
                  <w:vAlign w:val="center"/>
                </w:tcPr>
                <w:p w14:paraId="080A60A6">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工作时间</w:t>
                  </w:r>
                </w:p>
                <w:p w14:paraId="1B3F3772">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（h）</w:t>
                  </w:r>
                </w:p>
              </w:tc>
              <w:tc>
                <w:tcPr>
                  <w:tcW w:w="1625" w:type="dxa"/>
                  <w:tcBorders>
                    <w:top w:val="single" w:color="auto" w:sz="2" w:space="0"/>
                    <w:left w:val="single" w:color="auto" w:sz="2" w:space="0"/>
                    <w:bottom w:val="single" w:color="auto" w:sz="2" w:space="0"/>
                    <w:right w:val="single" w:color="auto" w:sz="2" w:space="0"/>
                  </w:tcBorders>
                  <w:noWrap/>
                  <w:tcMar>
                    <w:top w:w="0" w:type="dxa"/>
                    <w:left w:w="0" w:type="dxa"/>
                    <w:bottom w:w="0" w:type="dxa"/>
                    <w:right w:w="0" w:type="dxa"/>
                  </w:tcMar>
                  <w:vAlign w:val="center"/>
                </w:tcPr>
                <w:p w14:paraId="4B2D6822">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工况负荷</w:t>
                  </w:r>
                </w:p>
                <w:p w14:paraId="13358C52">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w:t>
                  </w:r>
                </w:p>
              </w:tc>
              <w:tc>
                <w:tcPr>
                  <w:tcW w:w="1396" w:type="dxa"/>
                  <w:tcBorders>
                    <w:top w:val="single" w:color="auto" w:sz="2" w:space="0"/>
                    <w:left w:val="single" w:color="auto" w:sz="2" w:space="0"/>
                    <w:bottom w:val="single" w:color="auto" w:sz="2" w:space="0"/>
                    <w:right w:val="single" w:color="auto" w:sz="2" w:space="0"/>
                  </w:tcBorders>
                  <w:noWrap/>
                  <w:tcMar>
                    <w:top w:w="0" w:type="dxa"/>
                    <w:left w:w="0" w:type="dxa"/>
                    <w:bottom w:w="0" w:type="dxa"/>
                    <w:right w:w="0" w:type="dxa"/>
                  </w:tcMar>
                  <w:vAlign w:val="center"/>
                </w:tcPr>
                <w:p w14:paraId="1D7ED035">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lang w:val="en-US" w:eastAsia="zh-CN"/>
                    </w:rPr>
                    <w:t>满负荷</w:t>
                  </w:r>
                  <w:r>
                    <w:rPr>
                      <w:rFonts w:hint="default" w:ascii="Times New Roman" w:hAnsi="Times New Roman" w:cs="Times New Roman"/>
                      <w:color w:val="auto"/>
                      <w:kern w:val="0"/>
                      <w:sz w:val="18"/>
                      <w:szCs w:val="18"/>
                      <w:highlight w:val="none"/>
                    </w:rPr>
                    <w:t>排放量</w:t>
                  </w:r>
                </w:p>
                <w:p w14:paraId="0BEA5BE9">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（t/a）</w:t>
                  </w:r>
                </w:p>
              </w:tc>
            </w:tr>
            <w:tr w14:paraId="3EE686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7" w:hRule="atLeast"/>
                <w:jc w:val="center"/>
              </w:trPr>
              <w:tc>
                <w:tcPr>
                  <w:tcW w:w="1615" w:type="dxa"/>
                  <w:tcBorders>
                    <w:top w:val="single" w:color="auto" w:sz="2" w:space="0"/>
                    <w:left w:val="single" w:color="auto" w:sz="2" w:space="0"/>
                    <w:bottom w:val="single" w:color="auto" w:sz="2" w:space="0"/>
                    <w:right w:val="single" w:color="auto" w:sz="2" w:space="0"/>
                  </w:tcBorders>
                  <w:vAlign w:val="center"/>
                </w:tcPr>
                <w:p w14:paraId="15F6CD8D">
                  <w:pPr>
                    <w:widowControl/>
                    <w:spacing w:line="240" w:lineRule="exact"/>
                    <w:jc w:val="center"/>
                    <w:rPr>
                      <w:rFonts w:hint="default"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DA001</w:t>
                  </w:r>
                </w:p>
              </w:tc>
              <w:tc>
                <w:tcPr>
                  <w:tcW w:w="1614" w:type="dxa"/>
                  <w:tcBorders>
                    <w:top w:val="single" w:color="auto" w:sz="2" w:space="0"/>
                    <w:left w:val="single" w:color="auto" w:sz="2" w:space="0"/>
                    <w:bottom w:val="single" w:color="auto" w:sz="2" w:space="0"/>
                    <w:right w:val="single" w:color="auto" w:sz="2" w:space="0"/>
                  </w:tcBorders>
                  <w:noWrap/>
                  <w:tcMar>
                    <w:top w:w="0" w:type="dxa"/>
                    <w:left w:w="0" w:type="dxa"/>
                    <w:bottom w:w="0" w:type="dxa"/>
                    <w:right w:w="0" w:type="dxa"/>
                  </w:tcMar>
                  <w:vAlign w:val="center"/>
                </w:tcPr>
                <w:p w14:paraId="7DB65CD6">
                  <w:pPr>
                    <w:widowControl/>
                    <w:spacing w:line="240" w:lineRule="exact"/>
                    <w:jc w:val="center"/>
                    <w:rPr>
                      <w:rFonts w:hint="eastAsia" w:ascii="Times New Roman" w:hAnsi="Times New Roman" w:eastAsia="宋体" w:cs="Times New Roman"/>
                      <w:color w:val="auto"/>
                      <w:kern w:val="0"/>
                      <w:sz w:val="18"/>
                      <w:szCs w:val="18"/>
                      <w:highlight w:val="none"/>
                      <w:lang w:eastAsia="zh-CN"/>
                    </w:rPr>
                  </w:pPr>
                  <w:r>
                    <w:rPr>
                      <w:rFonts w:hint="eastAsia" w:cs="Times New Roman"/>
                      <w:color w:val="auto"/>
                      <w:kern w:val="0"/>
                      <w:sz w:val="18"/>
                      <w:szCs w:val="18"/>
                      <w:highlight w:val="none"/>
                      <w:lang w:val="en-US" w:eastAsia="zh-CN"/>
                    </w:rPr>
                    <w:t>VOCs</w:t>
                  </w:r>
                </w:p>
              </w:tc>
              <w:tc>
                <w:tcPr>
                  <w:tcW w:w="1395" w:type="dxa"/>
                  <w:tcBorders>
                    <w:top w:val="single" w:color="auto" w:sz="2" w:space="0"/>
                    <w:left w:val="single" w:color="auto" w:sz="2" w:space="0"/>
                    <w:bottom w:val="single" w:color="auto" w:sz="2" w:space="0"/>
                    <w:right w:val="single" w:color="auto" w:sz="2" w:space="0"/>
                  </w:tcBorders>
                  <w:noWrap/>
                  <w:tcMar>
                    <w:top w:w="0" w:type="dxa"/>
                    <w:left w:w="0" w:type="dxa"/>
                    <w:bottom w:w="0" w:type="dxa"/>
                    <w:right w:w="0" w:type="dxa"/>
                  </w:tcMar>
                  <w:vAlign w:val="center"/>
                </w:tcPr>
                <w:p w14:paraId="6EB30FCD">
                  <w:pPr>
                    <w:widowControl/>
                    <w:spacing w:line="240" w:lineRule="exact"/>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0.0095</w:t>
                  </w:r>
                </w:p>
              </w:tc>
              <w:tc>
                <w:tcPr>
                  <w:tcW w:w="1395" w:type="dxa"/>
                  <w:tcBorders>
                    <w:top w:val="single" w:color="auto" w:sz="2" w:space="0"/>
                    <w:left w:val="single" w:color="auto" w:sz="2" w:space="0"/>
                    <w:bottom w:val="single" w:color="auto" w:sz="2" w:space="0"/>
                    <w:right w:val="single" w:color="auto" w:sz="2" w:space="0"/>
                  </w:tcBorders>
                  <w:noWrap/>
                  <w:tcMar>
                    <w:top w:w="0" w:type="dxa"/>
                    <w:left w:w="0" w:type="dxa"/>
                    <w:bottom w:w="0" w:type="dxa"/>
                    <w:right w:w="0" w:type="dxa"/>
                  </w:tcMar>
                  <w:vAlign w:val="center"/>
                </w:tcPr>
                <w:p w14:paraId="568ADC7A">
                  <w:pPr>
                    <w:widowControl/>
                    <w:spacing w:line="240" w:lineRule="exact"/>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7200</w:t>
                  </w:r>
                </w:p>
              </w:tc>
              <w:tc>
                <w:tcPr>
                  <w:tcW w:w="1625" w:type="dxa"/>
                  <w:tcBorders>
                    <w:top w:val="single" w:color="auto" w:sz="2" w:space="0"/>
                    <w:left w:val="single" w:color="auto" w:sz="2" w:space="0"/>
                    <w:bottom w:val="single" w:color="auto" w:sz="2" w:space="0"/>
                    <w:right w:val="single" w:color="auto" w:sz="2" w:space="0"/>
                  </w:tcBorders>
                  <w:noWrap/>
                  <w:tcMar>
                    <w:top w:w="0" w:type="dxa"/>
                    <w:left w:w="0" w:type="dxa"/>
                    <w:bottom w:w="0" w:type="dxa"/>
                    <w:right w:w="0" w:type="dxa"/>
                  </w:tcMar>
                  <w:vAlign w:val="center"/>
                </w:tcPr>
                <w:p w14:paraId="18F6CA17">
                  <w:pPr>
                    <w:widowControl/>
                    <w:spacing w:line="240" w:lineRule="exact"/>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90%</w:t>
                  </w:r>
                </w:p>
              </w:tc>
              <w:tc>
                <w:tcPr>
                  <w:tcW w:w="1396" w:type="dxa"/>
                  <w:tcBorders>
                    <w:top w:val="single" w:color="auto" w:sz="2" w:space="0"/>
                    <w:left w:val="single" w:color="auto" w:sz="2" w:space="0"/>
                    <w:bottom w:val="single" w:color="auto" w:sz="2" w:space="0"/>
                    <w:right w:val="single" w:color="auto" w:sz="2" w:space="0"/>
                  </w:tcBorders>
                  <w:noWrap/>
                  <w:tcMar>
                    <w:top w:w="0" w:type="dxa"/>
                    <w:left w:w="0" w:type="dxa"/>
                    <w:bottom w:w="0" w:type="dxa"/>
                    <w:right w:w="0" w:type="dxa"/>
                  </w:tcMar>
                  <w:vAlign w:val="center"/>
                </w:tcPr>
                <w:p w14:paraId="58EE7B75">
                  <w:pPr>
                    <w:widowControl/>
                    <w:spacing w:line="240" w:lineRule="exact"/>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0.0</w:t>
                  </w:r>
                  <w:r>
                    <w:rPr>
                      <w:rFonts w:hint="eastAsia" w:cs="Times New Roman"/>
                      <w:color w:val="auto"/>
                      <w:sz w:val="18"/>
                      <w:szCs w:val="18"/>
                      <w:highlight w:val="none"/>
                      <w:lang w:val="en-US" w:eastAsia="zh-CN"/>
                    </w:rPr>
                    <w:t>76</w:t>
                  </w:r>
                </w:p>
              </w:tc>
            </w:tr>
            <w:tr w14:paraId="0906C4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15" w:type="dxa"/>
                  <w:tcBorders>
                    <w:top w:val="single" w:color="auto" w:sz="2" w:space="0"/>
                    <w:left w:val="single" w:color="auto" w:sz="2" w:space="0"/>
                    <w:right w:val="single" w:color="auto" w:sz="2" w:space="0"/>
                  </w:tcBorders>
                  <w:vAlign w:val="center"/>
                </w:tcPr>
                <w:p w14:paraId="5AD09BDB">
                  <w:pPr>
                    <w:widowControl/>
                    <w:spacing w:line="240" w:lineRule="exact"/>
                    <w:jc w:val="center"/>
                    <w:rPr>
                      <w:rFonts w:hint="default"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DA002</w:t>
                  </w:r>
                </w:p>
              </w:tc>
              <w:tc>
                <w:tcPr>
                  <w:tcW w:w="1614" w:type="dxa"/>
                  <w:tcBorders>
                    <w:top w:val="single" w:color="auto" w:sz="2" w:space="0"/>
                    <w:left w:val="single" w:color="auto" w:sz="2" w:space="0"/>
                    <w:bottom w:val="single" w:color="auto" w:sz="2" w:space="0"/>
                    <w:right w:val="single" w:color="auto" w:sz="2" w:space="0"/>
                  </w:tcBorders>
                  <w:noWrap/>
                  <w:tcMar>
                    <w:top w:w="0" w:type="dxa"/>
                    <w:left w:w="0" w:type="dxa"/>
                    <w:bottom w:w="0" w:type="dxa"/>
                    <w:right w:w="0" w:type="dxa"/>
                  </w:tcMar>
                  <w:vAlign w:val="center"/>
                </w:tcPr>
                <w:p w14:paraId="1E90CE34">
                  <w:pPr>
                    <w:widowControl/>
                    <w:spacing w:line="240" w:lineRule="exact"/>
                    <w:jc w:val="center"/>
                    <w:rPr>
                      <w:rFonts w:hint="default" w:ascii="Times New Roman" w:hAnsi="Times New Roman" w:cs="Times New Roman"/>
                      <w:color w:val="auto"/>
                      <w:kern w:val="0"/>
                      <w:sz w:val="18"/>
                      <w:szCs w:val="18"/>
                      <w:highlight w:val="none"/>
                    </w:rPr>
                  </w:pPr>
                  <w:r>
                    <w:rPr>
                      <w:rFonts w:hint="eastAsia" w:cs="Times New Roman"/>
                      <w:color w:val="auto"/>
                      <w:kern w:val="0"/>
                      <w:sz w:val="18"/>
                      <w:szCs w:val="18"/>
                      <w:highlight w:val="none"/>
                      <w:lang w:val="en-US" w:eastAsia="zh-CN"/>
                    </w:rPr>
                    <w:t>VOCs</w:t>
                  </w:r>
                </w:p>
              </w:tc>
              <w:tc>
                <w:tcPr>
                  <w:tcW w:w="1395" w:type="dxa"/>
                  <w:tcBorders>
                    <w:top w:val="single" w:color="auto" w:sz="2" w:space="0"/>
                    <w:left w:val="single" w:color="auto" w:sz="2" w:space="0"/>
                    <w:bottom w:val="single" w:color="auto" w:sz="2" w:space="0"/>
                    <w:right w:val="single" w:color="auto" w:sz="2" w:space="0"/>
                  </w:tcBorders>
                  <w:noWrap/>
                  <w:tcMar>
                    <w:top w:w="0" w:type="dxa"/>
                    <w:left w:w="0" w:type="dxa"/>
                    <w:bottom w:w="0" w:type="dxa"/>
                    <w:right w:w="0" w:type="dxa"/>
                  </w:tcMar>
                  <w:vAlign w:val="center"/>
                </w:tcPr>
                <w:p w14:paraId="01D4D651">
                  <w:pPr>
                    <w:widowControl/>
                    <w:spacing w:line="240" w:lineRule="exact"/>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0.00</w:t>
                  </w:r>
                  <w:r>
                    <w:rPr>
                      <w:rFonts w:hint="eastAsia" w:cs="Times New Roman"/>
                      <w:color w:val="auto"/>
                      <w:sz w:val="18"/>
                      <w:szCs w:val="18"/>
                      <w:highlight w:val="none"/>
                      <w:lang w:val="en-US" w:eastAsia="zh-CN"/>
                    </w:rPr>
                    <w:t>041</w:t>
                  </w:r>
                </w:p>
              </w:tc>
              <w:tc>
                <w:tcPr>
                  <w:tcW w:w="1395" w:type="dxa"/>
                  <w:tcBorders>
                    <w:top w:val="single" w:color="auto" w:sz="2" w:space="0"/>
                    <w:left w:val="single" w:color="auto" w:sz="2" w:space="0"/>
                    <w:bottom w:val="single" w:color="auto" w:sz="2" w:space="0"/>
                    <w:right w:val="single" w:color="auto" w:sz="2" w:space="0"/>
                  </w:tcBorders>
                  <w:noWrap/>
                  <w:tcMar>
                    <w:top w:w="0" w:type="dxa"/>
                    <w:left w:w="0" w:type="dxa"/>
                    <w:bottom w:w="0" w:type="dxa"/>
                    <w:right w:w="0" w:type="dxa"/>
                  </w:tcMar>
                  <w:vAlign w:val="center"/>
                </w:tcPr>
                <w:p w14:paraId="0DF41BB3">
                  <w:pPr>
                    <w:widowControl/>
                    <w:spacing w:line="240" w:lineRule="exact"/>
                    <w:jc w:val="center"/>
                    <w:rPr>
                      <w:rFonts w:hint="default" w:ascii="Times New Roman" w:hAnsi="Times New Roman" w:cs="Times New Roman"/>
                      <w:color w:val="auto"/>
                      <w:sz w:val="18"/>
                      <w:szCs w:val="18"/>
                      <w:highlight w:val="none"/>
                      <w:lang w:val="en-US" w:eastAsia="zh-CN"/>
                    </w:rPr>
                  </w:pPr>
                  <w:r>
                    <w:rPr>
                      <w:rFonts w:hint="eastAsia" w:cs="Times New Roman"/>
                      <w:color w:val="auto"/>
                      <w:sz w:val="18"/>
                      <w:szCs w:val="18"/>
                      <w:highlight w:val="none"/>
                      <w:lang w:val="en-US" w:eastAsia="zh-CN"/>
                    </w:rPr>
                    <w:t>7200</w:t>
                  </w:r>
                </w:p>
              </w:tc>
              <w:tc>
                <w:tcPr>
                  <w:tcW w:w="1625" w:type="dxa"/>
                  <w:tcBorders>
                    <w:top w:val="single" w:color="auto" w:sz="2" w:space="0"/>
                    <w:left w:val="single" w:color="auto" w:sz="2" w:space="0"/>
                    <w:bottom w:val="single" w:color="auto" w:sz="2" w:space="0"/>
                    <w:right w:val="single" w:color="auto" w:sz="2" w:space="0"/>
                  </w:tcBorders>
                  <w:noWrap/>
                  <w:tcMar>
                    <w:top w:w="0" w:type="dxa"/>
                    <w:left w:w="0" w:type="dxa"/>
                    <w:bottom w:w="0" w:type="dxa"/>
                    <w:right w:w="0" w:type="dxa"/>
                  </w:tcMar>
                  <w:vAlign w:val="center"/>
                </w:tcPr>
                <w:p w14:paraId="5E02C3F9">
                  <w:pPr>
                    <w:widowControl/>
                    <w:spacing w:line="240" w:lineRule="exact"/>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90%</w:t>
                  </w:r>
                </w:p>
              </w:tc>
              <w:tc>
                <w:tcPr>
                  <w:tcW w:w="1396" w:type="dxa"/>
                  <w:tcBorders>
                    <w:top w:val="single" w:color="auto" w:sz="2" w:space="0"/>
                    <w:left w:val="single" w:color="auto" w:sz="2" w:space="0"/>
                    <w:bottom w:val="single" w:color="auto" w:sz="2" w:space="0"/>
                    <w:right w:val="single" w:color="auto" w:sz="2" w:space="0"/>
                  </w:tcBorders>
                  <w:noWrap/>
                  <w:tcMar>
                    <w:top w:w="0" w:type="dxa"/>
                    <w:left w:w="0" w:type="dxa"/>
                    <w:bottom w:w="0" w:type="dxa"/>
                    <w:right w:w="0" w:type="dxa"/>
                  </w:tcMar>
                  <w:vAlign w:val="center"/>
                </w:tcPr>
                <w:p w14:paraId="320A5FAE">
                  <w:pPr>
                    <w:widowControl/>
                    <w:spacing w:line="240" w:lineRule="exact"/>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0.00</w:t>
                  </w:r>
                  <w:r>
                    <w:rPr>
                      <w:rFonts w:hint="eastAsia" w:cs="Times New Roman"/>
                      <w:color w:val="auto"/>
                      <w:sz w:val="18"/>
                      <w:szCs w:val="18"/>
                      <w:highlight w:val="none"/>
                      <w:lang w:val="en-US" w:eastAsia="zh-CN"/>
                    </w:rPr>
                    <w:t>33</w:t>
                  </w:r>
                </w:p>
              </w:tc>
            </w:tr>
          </w:tbl>
          <w:p w14:paraId="114AED75">
            <w:pPr>
              <w:pStyle w:val="85"/>
              <w:keepNext w:val="0"/>
              <w:keepLines w:val="0"/>
              <w:pageBreakBefore w:val="0"/>
              <w:widowControl w:val="0"/>
              <w:kinsoku/>
              <w:wordWrap/>
              <w:overflowPunct/>
              <w:topLinePunct w:val="0"/>
              <w:autoSpaceDE/>
              <w:autoSpaceDN/>
              <w:bidi w:val="0"/>
              <w:adjustRightInd w:val="0"/>
              <w:snapToGrid w:val="0"/>
              <w:spacing w:after="0" w:line="360" w:lineRule="auto"/>
              <w:ind w:left="0" w:leftChars="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因此，现有项目</w:t>
            </w:r>
            <w:r>
              <w:rPr>
                <w:rFonts w:hint="eastAsia" w:cs="Times New Roman"/>
                <w:color w:val="auto"/>
                <w:highlight w:val="none"/>
                <w:lang w:val="en-US" w:eastAsia="zh-CN"/>
              </w:rPr>
              <w:t>VOCs</w:t>
            </w:r>
            <w:r>
              <w:rPr>
                <w:rFonts w:hint="default" w:ascii="Times New Roman" w:hAnsi="Times New Roman" w:cs="Times New Roman"/>
                <w:color w:val="auto"/>
                <w:highlight w:val="none"/>
                <w:lang w:val="en-US" w:eastAsia="zh-CN"/>
              </w:rPr>
              <w:t>有组织排放量为0.0</w:t>
            </w:r>
            <w:r>
              <w:rPr>
                <w:rFonts w:hint="eastAsia" w:cs="Times New Roman"/>
                <w:color w:val="auto"/>
                <w:highlight w:val="none"/>
                <w:lang w:val="en-US" w:eastAsia="zh-CN"/>
              </w:rPr>
              <w:t>793</w:t>
            </w:r>
            <w:r>
              <w:rPr>
                <w:rFonts w:hint="default" w:ascii="Times New Roman" w:hAnsi="Times New Roman" w:cs="Times New Roman"/>
                <w:color w:val="auto"/>
                <w:highlight w:val="none"/>
                <w:lang w:val="en-US" w:eastAsia="zh-CN"/>
              </w:rPr>
              <w:t>t/a，满足</w:t>
            </w:r>
            <w:r>
              <w:rPr>
                <w:rFonts w:hint="eastAsia" w:cs="Times New Roman"/>
                <w:color w:val="auto"/>
                <w:highlight w:val="none"/>
                <w:lang w:val="en-US" w:eastAsia="zh-CN"/>
              </w:rPr>
              <w:t>环评中计算的VOCs有组织排放</w:t>
            </w:r>
            <w:r>
              <w:rPr>
                <w:rFonts w:hint="default" w:ascii="Times New Roman" w:hAnsi="Times New Roman" w:cs="Times New Roman"/>
                <w:color w:val="auto"/>
                <w:highlight w:val="none"/>
              </w:rPr>
              <w:t>量为0.</w:t>
            </w:r>
            <w:r>
              <w:rPr>
                <w:rFonts w:hint="eastAsia" w:cs="Times New Roman"/>
                <w:color w:val="auto"/>
                <w:highlight w:val="none"/>
                <w:lang w:val="en-US" w:eastAsia="zh-CN"/>
              </w:rPr>
              <w:t>9888</w:t>
            </w:r>
            <w:r>
              <w:rPr>
                <w:rFonts w:hint="default" w:ascii="Times New Roman" w:hAnsi="Times New Roman" w:cs="Times New Roman"/>
                <w:color w:val="auto"/>
                <w:highlight w:val="none"/>
              </w:rPr>
              <w:t>/a。</w:t>
            </w:r>
          </w:p>
          <w:p w14:paraId="70FE6A2C">
            <w:pPr>
              <w:pStyle w:val="85"/>
              <w:keepNext w:val="0"/>
              <w:keepLines w:val="0"/>
              <w:pageBreakBefore w:val="0"/>
              <w:widowControl w:val="0"/>
              <w:kinsoku/>
              <w:wordWrap/>
              <w:overflowPunct/>
              <w:topLinePunct w:val="0"/>
              <w:autoSpaceDE/>
              <w:autoSpaceDN/>
              <w:bidi w:val="0"/>
              <w:adjustRightInd w:val="0"/>
              <w:snapToGrid w:val="0"/>
              <w:spacing w:after="0" w:line="360" w:lineRule="auto"/>
              <w:ind w:left="0" w:leftChars="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（2）无组织废气排放量</w:t>
            </w:r>
          </w:p>
          <w:p w14:paraId="1C52DAF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无组织废气主要为原料堆放过程、打浆机喂料过程、切割产品过程产生的粉尘、结合剂挥发产生的VOCs。</w:t>
            </w:r>
          </w:p>
          <w:p w14:paraId="7DED86E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根据《淄博宝路保温材料有限公司年产200吨陶瓷纤维制品项目环境影响报告表（现状评价）》可知，颗粒物无组织排放量为0.006t/a，VOCs无组织排放量为0.275t/a</w:t>
            </w:r>
            <w:r>
              <w:rPr>
                <w:rFonts w:hint="default" w:ascii="Times New Roman" w:hAnsi="Times New Roman" w:eastAsia="宋体" w:cs="Times New Roman"/>
                <w:color w:val="auto"/>
                <w:kern w:val="2"/>
                <w:sz w:val="21"/>
                <w:szCs w:val="24"/>
                <w:highlight w:val="none"/>
                <w:lang w:val="en-US" w:eastAsia="zh-CN" w:bidi="ar-SA"/>
              </w:rPr>
              <w:t>。</w:t>
            </w:r>
          </w:p>
          <w:p w14:paraId="27FDD912">
            <w:pPr>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2、废水</w:t>
            </w:r>
          </w:p>
          <w:p w14:paraId="28150135">
            <w:pPr>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highlight w:val="none"/>
              </w:rPr>
              <w:t>现有项目废水主要为职工的生活污水，生活污水产生量为</w:t>
            </w:r>
            <w:r>
              <w:rPr>
                <w:rFonts w:hint="eastAsia" w:cs="Times New Roman"/>
                <w:color w:val="auto"/>
                <w:highlight w:val="none"/>
                <w:lang w:val="en-US" w:eastAsia="zh-CN"/>
              </w:rPr>
              <w:t>96</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/a，经厂</w:t>
            </w:r>
            <w:r>
              <w:rPr>
                <w:rFonts w:hint="default" w:ascii="Times New Roman" w:hAnsi="Times New Roman" w:cs="Times New Roman"/>
                <w:color w:val="auto"/>
              </w:rPr>
              <w:t>内化粪池收集预处理后由环卫部门定期清运处理，不外排。</w:t>
            </w:r>
          </w:p>
          <w:p w14:paraId="0DCDC678">
            <w:pPr>
              <w:pStyle w:val="85"/>
              <w:ind w:left="0" w:leftChars="0"/>
              <w:rPr>
                <w:rFonts w:hint="default" w:ascii="Times New Roman" w:hAnsi="Times New Roman" w:cs="Times New Roman"/>
                <w:color w:val="auto"/>
              </w:rPr>
            </w:pPr>
            <w:r>
              <w:rPr>
                <w:rFonts w:hint="default" w:ascii="Times New Roman" w:hAnsi="Times New Roman" w:cs="Times New Roman"/>
                <w:color w:val="auto"/>
              </w:rPr>
              <w:t>3、固废</w:t>
            </w:r>
          </w:p>
          <w:p w14:paraId="740E0798">
            <w:pPr>
              <w:tabs>
                <w:tab w:val="left" w:pos="1800"/>
              </w:tabs>
              <w:adjustRightInd w:val="0"/>
              <w:snapToGrid w:val="0"/>
              <w:spacing w:line="360" w:lineRule="auto"/>
              <w:ind w:firstLine="420" w:firstLineChars="200"/>
              <w:rPr>
                <w:rFonts w:hint="default" w:ascii="Times New Roman" w:hAnsi="Times New Roman" w:cs="Times New Roman"/>
                <w:color w:val="auto"/>
                <w:highlight w:val="none"/>
                <w:lang w:eastAsia="zh-CN"/>
              </w:rPr>
            </w:pPr>
            <w:r>
              <w:rPr>
                <w:rFonts w:hint="default" w:ascii="Times New Roman" w:hAnsi="Times New Roman" w:cs="Times New Roman"/>
                <w:snapToGrid w:val="0"/>
                <w:color w:val="auto"/>
                <w:kern w:val="0"/>
                <w:highlight w:val="none"/>
              </w:rPr>
              <w:t>根据《固体废物鉴别标准通则》（GB34330-2017）第6条6.1的要求：a)任何不需要修复和加工即可用于其原始用途的物质，或者在产生点经过修复和加工后满足国家、地方制定或行业通行的产品质量标准并且用于其原始用途的物质</w:t>
            </w:r>
            <w:r>
              <w:rPr>
                <w:rFonts w:hint="eastAsia" w:cs="Times New Roman"/>
                <w:snapToGrid w:val="0"/>
                <w:color w:val="auto"/>
                <w:kern w:val="0"/>
                <w:highlight w:val="none"/>
                <w:lang w:eastAsia="zh-CN"/>
              </w:rPr>
              <w:t>；</w:t>
            </w:r>
            <w:r>
              <w:rPr>
                <w:rFonts w:hint="default" w:ascii="Times New Roman" w:hAnsi="Times New Roman" w:cs="Times New Roman"/>
                <w:snapToGrid w:val="0"/>
                <w:color w:val="auto"/>
                <w:kern w:val="0"/>
                <w:highlight w:val="none"/>
              </w:rPr>
              <w:t>b) 不经过贮存或堆积过程，而在现场直接返回到原生产过程或返回其产生过程的物质</w:t>
            </w:r>
            <w:r>
              <w:rPr>
                <w:rFonts w:hint="default" w:ascii="Times New Roman" w:hAnsi="Times New Roman" w:cs="Times New Roman"/>
                <w:color w:val="auto"/>
                <w:highlight w:val="none"/>
              </w:rPr>
              <w:t>，不作为固体废物管理。</w:t>
            </w:r>
            <w:r>
              <w:rPr>
                <w:rFonts w:hint="eastAsia" w:ascii="Times New Roman" w:hAnsi="Times New Roman" w:cs="Times New Roman"/>
                <w:color w:val="auto"/>
                <w:highlight w:val="none"/>
                <w:lang w:val="en-US" w:eastAsia="zh-CN"/>
              </w:rPr>
              <w:t>现有</w:t>
            </w:r>
            <w:r>
              <w:rPr>
                <w:rFonts w:hint="default" w:ascii="Times New Roman" w:hAnsi="Times New Roman" w:cs="Times New Roman"/>
                <w:color w:val="auto"/>
                <w:highlight w:val="none"/>
              </w:rPr>
              <w:t>项目</w:t>
            </w:r>
            <w:r>
              <w:rPr>
                <w:rFonts w:hint="eastAsia" w:cs="Times New Roman"/>
                <w:color w:val="auto"/>
                <w:highlight w:val="none"/>
                <w:lang w:val="en-US" w:eastAsia="zh-CN"/>
              </w:rPr>
              <w:t>除渣产生的渣球（65t/a）、烘干后产生的不合格品（3t/a）、精加工产生的边角料（12t/a）</w:t>
            </w:r>
            <w:r>
              <w:rPr>
                <w:rFonts w:hint="default" w:ascii="Times New Roman" w:hAnsi="Times New Roman" w:cs="Times New Roman"/>
                <w:color w:val="auto"/>
                <w:highlight w:val="none"/>
              </w:rPr>
              <w:t>直接回用生产，所以不按固废进行管理</w:t>
            </w:r>
            <w:r>
              <w:rPr>
                <w:rFonts w:hint="eastAsia" w:cs="Times New Roman"/>
                <w:color w:val="auto"/>
                <w:highlight w:val="none"/>
                <w:lang w:eastAsia="zh-CN"/>
              </w:rPr>
              <w:t>；</w:t>
            </w:r>
            <w:r>
              <w:rPr>
                <w:rFonts w:hint="eastAsia" w:cs="Times New Roman"/>
                <w:color w:val="auto"/>
                <w:highlight w:val="none"/>
                <w:lang w:val="en-US" w:eastAsia="zh-CN"/>
              </w:rPr>
              <w:t>硅溶胶废包装桶（1000个）由供货厂家回收循环使用</w:t>
            </w:r>
            <w:r>
              <w:rPr>
                <w:rFonts w:hint="default" w:ascii="Times New Roman" w:hAnsi="Times New Roman" w:cs="Times New Roman"/>
                <w:color w:val="auto"/>
                <w:highlight w:val="none"/>
              </w:rPr>
              <w:t>，所以不按固废进行管理</w:t>
            </w:r>
            <w:r>
              <w:rPr>
                <w:rFonts w:hint="default" w:ascii="Times New Roman" w:hAnsi="Times New Roman" w:cs="Times New Roman"/>
                <w:color w:val="auto"/>
                <w:highlight w:val="none"/>
                <w:lang w:eastAsia="zh-CN"/>
              </w:rPr>
              <w:t>。</w:t>
            </w:r>
          </w:p>
          <w:p w14:paraId="3B612B74">
            <w:pPr>
              <w:tabs>
                <w:tab w:val="left" w:pos="1800"/>
              </w:tabs>
              <w:adjustRightInd w:val="0"/>
              <w:snapToGrid w:val="0"/>
              <w:spacing w:line="360" w:lineRule="auto"/>
              <w:ind w:firstLine="420" w:firstLineChars="200"/>
              <w:rPr>
                <w:rFonts w:hint="default" w:ascii="Times New Roman" w:hAnsi="Times New Roman" w:cs="Times New Roman"/>
                <w:color w:val="auto"/>
                <w:highlight w:val="none"/>
                <w:lang w:eastAsia="zh-CN"/>
              </w:rPr>
            </w:pPr>
            <w:r>
              <w:rPr>
                <w:rFonts w:hint="default" w:ascii="Times New Roman" w:hAnsi="Times New Roman" w:cs="Times New Roman"/>
                <w:bCs/>
                <w:color w:val="auto"/>
                <w:szCs w:val="21"/>
                <w:highlight w:val="none"/>
              </w:rPr>
              <w:t>本项目产生的固体废物主要为</w:t>
            </w:r>
            <w:r>
              <w:rPr>
                <w:rFonts w:hint="eastAsia" w:cs="Times New Roman"/>
                <w:bCs/>
                <w:color w:val="auto"/>
                <w:szCs w:val="21"/>
                <w:highlight w:val="none"/>
                <w:lang w:val="en-US" w:eastAsia="zh-CN"/>
              </w:rPr>
              <w:t>废包装袋、废活性炭</w:t>
            </w:r>
            <w:r>
              <w:rPr>
                <w:rFonts w:hint="default" w:ascii="Times New Roman" w:hAnsi="Times New Roman" w:cs="Times New Roman"/>
                <w:bCs/>
                <w:color w:val="auto"/>
                <w:szCs w:val="21"/>
                <w:highlight w:val="none"/>
              </w:rPr>
              <w:t>以及生活垃圾</w:t>
            </w:r>
            <w:r>
              <w:rPr>
                <w:rFonts w:hint="default" w:ascii="Times New Roman" w:hAnsi="Times New Roman" w:cs="Times New Roman"/>
                <w:color w:val="auto"/>
                <w:highlight w:val="none"/>
                <w:lang w:eastAsia="zh-CN"/>
              </w:rPr>
              <w:t>。</w:t>
            </w:r>
          </w:p>
          <w:p w14:paraId="2BAFD96F">
            <w:pPr>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废包装袋产生量为</w:t>
            </w:r>
            <w:r>
              <w:rPr>
                <w:rFonts w:hint="eastAsia" w:cs="Times New Roman"/>
                <w:color w:val="auto"/>
                <w:highlight w:val="none"/>
                <w:lang w:val="en-US" w:eastAsia="zh-CN"/>
              </w:rPr>
              <w:t>0.5</w:t>
            </w:r>
            <w:r>
              <w:rPr>
                <w:rFonts w:hint="default" w:ascii="Times New Roman" w:hAnsi="Times New Roman" w:cs="Times New Roman"/>
                <w:color w:val="auto"/>
                <w:highlight w:val="none"/>
              </w:rPr>
              <w:t>t/a，属一般固废，</w:t>
            </w:r>
            <w:r>
              <w:rPr>
                <w:rFonts w:hint="default" w:ascii="Times New Roman" w:hAnsi="Times New Roman" w:cs="Times New Roman"/>
                <w:color w:val="auto"/>
                <w:highlight w:val="none"/>
                <w:lang w:val="en-US" w:eastAsia="zh-CN"/>
              </w:rPr>
              <w:t>暂存在一般固废暂存处，定期外卖</w:t>
            </w:r>
            <w:r>
              <w:rPr>
                <w:rFonts w:hint="default" w:ascii="Times New Roman" w:hAnsi="Times New Roman" w:cs="Times New Roman"/>
                <w:color w:val="auto"/>
                <w:highlight w:val="none"/>
              </w:rPr>
              <w:t>；职工生活垃圾产生量为</w:t>
            </w:r>
            <w:r>
              <w:rPr>
                <w:rFonts w:hint="eastAsia" w:cs="Times New Roman"/>
                <w:color w:val="auto"/>
                <w:highlight w:val="none"/>
                <w:lang w:val="en-US" w:eastAsia="zh-CN"/>
              </w:rPr>
              <w:t>3</w:t>
            </w:r>
            <w:r>
              <w:rPr>
                <w:rFonts w:hint="default" w:ascii="Times New Roman" w:hAnsi="Times New Roman" w:cs="Times New Roman"/>
                <w:color w:val="auto"/>
                <w:highlight w:val="none"/>
              </w:rPr>
              <w:t>t/a，经收集后储存于厂区垃圾箱，由环卫部门定期清运处理</w:t>
            </w:r>
            <w:r>
              <w:rPr>
                <w:rFonts w:hint="eastAsia" w:cs="Times New Roman"/>
                <w:color w:val="auto"/>
                <w:highlight w:val="none"/>
                <w:lang w:eastAsia="zh-CN"/>
              </w:rPr>
              <w:t>；</w:t>
            </w:r>
            <w:r>
              <w:rPr>
                <w:rFonts w:hint="eastAsia" w:cs="Times New Roman"/>
                <w:color w:val="auto"/>
                <w:highlight w:val="none"/>
                <w:lang w:val="en-US" w:eastAsia="zh-CN"/>
              </w:rPr>
              <w:t>废活性炭产生量为2.5t/a，属于危险废物，</w:t>
            </w:r>
            <w:r>
              <w:rPr>
                <w:rFonts w:hint="eastAsia" w:cs="Times New Roman"/>
                <w:color w:val="auto"/>
                <w:szCs w:val="21"/>
                <w:lang w:val="en-US" w:eastAsia="zh-CN"/>
              </w:rPr>
              <w:t>危废代码HW49 ，900-039-49，委托资质单位进行处置</w:t>
            </w:r>
            <w:r>
              <w:rPr>
                <w:rFonts w:hint="default" w:ascii="Times New Roman" w:hAnsi="Times New Roman" w:cs="Times New Roman"/>
                <w:color w:val="auto"/>
                <w:highlight w:val="none"/>
              </w:rPr>
              <w:t>。</w:t>
            </w:r>
          </w:p>
          <w:p w14:paraId="62AE2663">
            <w:pPr>
              <w:pStyle w:val="997"/>
              <w:spacing w:line="360" w:lineRule="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六、现有项目存在的问题：</w:t>
            </w:r>
          </w:p>
          <w:p w14:paraId="0A6D615A">
            <w:pPr>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1、存在的问题：</w:t>
            </w:r>
          </w:p>
          <w:p w14:paraId="68FBB44D">
            <w:pPr>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一般固废未分类、分区存放，无标示牌。</w:t>
            </w:r>
          </w:p>
          <w:p w14:paraId="46311DA8">
            <w:pPr>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2、整改措施</w:t>
            </w:r>
          </w:p>
          <w:p w14:paraId="725804A0">
            <w:pPr>
              <w:adjustRightInd w:val="0"/>
              <w:snapToGrid w:val="0"/>
              <w:spacing w:line="360" w:lineRule="auto"/>
              <w:ind w:firstLine="420" w:firstLineChars="20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一般固废分类、分区存放并按规范悬挂标识牌</w:t>
            </w:r>
            <w:r>
              <w:rPr>
                <w:rFonts w:hint="eastAsia" w:cs="Times New Roman"/>
                <w:color w:val="auto"/>
                <w:highlight w:val="none"/>
                <w:lang w:eastAsia="zh-CN"/>
              </w:rPr>
              <w:t>，</w:t>
            </w:r>
            <w:r>
              <w:rPr>
                <w:rFonts w:hint="eastAsia" w:cs="Times New Roman"/>
                <w:color w:val="auto"/>
                <w:highlight w:val="none"/>
                <w:lang w:val="en-US" w:eastAsia="zh-CN"/>
              </w:rPr>
              <w:t>整改日期：2025.2.28</w:t>
            </w:r>
            <w:r>
              <w:rPr>
                <w:rFonts w:hint="default" w:ascii="Times New Roman" w:hAnsi="Times New Roman" w:cs="Times New Roman"/>
                <w:color w:val="auto"/>
                <w:highlight w:val="none"/>
                <w:lang w:eastAsia="zh-CN"/>
              </w:rPr>
              <w:t>。</w:t>
            </w:r>
          </w:p>
          <w:p w14:paraId="4C75B809">
            <w:pPr>
              <w:adjustRightInd w:val="0"/>
              <w:snapToGrid w:val="0"/>
              <w:spacing w:line="360" w:lineRule="auto"/>
              <w:rPr>
                <w:rFonts w:hint="eastAsia" w:ascii="Times New Roman" w:hAnsi="Times New Roman" w:eastAsia="宋体" w:cs="Times New Roman"/>
                <w:color w:val="FF0000"/>
                <w:lang w:eastAsia="zh-CN"/>
              </w:rPr>
            </w:pPr>
          </w:p>
        </w:tc>
      </w:tr>
      <w:bookmarkEnd w:id="2"/>
    </w:tbl>
    <w:p w14:paraId="031FA58A">
      <w:pPr>
        <w:pStyle w:val="80"/>
        <w:spacing w:line="420" w:lineRule="exact"/>
        <w:jc w:val="center"/>
        <w:rPr>
          <w:rFonts w:hint="default" w:ascii="Times New Roman" w:hAnsi="Times New Roman" w:cs="Times New Roman"/>
          <w:snapToGrid w:val="0"/>
          <w:color w:val="FF0000"/>
          <w:sz w:val="36"/>
          <w:szCs w:val="36"/>
        </w:rPr>
        <w:sectPr>
          <w:pgSz w:w="11906" w:h="16838"/>
          <w:pgMar w:top="1134" w:right="1134" w:bottom="1134" w:left="1134" w:header="851" w:footer="851" w:gutter="0"/>
          <w:cols w:space="720" w:num="1"/>
          <w:docGrid w:linePitch="312" w:charSpace="0"/>
        </w:sectPr>
      </w:pPr>
    </w:p>
    <w:p w14:paraId="07C06B45">
      <w:pPr>
        <w:pStyle w:val="80"/>
        <w:spacing w:before="0" w:beforeAutospacing="0" w:after="0" w:afterAutospacing="0" w:line="420" w:lineRule="exact"/>
        <w:jc w:val="center"/>
        <w:outlineLvl w:val="0"/>
        <w:rPr>
          <w:rFonts w:hint="default" w:ascii="Times New Roman" w:hAnsi="Times New Roman" w:cs="Times New Roman"/>
          <w:b/>
          <w:bCs/>
          <w:snapToGrid w:val="0"/>
          <w:color w:val="auto"/>
          <w:sz w:val="30"/>
          <w:szCs w:val="30"/>
        </w:rPr>
      </w:pPr>
      <w:bookmarkStart w:id="10" w:name="_Toc154582835"/>
      <w:bookmarkStart w:id="11" w:name="_Toc148608317"/>
      <w:r>
        <w:rPr>
          <w:rFonts w:hint="default" w:ascii="Times New Roman" w:hAnsi="Times New Roman" w:cs="Times New Roman"/>
          <w:b/>
          <w:bCs/>
          <w:snapToGrid w:val="0"/>
          <w:color w:val="auto"/>
          <w:sz w:val="30"/>
          <w:szCs w:val="30"/>
        </w:rPr>
        <w:t>三、区域环境质量现状、环境保护目标及评价标准</w:t>
      </w:r>
      <w:bookmarkEnd w:id="10"/>
      <w:bookmarkEnd w:id="11"/>
    </w:p>
    <w:tbl>
      <w:tblPr>
        <w:tblStyle w:val="8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8977"/>
      </w:tblGrid>
      <w:tr w14:paraId="24B480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00" w:type="dxa"/>
            <w:tcBorders>
              <w:top w:val="single" w:color="auto" w:sz="8" w:space="0"/>
            </w:tcBorders>
            <w:vAlign w:val="center"/>
          </w:tcPr>
          <w:p w14:paraId="7E8FF4DB">
            <w:pPr>
              <w:adjustRightInd w:val="0"/>
              <w:snapToGrid w:val="0"/>
              <w:spacing w:line="42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区域</w:t>
            </w:r>
          </w:p>
          <w:p w14:paraId="0D5BC3A4">
            <w:pPr>
              <w:adjustRightInd w:val="0"/>
              <w:snapToGrid w:val="0"/>
              <w:spacing w:line="42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w:t>
            </w:r>
          </w:p>
          <w:p w14:paraId="282E4EE1">
            <w:pPr>
              <w:adjustRightInd w:val="0"/>
              <w:snapToGrid w:val="0"/>
              <w:spacing w:line="42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质量</w:t>
            </w:r>
          </w:p>
          <w:p w14:paraId="6B51A265">
            <w:pPr>
              <w:adjustRightInd w:val="0"/>
              <w:snapToGrid w:val="0"/>
              <w:spacing w:line="420" w:lineRule="exact"/>
              <w:jc w:val="center"/>
              <w:rPr>
                <w:rFonts w:hint="default" w:ascii="Times New Roman" w:hAnsi="Times New Roman" w:cs="Times New Roman"/>
                <w:color w:val="FF0000"/>
                <w:kern w:val="0"/>
                <w:szCs w:val="21"/>
              </w:rPr>
            </w:pPr>
            <w:r>
              <w:rPr>
                <w:rFonts w:hint="default" w:ascii="Times New Roman" w:hAnsi="Times New Roman" w:cs="Times New Roman"/>
                <w:color w:val="auto"/>
                <w:kern w:val="0"/>
                <w:szCs w:val="21"/>
              </w:rPr>
              <w:t>现状</w:t>
            </w:r>
          </w:p>
        </w:tc>
        <w:tc>
          <w:tcPr>
            <w:tcW w:w="8190" w:type="dxa"/>
            <w:tcBorders>
              <w:top w:val="single" w:color="auto" w:sz="8" w:space="0"/>
            </w:tcBorders>
            <w:vAlign w:val="center"/>
          </w:tcPr>
          <w:p w14:paraId="63FA54FD">
            <w:pPr>
              <w:pStyle w:val="4"/>
              <w:adjustRightInd w:val="0"/>
              <w:snapToGrid w:val="0"/>
              <w:spacing w:before="0" w:after="0" w:line="360" w:lineRule="auto"/>
              <w:rPr>
                <w:rFonts w:hint="default" w:ascii="Times New Roman" w:hAnsi="Times New Roman" w:cs="Times New Roman"/>
                <w:b w:val="0"/>
                <w:bCs w:val="0"/>
                <w:color w:val="auto"/>
                <w:sz w:val="21"/>
                <w:szCs w:val="21"/>
              </w:rPr>
            </w:pPr>
            <w:bookmarkStart w:id="12" w:name="_Toc154582836"/>
            <w:bookmarkStart w:id="13" w:name="_Toc148608318"/>
            <w:r>
              <w:rPr>
                <w:rFonts w:hint="default" w:ascii="Times New Roman" w:hAnsi="Times New Roman" w:cs="Times New Roman"/>
                <w:b w:val="0"/>
                <w:bCs w:val="0"/>
                <w:color w:val="auto"/>
                <w:sz w:val="21"/>
                <w:szCs w:val="21"/>
              </w:rPr>
              <w:t>一、环境功能区划</w:t>
            </w:r>
            <w:bookmarkEnd w:id="12"/>
            <w:bookmarkEnd w:id="13"/>
          </w:p>
          <w:p w14:paraId="2C33860A">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rPr>
              <w:t>根据《淄博市城区环境空气质量功能区管理规定的通知》（淄政发[1999]113号）、关于印发《淄博市城区噪声标准适用区域划分及管理规定》的通知（淄政办字[2019]43号）及淄博市水资源管理办公室、淄博市水文局发布的《淄博市水功能区划》（2012.2）等文件，项目所在区域属于《环境空气质量标准》（GB3095-2012）及其修改单二级标准适用区；区域噪声执行《声环境质量标准》（GB3096-2008）的2类标准；根据《淄博市地下水功能区划分及保护现状评价》，项目所在区的地下水环境执行《地下水质量标准》（GB/T14848-2017）Ⅲ类标准；区域地表水</w:t>
            </w:r>
            <w:r>
              <w:rPr>
                <w:rFonts w:hint="eastAsia" w:cs="Times New Roman"/>
                <w:color w:val="auto"/>
                <w:lang w:val="en-US" w:eastAsia="zh-CN"/>
              </w:rPr>
              <w:t>孝妇河</w:t>
            </w:r>
            <w:r>
              <w:rPr>
                <w:rFonts w:hint="default" w:ascii="Times New Roman" w:hAnsi="Times New Roman" w:cs="Times New Roman"/>
                <w:color w:val="auto"/>
              </w:rPr>
              <w:t>执行《地表水环境质量标准》（GB3838-2002）</w:t>
            </w:r>
            <w:r>
              <w:rPr>
                <w:rFonts w:hint="default" w:ascii="Times New Roman" w:hAnsi="Times New Roman" w:cs="Times New Roman"/>
                <w:bCs/>
                <w:color w:val="auto"/>
                <w:szCs w:val="21"/>
                <w:lang w:bidi="ar"/>
              </w:rPr>
              <w:t>V</w:t>
            </w:r>
            <w:r>
              <w:rPr>
                <w:rFonts w:hint="default" w:ascii="Times New Roman" w:hAnsi="Times New Roman" w:cs="Times New Roman"/>
                <w:color w:val="auto"/>
              </w:rPr>
              <w:t>类标准</w:t>
            </w:r>
            <w:r>
              <w:rPr>
                <w:rFonts w:hint="default" w:ascii="Times New Roman" w:hAnsi="Times New Roman" w:cs="Times New Roman"/>
                <w:color w:val="auto"/>
                <w:szCs w:val="21"/>
              </w:rPr>
              <w:t>。</w:t>
            </w:r>
          </w:p>
          <w:p w14:paraId="5197E5C3">
            <w:pPr>
              <w:pStyle w:val="4"/>
              <w:adjustRightInd w:val="0"/>
              <w:snapToGrid w:val="0"/>
              <w:spacing w:before="0" w:after="0" w:line="360" w:lineRule="auto"/>
              <w:rPr>
                <w:rFonts w:hint="default" w:ascii="Times New Roman" w:hAnsi="Times New Roman" w:cs="Times New Roman"/>
                <w:b w:val="0"/>
                <w:bCs w:val="0"/>
                <w:color w:val="auto"/>
                <w:sz w:val="21"/>
                <w:szCs w:val="21"/>
              </w:rPr>
            </w:pPr>
            <w:bookmarkStart w:id="14" w:name="_Toc148608319"/>
            <w:bookmarkStart w:id="15" w:name="_Toc154582837"/>
            <w:r>
              <w:rPr>
                <w:rFonts w:hint="default" w:ascii="Times New Roman" w:hAnsi="Times New Roman" w:cs="Times New Roman"/>
                <w:b w:val="0"/>
                <w:bCs w:val="0"/>
                <w:color w:val="auto"/>
                <w:sz w:val="21"/>
                <w:szCs w:val="21"/>
              </w:rPr>
              <w:t>二、环境质量现状</w:t>
            </w:r>
            <w:bookmarkEnd w:id="14"/>
            <w:bookmarkEnd w:id="15"/>
          </w:p>
          <w:p w14:paraId="32FED5C1">
            <w:pPr>
              <w:pStyle w:val="6"/>
              <w:adjustRightInd w:val="0"/>
              <w:snapToGrid w:val="0"/>
              <w:spacing w:before="0" w:after="0" w:line="360" w:lineRule="auto"/>
              <w:ind w:firstLine="482"/>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1、环境空气质量</w:t>
            </w:r>
          </w:p>
          <w:p w14:paraId="023118C4">
            <w:pPr>
              <w:spacing w:line="360" w:lineRule="auto"/>
              <w:ind w:firstLine="420" w:firstLineChars="200"/>
              <w:rPr>
                <w:rFonts w:hint="default" w:ascii="Times New Roman" w:hAnsi="Times New Roman" w:cs="Times New Roman"/>
                <w:color w:val="auto"/>
              </w:rPr>
            </w:pPr>
            <w:bookmarkStart w:id="16" w:name="_Hlk88550716"/>
            <w:r>
              <w:rPr>
                <w:rFonts w:hint="default" w:ascii="Times New Roman" w:hAnsi="Times New Roman" w:cs="Times New Roman"/>
                <w:color w:val="auto"/>
              </w:rPr>
              <w:t>根据淄博市生态环境局网站公布的《202</w:t>
            </w:r>
            <w:r>
              <w:rPr>
                <w:rFonts w:hint="default" w:ascii="Times New Roman" w:hAnsi="Times New Roman" w:cs="Times New Roman"/>
                <w:color w:val="auto"/>
                <w:lang w:val="en-US" w:eastAsia="zh-CN"/>
              </w:rPr>
              <w:t>3</w:t>
            </w:r>
            <w:r>
              <w:rPr>
                <w:rFonts w:hint="default" w:ascii="Times New Roman" w:hAnsi="Times New Roman" w:cs="Times New Roman"/>
                <w:color w:val="auto"/>
              </w:rPr>
              <w:t>年12月份及全年环境空气质量情况通报》（202</w:t>
            </w:r>
            <w:r>
              <w:rPr>
                <w:rFonts w:hint="default" w:ascii="Times New Roman" w:hAnsi="Times New Roman" w:cs="Times New Roman"/>
                <w:color w:val="auto"/>
                <w:lang w:val="en-US" w:eastAsia="zh-CN"/>
              </w:rPr>
              <w:t>4</w:t>
            </w:r>
            <w:r>
              <w:rPr>
                <w:rFonts w:hint="default" w:ascii="Times New Roman" w:hAnsi="Times New Roman" w:cs="Times New Roman"/>
                <w:color w:val="auto"/>
              </w:rPr>
              <w:t>年第1期）：2023年，全市良好天数219天（国控），同比减少17天。重污染天数8天，同比增加2天。其中，二氧化硫（SO</w:t>
            </w:r>
            <w:r>
              <w:rPr>
                <w:rFonts w:hint="default" w:ascii="Times New Roman" w:hAnsi="Times New Roman" w:cs="Times New Roman"/>
                <w:color w:val="auto"/>
                <w:vertAlign w:val="subscript"/>
              </w:rPr>
              <w:t>2</w:t>
            </w:r>
            <w:r>
              <w:rPr>
                <w:rFonts w:hint="default" w:ascii="Times New Roman" w:hAnsi="Times New Roman" w:cs="Times New Roman"/>
                <w:color w:val="auto"/>
              </w:rPr>
              <w:t>）12微克/立方米，同比改善14.3%；二氧化氮（NO</w:t>
            </w:r>
            <w:r>
              <w:rPr>
                <w:rFonts w:hint="default" w:ascii="Times New Roman" w:hAnsi="Times New Roman" w:cs="Times New Roman"/>
                <w:color w:val="auto"/>
                <w:vertAlign w:val="subscript"/>
              </w:rPr>
              <w:t>2</w:t>
            </w:r>
            <w:r>
              <w:rPr>
                <w:rFonts w:hint="default" w:ascii="Times New Roman" w:hAnsi="Times New Roman" w:cs="Times New Roman"/>
                <w:color w:val="auto"/>
              </w:rPr>
              <w:t>）34微克/立方米，同比恶化3.0%；可吸入颗粒物（PM</w:t>
            </w:r>
            <w:r>
              <w:rPr>
                <w:rFonts w:hint="default" w:ascii="Times New Roman" w:hAnsi="Times New Roman" w:cs="Times New Roman"/>
                <w:color w:val="auto"/>
                <w:vertAlign w:val="subscript"/>
              </w:rPr>
              <w:t>10</w:t>
            </w:r>
            <w:r>
              <w:rPr>
                <w:rFonts w:hint="default" w:ascii="Times New Roman" w:hAnsi="Times New Roman" w:cs="Times New Roman"/>
                <w:color w:val="auto"/>
              </w:rPr>
              <w:t>）75微克/立方米，同比持平；细颗粒物（PM</w:t>
            </w:r>
            <w:r>
              <w:rPr>
                <w:rFonts w:hint="default" w:ascii="Times New Roman" w:hAnsi="Times New Roman" w:cs="Times New Roman"/>
                <w:color w:val="auto"/>
                <w:vertAlign w:val="subscript"/>
              </w:rPr>
              <w:t>2.5</w:t>
            </w:r>
            <w:r>
              <w:rPr>
                <w:rFonts w:hint="default" w:ascii="Times New Roman" w:hAnsi="Times New Roman" w:cs="Times New Roman"/>
                <w:color w:val="auto"/>
              </w:rPr>
              <w:t>）41微克/立方米，同比改善4.7%；一氧化碳（CO）1.1毫克/立方米，同比改善15.4%；臭氧（O</w:t>
            </w:r>
            <w:r>
              <w:rPr>
                <w:rFonts w:hint="default" w:ascii="Times New Roman" w:hAnsi="Times New Roman" w:cs="Times New Roman"/>
                <w:color w:val="auto"/>
                <w:vertAlign w:val="subscript"/>
              </w:rPr>
              <w:t>3</w:t>
            </w:r>
            <w:r>
              <w:rPr>
                <w:rFonts w:hint="default" w:ascii="Times New Roman" w:hAnsi="Times New Roman" w:cs="Times New Roman"/>
                <w:color w:val="auto"/>
              </w:rPr>
              <w:t>）198微克/立方米，同比恶化3.1%。全市综合指数为4.81，同比改善1.2%。</w:t>
            </w:r>
          </w:p>
          <w:p w14:paraId="0F0AF5BB">
            <w:pPr>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其中，淄川区空气环境质量指标如下：</w:t>
            </w:r>
          </w:p>
          <w:p w14:paraId="56C40A92">
            <w:pPr>
              <w:pStyle w:val="85"/>
              <w:spacing w:after="0"/>
              <w:ind w:left="0" w:leftChars="0" w:firstLine="0" w:firstLineChars="0"/>
              <w:jc w:val="center"/>
              <w:rPr>
                <w:rFonts w:hint="default" w:ascii="Times New Roman" w:hAnsi="Times New Roman" w:eastAsia="黑体" w:cs="Times New Roman"/>
                <w:color w:val="auto"/>
                <w:highlight w:val="none"/>
                <w:lang w:val="en-US" w:eastAsia="zh-CN"/>
              </w:rPr>
            </w:pPr>
            <w:r>
              <w:rPr>
                <w:rFonts w:hint="default" w:ascii="Times New Roman" w:hAnsi="Times New Roman" w:eastAsia="黑体" w:cs="Times New Roman"/>
                <w:color w:val="auto"/>
                <w:highlight w:val="none"/>
                <w:lang w:val="en-US" w:eastAsia="zh-CN"/>
              </w:rPr>
              <w:t>表3-1 环境空气质量状况一览表</w:t>
            </w:r>
          </w:p>
          <w:tbl>
            <w:tblPr>
              <w:tblStyle w:val="86"/>
              <w:tblW w:w="4998"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108" w:type="dxa"/>
                <w:bottom w:w="0" w:type="dxa"/>
                <w:right w:w="108" w:type="dxa"/>
              </w:tblCellMar>
            </w:tblPr>
            <w:tblGrid>
              <w:gridCol w:w="2457"/>
              <w:gridCol w:w="1372"/>
              <w:gridCol w:w="1922"/>
              <w:gridCol w:w="1645"/>
              <w:gridCol w:w="1351"/>
            </w:tblGrid>
            <w:tr w14:paraId="5FE49F7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04" w:type="pct"/>
                  <w:noWrap w:val="0"/>
                  <w:vAlign w:val="center"/>
                </w:tcPr>
                <w:p w14:paraId="0D88B3AB">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项目</w:t>
                  </w:r>
                </w:p>
              </w:tc>
              <w:tc>
                <w:tcPr>
                  <w:tcW w:w="784" w:type="pct"/>
                  <w:noWrap w:val="0"/>
                  <w:vAlign w:val="center"/>
                </w:tcPr>
                <w:p w14:paraId="5DE98094">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SO</w:t>
                  </w:r>
                  <w:r>
                    <w:rPr>
                      <w:rFonts w:hint="default" w:ascii="Times New Roman" w:hAnsi="Times New Roman" w:cs="Times New Roman"/>
                      <w:color w:val="auto"/>
                      <w:sz w:val="18"/>
                      <w:szCs w:val="18"/>
                      <w:vertAlign w:val="subscript"/>
                    </w:rPr>
                    <w:t>2</w:t>
                  </w:r>
                </w:p>
              </w:tc>
              <w:tc>
                <w:tcPr>
                  <w:tcW w:w="1098" w:type="pct"/>
                  <w:noWrap w:val="0"/>
                  <w:vAlign w:val="center"/>
                </w:tcPr>
                <w:p w14:paraId="5FBDCEB6">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NO</w:t>
                  </w:r>
                  <w:r>
                    <w:rPr>
                      <w:rFonts w:hint="default" w:ascii="Times New Roman" w:hAnsi="Times New Roman" w:cs="Times New Roman"/>
                      <w:color w:val="auto"/>
                      <w:sz w:val="18"/>
                      <w:szCs w:val="18"/>
                      <w:vertAlign w:val="subscript"/>
                    </w:rPr>
                    <w:t>2</w:t>
                  </w:r>
                </w:p>
              </w:tc>
              <w:tc>
                <w:tcPr>
                  <w:tcW w:w="940" w:type="pct"/>
                  <w:noWrap w:val="0"/>
                  <w:vAlign w:val="center"/>
                </w:tcPr>
                <w:p w14:paraId="1B024324">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PM</w:t>
                  </w:r>
                  <w:r>
                    <w:rPr>
                      <w:rFonts w:hint="default" w:ascii="Times New Roman" w:hAnsi="Times New Roman" w:cs="Times New Roman"/>
                      <w:color w:val="auto"/>
                      <w:sz w:val="18"/>
                      <w:szCs w:val="18"/>
                      <w:vertAlign w:val="subscript"/>
                    </w:rPr>
                    <w:t>10</w:t>
                  </w:r>
                </w:p>
              </w:tc>
              <w:tc>
                <w:tcPr>
                  <w:tcW w:w="772" w:type="pct"/>
                  <w:noWrap w:val="0"/>
                  <w:vAlign w:val="center"/>
                </w:tcPr>
                <w:p w14:paraId="725CA904">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PM</w:t>
                  </w:r>
                  <w:r>
                    <w:rPr>
                      <w:rFonts w:hint="default" w:ascii="Times New Roman" w:hAnsi="Times New Roman" w:cs="Times New Roman"/>
                      <w:color w:val="auto"/>
                      <w:sz w:val="18"/>
                      <w:szCs w:val="18"/>
                      <w:vertAlign w:val="subscript"/>
                    </w:rPr>
                    <w:t>2.5</w:t>
                  </w:r>
                </w:p>
              </w:tc>
            </w:tr>
            <w:tr w14:paraId="1573369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04" w:type="pct"/>
                  <w:noWrap w:val="0"/>
                  <w:vAlign w:val="center"/>
                </w:tcPr>
                <w:p w14:paraId="48A5875A">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浓度，mg/m</w:t>
                  </w:r>
                  <w:r>
                    <w:rPr>
                      <w:rFonts w:hint="default" w:ascii="Times New Roman" w:hAnsi="Times New Roman" w:cs="Times New Roman"/>
                      <w:color w:val="auto"/>
                      <w:kern w:val="0"/>
                      <w:sz w:val="18"/>
                      <w:szCs w:val="18"/>
                      <w:vertAlign w:val="superscript"/>
                    </w:rPr>
                    <w:t>3</w:t>
                  </w:r>
                </w:p>
              </w:tc>
              <w:tc>
                <w:tcPr>
                  <w:tcW w:w="784" w:type="pct"/>
                  <w:noWrap w:val="0"/>
                  <w:vAlign w:val="center"/>
                </w:tcPr>
                <w:p w14:paraId="7A99CABE">
                  <w:pPr>
                    <w:adjustRightInd w:val="0"/>
                    <w:snapToGrid w:val="0"/>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0.01</w:t>
                  </w:r>
                  <w:r>
                    <w:rPr>
                      <w:rFonts w:hint="default" w:ascii="Times New Roman" w:hAnsi="Times New Roman" w:cs="Times New Roman"/>
                      <w:color w:val="auto"/>
                      <w:sz w:val="18"/>
                      <w:szCs w:val="18"/>
                      <w:lang w:val="en-US" w:eastAsia="zh-CN"/>
                    </w:rPr>
                    <w:t>1</w:t>
                  </w:r>
                </w:p>
              </w:tc>
              <w:tc>
                <w:tcPr>
                  <w:tcW w:w="1098" w:type="pct"/>
                  <w:noWrap w:val="0"/>
                  <w:vAlign w:val="center"/>
                </w:tcPr>
                <w:p w14:paraId="5DBA72DA">
                  <w:pPr>
                    <w:adjustRightInd w:val="0"/>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0.0</w:t>
                  </w:r>
                  <w:r>
                    <w:rPr>
                      <w:rFonts w:hint="default" w:ascii="Times New Roman" w:hAnsi="Times New Roman" w:cs="Times New Roman"/>
                      <w:color w:val="auto"/>
                      <w:sz w:val="18"/>
                      <w:szCs w:val="18"/>
                      <w:lang w:val="en-US" w:eastAsia="zh-CN"/>
                    </w:rPr>
                    <w:t>29</w:t>
                  </w:r>
                </w:p>
              </w:tc>
              <w:tc>
                <w:tcPr>
                  <w:tcW w:w="940" w:type="pct"/>
                  <w:noWrap w:val="0"/>
                  <w:vAlign w:val="center"/>
                </w:tcPr>
                <w:p w14:paraId="4219331C">
                  <w:pPr>
                    <w:adjustRightInd w:val="0"/>
                    <w:snapToGrid w:val="0"/>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0.07</w:t>
                  </w:r>
                  <w:r>
                    <w:rPr>
                      <w:rFonts w:hint="default" w:ascii="Times New Roman" w:hAnsi="Times New Roman" w:cs="Times New Roman"/>
                      <w:color w:val="auto"/>
                      <w:sz w:val="18"/>
                      <w:szCs w:val="18"/>
                      <w:lang w:val="en-US" w:eastAsia="zh-CN"/>
                    </w:rPr>
                    <w:t>5</w:t>
                  </w:r>
                </w:p>
              </w:tc>
              <w:tc>
                <w:tcPr>
                  <w:tcW w:w="772" w:type="pct"/>
                  <w:noWrap w:val="0"/>
                  <w:vAlign w:val="center"/>
                </w:tcPr>
                <w:p w14:paraId="0BDD6E9E">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0.042</w:t>
                  </w:r>
                </w:p>
              </w:tc>
            </w:tr>
            <w:tr w14:paraId="6B26C02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1404" w:type="pct"/>
                  <w:noWrap w:val="0"/>
                  <w:vAlign w:val="center"/>
                </w:tcPr>
                <w:p w14:paraId="016FA464">
                  <w:pPr>
                    <w:widowControl/>
                    <w:adjustRightInd w:val="0"/>
                    <w:snapToGrid w:val="0"/>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年均浓度限值，mg/m</w:t>
                  </w:r>
                  <w:r>
                    <w:rPr>
                      <w:rFonts w:hint="default" w:ascii="Times New Roman" w:hAnsi="Times New Roman" w:cs="Times New Roman"/>
                      <w:color w:val="auto"/>
                      <w:kern w:val="0"/>
                      <w:sz w:val="18"/>
                      <w:szCs w:val="18"/>
                      <w:vertAlign w:val="superscript"/>
                    </w:rPr>
                    <w:t>3</w:t>
                  </w:r>
                </w:p>
              </w:tc>
              <w:tc>
                <w:tcPr>
                  <w:tcW w:w="784" w:type="pct"/>
                  <w:noWrap w:val="0"/>
                  <w:vAlign w:val="center"/>
                </w:tcPr>
                <w:p w14:paraId="39E8FF4F">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0.06</w:t>
                  </w:r>
                </w:p>
              </w:tc>
              <w:tc>
                <w:tcPr>
                  <w:tcW w:w="1098" w:type="pct"/>
                  <w:noWrap w:val="0"/>
                  <w:vAlign w:val="center"/>
                </w:tcPr>
                <w:p w14:paraId="737585A2">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0.04</w:t>
                  </w:r>
                </w:p>
              </w:tc>
              <w:tc>
                <w:tcPr>
                  <w:tcW w:w="940" w:type="pct"/>
                  <w:noWrap w:val="0"/>
                  <w:vAlign w:val="center"/>
                </w:tcPr>
                <w:p w14:paraId="5720816B">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0.07</w:t>
                  </w:r>
                </w:p>
              </w:tc>
              <w:tc>
                <w:tcPr>
                  <w:tcW w:w="772" w:type="pct"/>
                  <w:noWrap w:val="0"/>
                  <w:vAlign w:val="center"/>
                </w:tcPr>
                <w:p w14:paraId="17827111">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0.035</w:t>
                  </w:r>
                </w:p>
              </w:tc>
            </w:tr>
          </w:tbl>
          <w:p w14:paraId="11C2B3E2">
            <w:pPr>
              <w:spacing w:line="360" w:lineRule="auto"/>
              <w:ind w:firstLine="420" w:firstLineChars="200"/>
              <w:rPr>
                <w:rFonts w:hint="default" w:ascii="Times New Roman" w:hAnsi="Times New Roman" w:cs="Times New Roman" w:eastAsiaTheme="minorEastAsia"/>
                <w:color w:val="auto"/>
                <w:szCs w:val="21"/>
                <w:highlight w:val="none"/>
              </w:rPr>
            </w:pPr>
            <w:r>
              <w:rPr>
                <w:rFonts w:hint="default" w:ascii="Times New Roman" w:hAnsi="Times New Roman" w:cs="Times New Roman"/>
                <w:color w:val="auto"/>
                <w:kern w:val="0"/>
              </w:rPr>
              <w:t>根据上表，淄川区</w:t>
            </w:r>
            <w:r>
              <w:rPr>
                <w:rFonts w:hint="default" w:ascii="Times New Roman" w:hAnsi="Times New Roman" w:cs="Times New Roman"/>
                <w:color w:val="auto"/>
              </w:rPr>
              <w:t>PM</w:t>
            </w:r>
            <w:r>
              <w:rPr>
                <w:rFonts w:hint="default" w:ascii="Times New Roman" w:hAnsi="Times New Roman" w:cs="Times New Roman"/>
                <w:color w:val="auto"/>
                <w:vertAlign w:val="subscript"/>
              </w:rPr>
              <w:t>2.5</w:t>
            </w:r>
            <w:r>
              <w:rPr>
                <w:rFonts w:hint="default" w:ascii="Times New Roman" w:hAnsi="Times New Roman" w:cs="Times New Roman"/>
                <w:color w:val="auto"/>
              </w:rPr>
              <w:t>和PM</w:t>
            </w:r>
            <w:r>
              <w:rPr>
                <w:rFonts w:hint="default" w:ascii="Times New Roman" w:hAnsi="Times New Roman" w:cs="Times New Roman"/>
                <w:color w:val="auto"/>
                <w:vertAlign w:val="subscript"/>
              </w:rPr>
              <w:t>10</w:t>
            </w:r>
            <w:r>
              <w:rPr>
                <w:rFonts w:hint="default" w:ascii="Times New Roman" w:hAnsi="Times New Roman" w:cs="Times New Roman"/>
                <w:color w:val="auto"/>
              </w:rPr>
              <w:t>年均浓度不</w:t>
            </w:r>
            <w:r>
              <w:rPr>
                <w:rFonts w:hint="default" w:ascii="Times New Roman" w:hAnsi="Times New Roman" w:cs="Times New Roman"/>
                <w:color w:val="auto"/>
                <w:kern w:val="0"/>
              </w:rPr>
              <w:t>满足《环境空气质量标准》(GB3095-2012)</w:t>
            </w:r>
            <w:r>
              <w:rPr>
                <w:rFonts w:hint="default" w:ascii="Times New Roman" w:hAnsi="Times New Roman" w:cs="Times New Roman"/>
                <w:color w:val="auto"/>
              </w:rPr>
              <w:t>及其修改单二级标准限值要求</w:t>
            </w:r>
            <w:r>
              <w:rPr>
                <w:rFonts w:hint="default" w:ascii="Times New Roman" w:hAnsi="Times New Roman" w:cs="Times New Roman"/>
                <w:color w:val="auto"/>
                <w:kern w:val="0"/>
              </w:rPr>
              <w:t>。</w:t>
            </w:r>
            <w:r>
              <w:rPr>
                <w:rFonts w:hint="default" w:ascii="Times New Roman" w:hAnsi="Times New Roman" w:cs="Times New Roman"/>
                <w:color w:val="auto"/>
              </w:rPr>
              <w:t>根据《淄博市“十四五”生态环境保护规划》（淄政字〔2021〕107号），淄博市将开展一系列大气污染治理工程改善区域环境，推动NOx深度治理工程、VOCs综合治理工程、O</w:t>
            </w:r>
            <w:r>
              <w:rPr>
                <w:rFonts w:hint="default" w:ascii="Times New Roman" w:hAnsi="Times New Roman" w:cs="Times New Roman"/>
                <w:color w:val="auto"/>
                <w:vertAlign w:val="subscript"/>
              </w:rPr>
              <w:t>3</w:t>
            </w:r>
            <w:r>
              <w:rPr>
                <w:rFonts w:hint="default" w:ascii="Times New Roman" w:hAnsi="Times New Roman" w:cs="Times New Roman"/>
                <w:color w:val="auto"/>
              </w:rPr>
              <w:t>和PM</w:t>
            </w:r>
            <w:r>
              <w:rPr>
                <w:rFonts w:hint="default" w:ascii="Times New Roman" w:hAnsi="Times New Roman" w:cs="Times New Roman"/>
                <w:color w:val="auto"/>
                <w:vertAlign w:val="subscript"/>
              </w:rPr>
              <w:t>2.5</w:t>
            </w:r>
            <w:r>
              <w:rPr>
                <w:rFonts w:hint="default" w:ascii="Times New Roman" w:hAnsi="Times New Roman" w:cs="Times New Roman"/>
                <w:color w:val="auto"/>
              </w:rPr>
              <w:t>协同管控体系，到2025年，PM</w:t>
            </w:r>
            <w:r>
              <w:rPr>
                <w:rFonts w:hint="default" w:ascii="Times New Roman" w:hAnsi="Times New Roman" w:cs="Times New Roman"/>
                <w:color w:val="auto"/>
                <w:vertAlign w:val="subscript"/>
              </w:rPr>
              <w:t>2.5</w:t>
            </w:r>
            <w:r>
              <w:rPr>
                <w:rFonts w:hint="default" w:ascii="Times New Roman" w:hAnsi="Times New Roman" w:cs="Times New Roman"/>
                <w:color w:val="auto"/>
              </w:rPr>
              <w:t>浓度达到全省中游水平，空气质量优良率达到全省中游水平，综合指数排名摆脱全国后20名、全省</w:t>
            </w:r>
            <w:r>
              <w:rPr>
                <w:rFonts w:hint="default" w:ascii="Times New Roman" w:hAnsi="Times New Roman" w:cs="Times New Roman"/>
                <w:color w:val="auto"/>
                <w:highlight w:val="none"/>
              </w:rPr>
              <w:t>后3名。区域环境空气质量将持续改善</w:t>
            </w:r>
            <w:r>
              <w:rPr>
                <w:rFonts w:hint="default" w:ascii="Times New Roman" w:hAnsi="Times New Roman" w:cs="Times New Roman" w:eastAsiaTheme="minorEastAsia"/>
                <w:color w:val="auto"/>
                <w:szCs w:val="21"/>
                <w:highlight w:val="none"/>
              </w:rPr>
              <w:t>。</w:t>
            </w:r>
          </w:p>
          <w:bookmarkEnd w:id="16"/>
          <w:p w14:paraId="2B1BD554">
            <w:pPr>
              <w:spacing w:line="360" w:lineRule="auto"/>
              <w:ind w:firstLine="420" w:firstLineChars="200"/>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2、地表水环境质量</w:t>
            </w:r>
          </w:p>
          <w:p w14:paraId="633BBF37">
            <w:pPr>
              <w:spacing w:line="360" w:lineRule="auto"/>
              <w:ind w:firstLine="420" w:firstLineChars="200"/>
              <w:rPr>
                <w:rFonts w:hint="default" w:ascii="Times New Roman" w:hAnsi="Times New Roman" w:cs="Times New Roman"/>
                <w:bCs/>
                <w:color w:val="auto"/>
                <w:highlight w:val="none"/>
                <w:lang w:bidi="ar"/>
              </w:rPr>
            </w:pPr>
            <w:r>
              <w:rPr>
                <w:rFonts w:hint="default" w:ascii="Times New Roman" w:hAnsi="Times New Roman" w:cs="Times New Roman"/>
                <w:bCs/>
                <w:color w:val="auto"/>
                <w:szCs w:val="21"/>
                <w:lang w:bidi="ar"/>
              </w:rPr>
              <w:t>该区域地表水为孝妇河，该段功能区划分为地表水V类。</w:t>
            </w:r>
            <w:r>
              <w:rPr>
                <w:rFonts w:hint="default" w:ascii="Times New Roman" w:hAnsi="Times New Roman" w:cs="Times New Roman"/>
                <w:bCs/>
                <w:color w:val="auto"/>
                <w:highlight w:val="none"/>
                <w:lang w:bidi="ar"/>
              </w:rPr>
              <w:t>本次环评收集了淄川南外环监控断面202</w:t>
            </w:r>
            <w:r>
              <w:rPr>
                <w:rFonts w:hint="default" w:ascii="Times New Roman" w:hAnsi="Times New Roman" w:cs="Times New Roman"/>
                <w:bCs/>
                <w:color w:val="auto"/>
                <w:highlight w:val="none"/>
                <w:lang w:val="en-US" w:eastAsia="zh-CN" w:bidi="ar"/>
              </w:rPr>
              <w:t>4</w:t>
            </w:r>
            <w:r>
              <w:rPr>
                <w:rFonts w:hint="default" w:ascii="Times New Roman" w:hAnsi="Times New Roman" w:cs="Times New Roman"/>
                <w:bCs/>
                <w:color w:val="auto"/>
                <w:highlight w:val="none"/>
                <w:lang w:bidi="ar"/>
              </w:rPr>
              <w:t>年</w:t>
            </w:r>
            <w:r>
              <w:rPr>
                <w:rFonts w:hint="default" w:ascii="Times New Roman" w:hAnsi="Times New Roman" w:cs="Times New Roman"/>
                <w:bCs/>
                <w:color w:val="auto"/>
                <w:highlight w:val="none"/>
                <w:lang w:val="en-US" w:eastAsia="zh-CN" w:bidi="ar"/>
              </w:rPr>
              <w:t>1月-6月</w:t>
            </w:r>
            <w:r>
              <w:rPr>
                <w:rFonts w:hint="default" w:ascii="Times New Roman" w:hAnsi="Times New Roman" w:cs="Times New Roman"/>
                <w:bCs/>
                <w:color w:val="auto"/>
                <w:highlight w:val="none"/>
                <w:lang w:bidi="ar"/>
              </w:rPr>
              <w:t>在线监测的信息，详细监测结果如下：</w:t>
            </w:r>
          </w:p>
          <w:p w14:paraId="5E55AFB2">
            <w:pPr>
              <w:pStyle w:val="85"/>
              <w:spacing w:after="0"/>
              <w:ind w:left="0" w:leftChars="0" w:firstLine="0" w:firstLineChars="0"/>
              <w:jc w:val="center"/>
              <w:rPr>
                <w:rFonts w:hint="default" w:ascii="Times New Roman" w:hAnsi="Times New Roman" w:eastAsia="黑体" w:cs="Times New Roman"/>
                <w:color w:val="auto"/>
                <w:highlight w:val="none"/>
                <w:lang w:val="en-US" w:eastAsia="zh-CN"/>
              </w:rPr>
            </w:pPr>
            <w:r>
              <w:rPr>
                <w:rFonts w:hint="default" w:ascii="Times New Roman" w:hAnsi="Times New Roman" w:eastAsia="黑体" w:cs="Times New Roman"/>
                <w:color w:val="auto"/>
                <w:highlight w:val="none"/>
                <w:lang w:val="en-US" w:eastAsia="zh-CN"/>
              </w:rPr>
              <w:t>表3-2  2024年1月-6月淄川南外环断面监测数据</w:t>
            </w:r>
          </w:p>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61"/>
              <w:gridCol w:w="1256"/>
              <w:gridCol w:w="1250"/>
              <w:gridCol w:w="1250"/>
              <w:gridCol w:w="1307"/>
              <w:gridCol w:w="1316"/>
              <w:gridCol w:w="1111"/>
            </w:tblGrid>
            <w:tr w14:paraId="0930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3" w:type="dxa"/>
                  <w:noWrap w:val="0"/>
                  <w:vAlign w:val="center"/>
                </w:tcPr>
                <w:p w14:paraId="69E3CA2B">
                  <w:pPr>
                    <w:pStyle w:val="85"/>
                    <w:spacing w:after="0"/>
                    <w:ind w:left="0" w:leftChars="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时间</w:t>
                  </w:r>
                </w:p>
              </w:tc>
              <w:tc>
                <w:tcPr>
                  <w:tcW w:w="1208" w:type="dxa"/>
                  <w:noWrap w:val="0"/>
                  <w:vAlign w:val="center"/>
                </w:tcPr>
                <w:p w14:paraId="17EAC5AC">
                  <w:pPr>
                    <w:pStyle w:val="85"/>
                    <w:spacing w:after="0"/>
                    <w:ind w:left="0" w:leftChars="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COD</w:t>
                  </w:r>
                </w:p>
                <w:p w14:paraId="23155EC2">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（mg/L）</w:t>
                  </w:r>
                </w:p>
              </w:tc>
              <w:tc>
                <w:tcPr>
                  <w:tcW w:w="1203" w:type="dxa"/>
                  <w:noWrap w:val="0"/>
                  <w:vAlign w:val="center"/>
                </w:tcPr>
                <w:p w14:paraId="161A0357">
                  <w:pPr>
                    <w:pStyle w:val="85"/>
                    <w:spacing w:after="0"/>
                    <w:ind w:left="0" w:leftChars="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氨氮（mg/L）</w:t>
                  </w:r>
                </w:p>
              </w:tc>
              <w:tc>
                <w:tcPr>
                  <w:tcW w:w="1203" w:type="dxa"/>
                  <w:noWrap w:val="0"/>
                  <w:vAlign w:val="center"/>
                </w:tcPr>
                <w:p w14:paraId="0AEDB8AE">
                  <w:pPr>
                    <w:pStyle w:val="85"/>
                    <w:spacing w:after="0"/>
                    <w:ind w:left="0" w:leftChars="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高锰酸盐指数（mg/L））</w:t>
                  </w:r>
                </w:p>
              </w:tc>
              <w:tc>
                <w:tcPr>
                  <w:tcW w:w="1257" w:type="dxa"/>
                  <w:noWrap w:val="0"/>
                  <w:vAlign w:val="center"/>
                </w:tcPr>
                <w:p w14:paraId="70129D55">
                  <w:pPr>
                    <w:pStyle w:val="85"/>
                    <w:spacing w:after="0"/>
                    <w:ind w:left="0" w:leftChars="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溶解氧（mg/L）</w:t>
                  </w:r>
                </w:p>
              </w:tc>
              <w:tc>
                <w:tcPr>
                  <w:tcW w:w="1266" w:type="dxa"/>
                  <w:noWrap w:val="0"/>
                  <w:vAlign w:val="center"/>
                </w:tcPr>
                <w:p w14:paraId="269246D9">
                  <w:pPr>
                    <w:pStyle w:val="85"/>
                    <w:spacing w:after="0"/>
                    <w:ind w:left="0" w:leftChars="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总磷（mg/L）</w:t>
                  </w:r>
                </w:p>
              </w:tc>
              <w:tc>
                <w:tcPr>
                  <w:tcW w:w="1069" w:type="dxa"/>
                  <w:noWrap w:val="0"/>
                  <w:vAlign w:val="center"/>
                </w:tcPr>
                <w:p w14:paraId="31A50992">
                  <w:pPr>
                    <w:pStyle w:val="85"/>
                    <w:spacing w:after="0"/>
                    <w:ind w:left="0" w:leftChars="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pH</w:t>
                  </w:r>
                </w:p>
              </w:tc>
            </w:tr>
            <w:tr w14:paraId="4367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3" w:type="dxa"/>
                  <w:noWrap w:val="0"/>
                  <w:vAlign w:val="center"/>
                </w:tcPr>
                <w:p w14:paraId="730AE530">
                  <w:pPr>
                    <w:pStyle w:val="85"/>
                    <w:spacing w:after="0"/>
                    <w:ind w:left="0" w:leftChars="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w:t>
                  </w:r>
                  <w:r>
                    <w:rPr>
                      <w:rFonts w:hint="default" w:ascii="Times New Roman" w:hAnsi="Times New Roman" w:cs="Times New Roman"/>
                      <w:color w:val="auto"/>
                      <w:sz w:val="18"/>
                      <w:szCs w:val="18"/>
                      <w:highlight w:val="none"/>
                      <w:lang w:val="en-US" w:eastAsia="zh-CN"/>
                    </w:rPr>
                    <w:t>4</w:t>
                  </w:r>
                  <w:r>
                    <w:rPr>
                      <w:rFonts w:hint="default" w:ascii="Times New Roman" w:hAnsi="Times New Roman" w:cs="Times New Roman"/>
                      <w:color w:val="auto"/>
                      <w:sz w:val="18"/>
                      <w:szCs w:val="18"/>
                      <w:highlight w:val="none"/>
                    </w:rPr>
                    <w:t>.1</w:t>
                  </w:r>
                </w:p>
              </w:tc>
              <w:tc>
                <w:tcPr>
                  <w:tcW w:w="1208" w:type="dxa"/>
                  <w:noWrap w:val="0"/>
                  <w:vAlign w:val="center"/>
                </w:tcPr>
                <w:p w14:paraId="1735CC78">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6.08~14</w:t>
                  </w:r>
                </w:p>
              </w:tc>
              <w:tc>
                <w:tcPr>
                  <w:tcW w:w="1203" w:type="dxa"/>
                  <w:noWrap w:val="0"/>
                  <w:vAlign w:val="center"/>
                </w:tcPr>
                <w:p w14:paraId="3BC3ECAB">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1.33~9.5</w:t>
                  </w:r>
                </w:p>
              </w:tc>
              <w:tc>
                <w:tcPr>
                  <w:tcW w:w="1203" w:type="dxa"/>
                  <w:noWrap w:val="0"/>
                  <w:vAlign w:val="center"/>
                </w:tcPr>
                <w:p w14:paraId="17F9839C">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3.33~5.97</w:t>
                  </w:r>
                </w:p>
              </w:tc>
              <w:tc>
                <w:tcPr>
                  <w:tcW w:w="1257" w:type="dxa"/>
                  <w:noWrap w:val="0"/>
                  <w:vAlign w:val="center"/>
                </w:tcPr>
                <w:p w14:paraId="6859E607">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11~13.5</w:t>
                  </w:r>
                </w:p>
              </w:tc>
              <w:tc>
                <w:tcPr>
                  <w:tcW w:w="1266" w:type="dxa"/>
                  <w:noWrap w:val="0"/>
                  <w:vAlign w:val="center"/>
                </w:tcPr>
                <w:p w14:paraId="33C0841C">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0.0733~0.165</w:t>
                  </w:r>
                </w:p>
              </w:tc>
              <w:tc>
                <w:tcPr>
                  <w:tcW w:w="1069" w:type="dxa"/>
                  <w:noWrap w:val="0"/>
                  <w:vAlign w:val="center"/>
                </w:tcPr>
                <w:p w14:paraId="157A3668">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7.79~8.14</w:t>
                  </w:r>
                </w:p>
              </w:tc>
            </w:tr>
            <w:tr w14:paraId="758F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3" w:type="dxa"/>
                  <w:noWrap w:val="0"/>
                  <w:vAlign w:val="center"/>
                </w:tcPr>
                <w:p w14:paraId="0066D83F">
                  <w:pPr>
                    <w:pStyle w:val="85"/>
                    <w:spacing w:after="0"/>
                    <w:ind w:left="0" w:leftChars="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w:t>
                  </w:r>
                  <w:r>
                    <w:rPr>
                      <w:rFonts w:hint="default" w:ascii="Times New Roman" w:hAnsi="Times New Roman" w:cs="Times New Roman"/>
                      <w:color w:val="auto"/>
                      <w:sz w:val="18"/>
                      <w:szCs w:val="18"/>
                      <w:highlight w:val="none"/>
                      <w:lang w:val="en-US" w:eastAsia="zh-CN"/>
                    </w:rPr>
                    <w:t>4</w:t>
                  </w:r>
                  <w:r>
                    <w:rPr>
                      <w:rFonts w:hint="default" w:ascii="Times New Roman" w:hAnsi="Times New Roman" w:cs="Times New Roman"/>
                      <w:color w:val="auto"/>
                      <w:sz w:val="18"/>
                      <w:szCs w:val="18"/>
                      <w:highlight w:val="none"/>
                    </w:rPr>
                    <w:t>.2</w:t>
                  </w:r>
                </w:p>
              </w:tc>
              <w:tc>
                <w:tcPr>
                  <w:tcW w:w="1208" w:type="dxa"/>
                  <w:noWrap w:val="0"/>
                  <w:vAlign w:val="center"/>
                </w:tcPr>
                <w:p w14:paraId="42732858">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11.6~14.9</w:t>
                  </w:r>
                </w:p>
              </w:tc>
              <w:tc>
                <w:tcPr>
                  <w:tcW w:w="1203" w:type="dxa"/>
                  <w:noWrap w:val="0"/>
                  <w:vAlign w:val="center"/>
                </w:tcPr>
                <w:p w14:paraId="3BFC5D3C">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0.591~2.73</w:t>
                  </w:r>
                </w:p>
              </w:tc>
              <w:tc>
                <w:tcPr>
                  <w:tcW w:w="1203" w:type="dxa"/>
                  <w:noWrap w:val="0"/>
                  <w:vAlign w:val="center"/>
                </w:tcPr>
                <w:p w14:paraId="61A972DA">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3.28~4.56</w:t>
                  </w:r>
                </w:p>
              </w:tc>
              <w:tc>
                <w:tcPr>
                  <w:tcW w:w="1257" w:type="dxa"/>
                  <w:noWrap w:val="0"/>
                  <w:vAlign w:val="center"/>
                </w:tcPr>
                <w:p w14:paraId="1251F0FC">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9.35~14.4</w:t>
                  </w:r>
                </w:p>
              </w:tc>
              <w:tc>
                <w:tcPr>
                  <w:tcW w:w="1266" w:type="dxa"/>
                  <w:noWrap w:val="0"/>
                  <w:vAlign w:val="center"/>
                </w:tcPr>
                <w:p w14:paraId="1061ECA5">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0.648~0.0871</w:t>
                  </w:r>
                </w:p>
              </w:tc>
              <w:tc>
                <w:tcPr>
                  <w:tcW w:w="1069" w:type="dxa"/>
                  <w:noWrap w:val="0"/>
                  <w:vAlign w:val="center"/>
                </w:tcPr>
                <w:p w14:paraId="66CBC9C0">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7.95~8.26</w:t>
                  </w:r>
                </w:p>
              </w:tc>
            </w:tr>
            <w:tr w14:paraId="63F7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3" w:type="dxa"/>
                  <w:noWrap w:val="0"/>
                  <w:vAlign w:val="center"/>
                </w:tcPr>
                <w:p w14:paraId="47F1D061">
                  <w:pPr>
                    <w:pStyle w:val="85"/>
                    <w:spacing w:after="0"/>
                    <w:ind w:left="0" w:leftChars="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w:t>
                  </w:r>
                  <w:r>
                    <w:rPr>
                      <w:rFonts w:hint="default" w:ascii="Times New Roman" w:hAnsi="Times New Roman" w:cs="Times New Roman"/>
                      <w:color w:val="auto"/>
                      <w:sz w:val="18"/>
                      <w:szCs w:val="18"/>
                      <w:highlight w:val="none"/>
                      <w:lang w:val="en-US" w:eastAsia="zh-CN"/>
                    </w:rPr>
                    <w:t>4</w:t>
                  </w:r>
                  <w:r>
                    <w:rPr>
                      <w:rFonts w:hint="default" w:ascii="Times New Roman" w:hAnsi="Times New Roman" w:cs="Times New Roman"/>
                      <w:color w:val="auto"/>
                      <w:sz w:val="18"/>
                      <w:szCs w:val="18"/>
                      <w:highlight w:val="none"/>
                    </w:rPr>
                    <w:t>.3</w:t>
                  </w:r>
                </w:p>
              </w:tc>
              <w:tc>
                <w:tcPr>
                  <w:tcW w:w="1208" w:type="dxa"/>
                  <w:noWrap w:val="0"/>
                  <w:vAlign w:val="center"/>
                </w:tcPr>
                <w:p w14:paraId="7049A851">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11.8~21</w:t>
                  </w:r>
                </w:p>
              </w:tc>
              <w:tc>
                <w:tcPr>
                  <w:tcW w:w="1203" w:type="dxa"/>
                  <w:noWrap w:val="0"/>
                  <w:vAlign w:val="center"/>
                </w:tcPr>
                <w:p w14:paraId="0D9655BB">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0.67~5.29</w:t>
                  </w:r>
                </w:p>
              </w:tc>
              <w:tc>
                <w:tcPr>
                  <w:tcW w:w="1203" w:type="dxa"/>
                  <w:noWrap w:val="0"/>
                  <w:vAlign w:val="center"/>
                </w:tcPr>
                <w:p w14:paraId="23DD85FE">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3.87~6.84</w:t>
                  </w:r>
                </w:p>
              </w:tc>
              <w:tc>
                <w:tcPr>
                  <w:tcW w:w="1257" w:type="dxa"/>
                  <w:noWrap w:val="0"/>
                  <w:vAlign w:val="center"/>
                </w:tcPr>
                <w:p w14:paraId="3D4D2188">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5.72~13</w:t>
                  </w:r>
                </w:p>
              </w:tc>
              <w:tc>
                <w:tcPr>
                  <w:tcW w:w="1266" w:type="dxa"/>
                  <w:noWrap w:val="0"/>
                  <w:vAlign w:val="center"/>
                </w:tcPr>
                <w:p w14:paraId="65BC375C">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0.0628~0.145</w:t>
                  </w:r>
                </w:p>
              </w:tc>
              <w:tc>
                <w:tcPr>
                  <w:tcW w:w="1069" w:type="dxa"/>
                  <w:noWrap w:val="0"/>
                  <w:vAlign w:val="center"/>
                </w:tcPr>
                <w:p w14:paraId="36F657D8">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7.68~8.13</w:t>
                  </w:r>
                </w:p>
              </w:tc>
            </w:tr>
            <w:tr w14:paraId="6C35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3" w:type="dxa"/>
                  <w:noWrap w:val="0"/>
                  <w:vAlign w:val="center"/>
                </w:tcPr>
                <w:p w14:paraId="087F819F">
                  <w:pPr>
                    <w:pStyle w:val="85"/>
                    <w:spacing w:after="0"/>
                    <w:ind w:left="0" w:leftChars="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w:t>
                  </w:r>
                  <w:r>
                    <w:rPr>
                      <w:rFonts w:hint="default" w:ascii="Times New Roman" w:hAnsi="Times New Roman" w:cs="Times New Roman"/>
                      <w:color w:val="auto"/>
                      <w:sz w:val="18"/>
                      <w:szCs w:val="18"/>
                      <w:highlight w:val="none"/>
                      <w:lang w:val="en-US" w:eastAsia="zh-CN"/>
                    </w:rPr>
                    <w:t>4</w:t>
                  </w:r>
                  <w:r>
                    <w:rPr>
                      <w:rFonts w:hint="default" w:ascii="Times New Roman" w:hAnsi="Times New Roman" w:cs="Times New Roman"/>
                      <w:color w:val="auto"/>
                      <w:sz w:val="18"/>
                      <w:szCs w:val="18"/>
                      <w:highlight w:val="none"/>
                    </w:rPr>
                    <w:t>.4</w:t>
                  </w:r>
                </w:p>
              </w:tc>
              <w:tc>
                <w:tcPr>
                  <w:tcW w:w="1208" w:type="dxa"/>
                  <w:noWrap w:val="0"/>
                  <w:vAlign w:val="center"/>
                </w:tcPr>
                <w:p w14:paraId="333BDE9A">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13.2~21</w:t>
                  </w:r>
                </w:p>
              </w:tc>
              <w:tc>
                <w:tcPr>
                  <w:tcW w:w="1203" w:type="dxa"/>
                  <w:noWrap w:val="0"/>
                  <w:vAlign w:val="center"/>
                </w:tcPr>
                <w:p w14:paraId="0E755AB2">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1.69~11.6</w:t>
                  </w:r>
                </w:p>
              </w:tc>
              <w:tc>
                <w:tcPr>
                  <w:tcW w:w="1203" w:type="dxa"/>
                  <w:noWrap w:val="0"/>
                  <w:vAlign w:val="center"/>
                </w:tcPr>
                <w:p w14:paraId="354267A4">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5.59~7.23</w:t>
                  </w:r>
                </w:p>
              </w:tc>
              <w:tc>
                <w:tcPr>
                  <w:tcW w:w="1257" w:type="dxa"/>
                  <w:noWrap w:val="0"/>
                  <w:vAlign w:val="center"/>
                </w:tcPr>
                <w:p w14:paraId="703415E4">
                  <w:pPr>
                    <w:pStyle w:val="85"/>
                    <w:spacing w:after="0"/>
                    <w:ind w:left="0" w:leftChars="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4.37~12.3</w:t>
                  </w:r>
                </w:p>
              </w:tc>
              <w:tc>
                <w:tcPr>
                  <w:tcW w:w="1266" w:type="dxa"/>
                  <w:noWrap w:val="0"/>
                  <w:vAlign w:val="center"/>
                </w:tcPr>
                <w:p w14:paraId="25DA239C">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0.0842~0.172</w:t>
                  </w:r>
                </w:p>
              </w:tc>
              <w:tc>
                <w:tcPr>
                  <w:tcW w:w="1069" w:type="dxa"/>
                  <w:noWrap w:val="0"/>
                  <w:vAlign w:val="center"/>
                </w:tcPr>
                <w:p w14:paraId="73FACC53">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7.42~7.96</w:t>
                  </w:r>
                </w:p>
              </w:tc>
            </w:tr>
            <w:tr w14:paraId="6CA8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3" w:type="dxa"/>
                  <w:noWrap w:val="0"/>
                  <w:vAlign w:val="center"/>
                </w:tcPr>
                <w:p w14:paraId="6E659860">
                  <w:pPr>
                    <w:pStyle w:val="85"/>
                    <w:spacing w:after="0"/>
                    <w:ind w:left="0" w:leftChars="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w:t>
                  </w:r>
                  <w:r>
                    <w:rPr>
                      <w:rFonts w:hint="default" w:ascii="Times New Roman" w:hAnsi="Times New Roman" w:cs="Times New Roman"/>
                      <w:color w:val="auto"/>
                      <w:sz w:val="18"/>
                      <w:szCs w:val="18"/>
                      <w:highlight w:val="none"/>
                      <w:lang w:val="en-US" w:eastAsia="zh-CN"/>
                    </w:rPr>
                    <w:t>4</w:t>
                  </w:r>
                  <w:r>
                    <w:rPr>
                      <w:rFonts w:hint="default" w:ascii="Times New Roman" w:hAnsi="Times New Roman" w:cs="Times New Roman"/>
                      <w:color w:val="auto"/>
                      <w:sz w:val="18"/>
                      <w:szCs w:val="18"/>
                      <w:highlight w:val="none"/>
                    </w:rPr>
                    <w:t>.5</w:t>
                  </w:r>
                </w:p>
              </w:tc>
              <w:tc>
                <w:tcPr>
                  <w:tcW w:w="1208" w:type="dxa"/>
                  <w:noWrap w:val="0"/>
                  <w:vAlign w:val="center"/>
                </w:tcPr>
                <w:p w14:paraId="382475DA">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14.6~30.3</w:t>
                  </w:r>
                </w:p>
              </w:tc>
              <w:tc>
                <w:tcPr>
                  <w:tcW w:w="1203" w:type="dxa"/>
                  <w:noWrap w:val="0"/>
                  <w:vAlign w:val="center"/>
                </w:tcPr>
                <w:p w14:paraId="3BAA04B4">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0.702~6.31</w:t>
                  </w:r>
                </w:p>
              </w:tc>
              <w:tc>
                <w:tcPr>
                  <w:tcW w:w="1203" w:type="dxa"/>
                  <w:noWrap w:val="0"/>
                  <w:vAlign w:val="center"/>
                </w:tcPr>
                <w:p w14:paraId="75856E8C">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5.75~9.07</w:t>
                  </w:r>
                </w:p>
              </w:tc>
              <w:tc>
                <w:tcPr>
                  <w:tcW w:w="1257" w:type="dxa"/>
                  <w:noWrap w:val="0"/>
                  <w:vAlign w:val="center"/>
                </w:tcPr>
                <w:p w14:paraId="00BF12D7">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4.02~12.6</w:t>
                  </w:r>
                </w:p>
              </w:tc>
              <w:tc>
                <w:tcPr>
                  <w:tcW w:w="1266" w:type="dxa"/>
                  <w:noWrap w:val="0"/>
                  <w:vAlign w:val="center"/>
                </w:tcPr>
                <w:p w14:paraId="5E22D7AC">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0.0803~0.246</w:t>
                  </w:r>
                </w:p>
              </w:tc>
              <w:tc>
                <w:tcPr>
                  <w:tcW w:w="1069" w:type="dxa"/>
                  <w:noWrap w:val="0"/>
                  <w:vAlign w:val="center"/>
                </w:tcPr>
                <w:p w14:paraId="65B6E0AD">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7.51~8.05</w:t>
                  </w:r>
                </w:p>
              </w:tc>
            </w:tr>
            <w:tr w14:paraId="1268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3" w:type="dxa"/>
                  <w:noWrap w:val="0"/>
                  <w:vAlign w:val="center"/>
                </w:tcPr>
                <w:p w14:paraId="64A629E8">
                  <w:pPr>
                    <w:pStyle w:val="85"/>
                    <w:spacing w:after="0"/>
                    <w:ind w:left="0" w:leftChars="0" w:firstLine="0" w:firstLine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202</w:t>
                  </w:r>
                  <w:r>
                    <w:rPr>
                      <w:rFonts w:hint="default" w:ascii="Times New Roman" w:hAnsi="Times New Roman" w:cs="Times New Roman"/>
                      <w:color w:val="auto"/>
                      <w:sz w:val="18"/>
                      <w:szCs w:val="18"/>
                      <w:highlight w:val="none"/>
                      <w:lang w:val="en-US" w:eastAsia="zh-CN"/>
                    </w:rPr>
                    <w:t>4</w:t>
                  </w:r>
                  <w:r>
                    <w:rPr>
                      <w:rFonts w:hint="default" w:ascii="Times New Roman" w:hAnsi="Times New Roman" w:cs="Times New Roman"/>
                      <w:color w:val="auto"/>
                      <w:sz w:val="18"/>
                      <w:szCs w:val="18"/>
                      <w:highlight w:val="none"/>
                    </w:rPr>
                    <w:t>.6</w:t>
                  </w:r>
                </w:p>
              </w:tc>
              <w:tc>
                <w:tcPr>
                  <w:tcW w:w="1208" w:type="dxa"/>
                  <w:noWrap w:val="0"/>
                  <w:vAlign w:val="center"/>
                </w:tcPr>
                <w:p w14:paraId="1BF568CE">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16.3~23.6</w:t>
                  </w:r>
                </w:p>
              </w:tc>
              <w:tc>
                <w:tcPr>
                  <w:tcW w:w="1203" w:type="dxa"/>
                  <w:noWrap w:val="0"/>
                  <w:vAlign w:val="center"/>
                </w:tcPr>
                <w:p w14:paraId="0D92FF6B">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1.64~5.75</w:t>
                  </w:r>
                </w:p>
              </w:tc>
              <w:tc>
                <w:tcPr>
                  <w:tcW w:w="1203" w:type="dxa"/>
                  <w:noWrap w:val="0"/>
                  <w:vAlign w:val="center"/>
                </w:tcPr>
                <w:p w14:paraId="1FACC090">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6.73~8.85</w:t>
                  </w:r>
                </w:p>
              </w:tc>
              <w:tc>
                <w:tcPr>
                  <w:tcW w:w="1257" w:type="dxa"/>
                  <w:noWrap w:val="0"/>
                  <w:vAlign w:val="center"/>
                </w:tcPr>
                <w:p w14:paraId="03261C36">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4.33~13.8</w:t>
                  </w:r>
                </w:p>
              </w:tc>
              <w:tc>
                <w:tcPr>
                  <w:tcW w:w="1266" w:type="dxa"/>
                  <w:noWrap w:val="0"/>
                  <w:vAlign w:val="center"/>
                </w:tcPr>
                <w:p w14:paraId="3BF74788">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0.0831~0.115</w:t>
                  </w:r>
                </w:p>
              </w:tc>
              <w:tc>
                <w:tcPr>
                  <w:tcW w:w="1069" w:type="dxa"/>
                  <w:noWrap w:val="0"/>
                  <w:vAlign w:val="center"/>
                </w:tcPr>
                <w:p w14:paraId="2C67FBB4">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7.62~8.13</w:t>
                  </w:r>
                </w:p>
              </w:tc>
            </w:tr>
            <w:tr w14:paraId="6B73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13" w:type="dxa"/>
                  <w:noWrap w:val="0"/>
                  <w:vAlign w:val="center"/>
                </w:tcPr>
                <w:p w14:paraId="7D39ADB2">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标准值</w:t>
                  </w:r>
                </w:p>
              </w:tc>
              <w:tc>
                <w:tcPr>
                  <w:tcW w:w="1208" w:type="dxa"/>
                  <w:noWrap w:val="0"/>
                  <w:vAlign w:val="center"/>
                </w:tcPr>
                <w:p w14:paraId="5BC41FC6">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≤40</w:t>
                  </w:r>
                </w:p>
              </w:tc>
              <w:tc>
                <w:tcPr>
                  <w:tcW w:w="1203" w:type="dxa"/>
                  <w:noWrap w:val="0"/>
                  <w:vAlign w:val="center"/>
                </w:tcPr>
                <w:p w14:paraId="7F2C482F">
                  <w:pPr>
                    <w:pStyle w:val="85"/>
                    <w:spacing w:after="0"/>
                    <w:ind w:left="0" w:leftChars="0" w:firstLine="0" w:firstLineChars="0"/>
                    <w:jc w:val="center"/>
                    <w:rPr>
                      <w:rFonts w:hint="default" w:ascii="Times New Roman" w:hAnsi="Times New Roman" w:cs="Times New Roman"/>
                      <w:color w:val="auto"/>
                      <w:sz w:val="18"/>
                      <w:szCs w:val="18"/>
                      <w:highlight w:val="none"/>
                      <w:lang w:val="en-US"/>
                    </w:rPr>
                  </w:pPr>
                  <w:r>
                    <w:rPr>
                      <w:rFonts w:hint="default" w:ascii="Times New Roman" w:hAnsi="Times New Roman" w:cs="Times New Roman"/>
                      <w:color w:val="auto"/>
                      <w:sz w:val="18"/>
                      <w:szCs w:val="18"/>
                      <w:highlight w:val="none"/>
                      <w:lang w:val="en-US" w:eastAsia="zh-CN"/>
                    </w:rPr>
                    <w:t>≤2</w:t>
                  </w:r>
                </w:p>
              </w:tc>
              <w:tc>
                <w:tcPr>
                  <w:tcW w:w="1203" w:type="dxa"/>
                  <w:noWrap w:val="0"/>
                  <w:vAlign w:val="center"/>
                </w:tcPr>
                <w:p w14:paraId="6E3B5EB8">
                  <w:pPr>
                    <w:pStyle w:val="85"/>
                    <w:spacing w:after="0"/>
                    <w:ind w:left="0" w:leftChars="0" w:firstLine="0" w:firstLineChars="0"/>
                    <w:jc w:val="center"/>
                    <w:rPr>
                      <w:rFonts w:hint="default" w:ascii="Times New Roman" w:hAnsi="Times New Roman" w:cs="Times New Roman"/>
                      <w:color w:val="auto"/>
                      <w:sz w:val="18"/>
                      <w:szCs w:val="18"/>
                      <w:highlight w:val="none"/>
                      <w:lang w:val="en-US"/>
                    </w:rPr>
                  </w:pPr>
                  <w:r>
                    <w:rPr>
                      <w:rFonts w:hint="default" w:ascii="Times New Roman" w:hAnsi="Times New Roman" w:cs="Times New Roman"/>
                      <w:color w:val="auto"/>
                      <w:sz w:val="18"/>
                      <w:szCs w:val="18"/>
                      <w:highlight w:val="none"/>
                      <w:lang w:val="en-US" w:eastAsia="zh-CN"/>
                    </w:rPr>
                    <w:t>≤15</w:t>
                  </w:r>
                </w:p>
              </w:tc>
              <w:tc>
                <w:tcPr>
                  <w:tcW w:w="1257" w:type="dxa"/>
                  <w:noWrap w:val="0"/>
                  <w:vAlign w:val="center"/>
                </w:tcPr>
                <w:p w14:paraId="3718D2C0">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w:t>
                  </w:r>
                </w:p>
              </w:tc>
              <w:tc>
                <w:tcPr>
                  <w:tcW w:w="1266" w:type="dxa"/>
                  <w:noWrap w:val="0"/>
                  <w:vAlign w:val="center"/>
                </w:tcPr>
                <w:p w14:paraId="7CFB1AAB">
                  <w:pPr>
                    <w:pStyle w:val="85"/>
                    <w:spacing w:after="0"/>
                    <w:ind w:left="0" w:leftChars="0" w:firstLine="0" w:firstLineChars="0"/>
                    <w:jc w:val="center"/>
                    <w:rPr>
                      <w:rFonts w:hint="default" w:ascii="Times New Roman" w:hAnsi="Times New Roman" w:cs="Times New Roman"/>
                      <w:color w:val="auto"/>
                      <w:sz w:val="18"/>
                      <w:szCs w:val="18"/>
                      <w:highlight w:val="none"/>
                      <w:lang w:val="en-US"/>
                    </w:rPr>
                  </w:pPr>
                  <w:r>
                    <w:rPr>
                      <w:rFonts w:hint="default" w:ascii="Times New Roman" w:hAnsi="Times New Roman" w:cs="Times New Roman"/>
                      <w:color w:val="auto"/>
                      <w:sz w:val="18"/>
                      <w:szCs w:val="18"/>
                      <w:highlight w:val="none"/>
                      <w:lang w:val="en-US" w:eastAsia="zh-CN"/>
                    </w:rPr>
                    <w:t>≤0.4</w:t>
                  </w:r>
                </w:p>
              </w:tc>
              <w:tc>
                <w:tcPr>
                  <w:tcW w:w="1069" w:type="dxa"/>
                  <w:noWrap w:val="0"/>
                  <w:vAlign w:val="center"/>
                </w:tcPr>
                <w:p w14:paraId="06A204E9">
                  <w:pPr>
                    <w:pStyle w:val="85"/>
                    <w:spacing w:after="0"/>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6~9</w:t>
                  </w:r>
                </w:p>
              </w:tc>
            </w:tr>
          </w:tbl>
          <w:p w14:paraId="4A4BD489">
            <w:pPr>
              <w:tabs>
                <w:tab w:val="left" w:pos="600"/>
              </w:tabs>
              <w:adjustRightInd w:val="0"/>
              <w:snapToGrid w:val="0"/>
              <w:spacing w:line="360" w:lineRule="auto"/>
              <w:ind w:firstLine="420" w:firstLineChars="200"/>
              <w:rPr>
                <w:rFonts w:hint="default" w:ascii="Times New Roman" w:hAnsi="Times New Roman" w:eastAsia="宋体" w:cs="Times New Roman"/>
                <w:bCs/>
                <w:color w:val="auto"/>
                <w:highlight w:val="none"/>
                <w:lang w:val="en-US" w:eastAsia="zh-CN" w:bidi="ar"/>
              </w:rPr>
            </w:pPr>
            <w:r>
              <w:rPr>
                <w:rFonts w:hint="default" w:ascii="Times New Roman" w:hAnsi="Times New Roman" w:cs="Times New Roman"/>
                <w:bCs/>
                <w:color w:val="auto"/>
                <w:highlight w:val="none"/>
                <w:lang w:val="en-US" w:eastAsia="zh-CN" w:bidi="ar"/>
              </w:rPr>
              <w:t>备注：数据来源于淄博市环境自动监测监控系统</w:t>
            </w:r>
          </w:p>
          <w:p w14:paraId="14066A6B">
            <w:pPr>
              <w:spacing w:line="360" w:lineRule="auto"/>
              <w:ind w:firstLine="420" w:firstLineChars="200"/>
              <w:rPr>
                <w:rFonts w:hint="default" w:ascii="Times New Roman" w:hAnsi="Times New Roman" w:cs="Times New Roman" w:eastAsiaTheme="minorEastAsia"/>
                <w:color w:val="auto"/>
              </w:rPr>
            </w:pPr>
            <w:r>
              <w:rPr>
                <w:rFonts w:hint="default" w:ascii="Times New Roman" w:hAnsi="Times New Roman" w:cs="Times New Roman"/>
                <w:bCs/>
                <w:color w:val="auto"/>
                <w:highlight w:val="none"/>
                <w:lang w:bidi="ar"/>
              </w:rPr>
              <w:t>根据断面例行监测数据，孝妇河南外环断面各例行监测因子浓度除氨氮外均能满足《地表水环境质量标准》</w:t>
            </w:r>
            <w:r>
              <w:rPr>
                <w:rFonts w:hint="default" w:ascii="Times New Roman" w:hAnsi="Times New Roman" w:cs="Times New Roman"/>
                <w:bCs/>
                <w:color w:val="auto"/>
                <w:highlight w:val="none"/>
                <w:lang w:eastAsia="zh-CN" w:bidi="ar"/>
              </w:rPr>
              <w:t>（</w:t>
            </w:r>
            <w:r>
              <w:rPr>
                <w:rFonts w:hint="default" w:ascii="Times New Roman" w:hAnsi="Times New Roman" w:cs="Times New Roman"/>
                <w:bCs/>
                <w:color w:val="auto"/>
                <w:highlight w:val="none"/>
                <w:lang w:bidi="ar"/>
              </w:rPr>
              <w:t>GB3838-2002</w:t>
            </w:r>
            <w:r>
              <w:rPr>
                <w:rFonts w:hint="default" w:ascii="Times New Roman" w:hAnsi="Times New Roman" w:cs="Times New Roman"/>
                <w:bCs/>
                <w:color w:val="auto"/>
                <w:highlight w:val="none"/>
                <w:lang w:eastAsia="zh-CN" w:bidi="ar"/>
              </w:rPr>
              <w:t>）</w:t>
            </w:r>
            <w:r>
              <w:rPr>
                <w:rFonts w:hint="default" w:ascii="Times New Roman" w:hAnsi="Times New Roman" w:cs="Times New Roman"/>
                <w:bCs/>
                <w:color w:val="auto"/>
                <w:highlight w:val="none"/>
                <w:lang w:bidi="ar"/>
              </w:rPr>
              <w:t>中的V类标准要求，</w:t>
            </w:r>
            <w:r>
              <w:rPr>
                <w:rFonts w:hint="default" w:ascii="Times New Roman" w:hAnsi="Times New Roman" w:cs="Times New Roman"/>
                <w:bCs/>
                <w:color w:val="auto"/>
                <w:highlight w:val="none"/>
                <w:lang w:eastAsia="zh-CN" w:bidi="ar"/>
              </w:rPr>
              <w:t>氨</w:t>
            </w:r>
            <w:r>
              <w:rPr>
                <w:rFonts w:hint="default" w:ascii="Times New Roman" w:hAnsi="Times New Roman" w:cs="Times New Roman"/>
                <w:bCs/>
                <w:color w:val="auto"/>
                <w:highlight w:val="none"/>
                <w:lang w:bidi="ar"/>
              </w:rPr>
              <w:t>氮超标主要与孝妇河河道治理工程有关</w:t>
            </w:r>
            <w:r>
              <w:rPr>
                <w:rFonts w:hint="default" w:ascii="Times New Roman" w:hAnsi="Times New Roman" w:cs="Times New Roman" w:eastAsiaTheme="minorEastAsia"/>
                <w:color w:val="auto"/>
              </w:rPr>
              <w:t>。</w:t>
            </w:r>
          </w:p>
          <w:p w14:paraId="17B4F790">
            <w:pPr>
              <w:spacing w:line="360" w:lineRule="auto"/>
              <w:ind w:firstLine="420" w:firstLineChars="20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3、声环境质量</w:t>
            </w:r>
          </w:p>
          <w:p w14:paraId="6CCEA450">
            <w:pPr>
              <w:widowControl/>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eastAsiaTheme="minorEastAsia"/>
                <w:color w:val="auto"/>
                <w:szCs w:val="21"/>
              </w:rPr>
              <w:t>经现场勘查，项目区周围为道路或其他企业，厂界外周边50米范围内无声环境保护目标</w:t>
            </w:r>
            <w:r>
              <w:rPr>
                <w:rFonts w:hint="eastAsia" w:cs="Times New Roman" w:eastAsiaTheme="minorEastAsia"/>
                <w:color w:val="auto"/>
                <w:szCs w:val="21"/>
                <w:lang w:eastAsia="zh-CN"/>
              </w:rPr>
              <w:t>，</w:t>
            </w:r>
            <w:r>
              <w:rPr>
                <w:rFonts w:hint="eastAsia" w:cs="Times New Roman" w:eastAsiaTheme="minorEastAsia"/>
                <w:color w:val="auto"/>
                <w:szCs w:val="21"/>
                <w:lang w:val="en-US" w:eastAsia="zh-CN"/>
              </w:rPr>
              <w:t>满足《声环境质量标准》(GB3096-2008)中的2类标准</w:t>
            </w:r>
            <w:r>
              <w:rPr>
                <w:rFonts w:hint="default" w:ascii="Times New Roman" w:hAnsi="Times New Roman" w:cs="Times New Roman"/>
                <w:color w:val="auto"/>
                <w:szCs w:val="21"/>
              </w:rPr>
              <w:t>。</w:t>
            </w:r>
          </w:p>
          <w:p w14:paraId="354D3457">
            <w:pPr>
              <w:spacing w:line="360" w:lineRule="auto"/>
              <w:ind w:firstLine="420" w:firstLineChars="20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4、地下水、土壤</w:t>
            </w:r>
          </w:p>
          <w:p w14:paraId="6504360D">
            <w:pPr>
              <w:adjustRightInd w:val="0"/>
              <w:snapToGrid w:val="0"/>
              <w:spacing w:line="360" w:lineRule="auto"/>
              <w:ind w:firstLine="420" w:firstLineChars="200"/>
              <w:rPr>
                <w:rFonts w:hint="default" w:ascii="Times New Roman" w:hAnsi="Times New Roman" w:cs="Times New Roman" w:eastAsiaTheme="minorEastAsia"/>
                <w:color w:val="auto"/>
              </w:rPr>
            </w:pPr>
            <w:r>
              <w:rPr>
                <w:rFonts w:hint="eastAsia" w:cs="Times New Roman" w:eastAsiaTheme="minorEastAsia"/>
                <w:color w:val="auto"/>
                <w:lang w:eastAsia="zh-CN"/>
              </w:rPr>
              <w:t>本项目</w:t>
            </w:r>
            <w:r>
              <w:rPr>
                <w:rFonts w:hint="default" w:ascii="Times New Roman" w:hAnsi="Times New Roman" w:cs="Times New Roman" w:eastAsiaTheme="minorEastAsia"/>
                <w:color w:val="auto"/>
              </w:rPr>
              <w:t>在落实本环评提出的分区防控措施后，营运期正常情况下几乎切断了垂直入渗和大气沉降的影响途径，本项目的建设对周围地下水和土壤影响较小，可不开展环境质量现状调查。</w:t>
            </w:r>
          </w:p>
          <w:p w14:paraId="4D8C9125">
            <w:pPr>
              <w:spacing w:line="360" w:lineRule="auto"/>
              <w:ind w:firstLine="420" w:firstLineChars="20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5、生态环境</w:t>
            </w:r>
          </w:p>
          <w:p w14:paraId="73F3D514">
            <w:pPr>
              <w:spacing w:line="360" w:lineRule="auto"/>
              <w:ind w:firstLine="420" w:firstLineChars="200"/>
              <w:rPr>
                <w:rFonts w:hint="default" w:ascii="Times New Roman" w:hAnsi="Times New Roman" w:eastAsia="Calibri" w:cs="Times New Roman"/>
                <w:color w:val="auto"/>
                <w:sz w:val="22"/>
                <w:szCs w:val="22"/>
              </w:rPr>
            </w:pPr>
            <w:r>
              <w:rPr>
                <w:rFonts w:hint="eastAsia" w:cs="Times New Roman"/>
                <w:color w:val="auto"/>
                <w:lang w:eastAsia="zh-CN"/>
              </w:rPr>
              <w:t>本项目</w:t>
            </w:r>
            <w:r>
              <w:rPr>
                <w:rFonts w:hint="default" w:ascii="Times New Roman" w:hAnsi="Times New Roman" w:cs="Times New Roman"/>
                <w:color w:val="auto"/>
              </w:rPr>
              <w:t>利用现有车间技改，不新增占地，用地范围内无生态环境保护目标，无需进行生态现状调查。</w:t>
            </w:r>
          </w:p>
          <w:p w14:paraId="0C3EA4EA">
            <w:pPr>
              <w:spacing w:line="360" w:lineRule="auto"/>
              <w:ind w:firstLine="420" w:firstLineChars="20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6、电磁辐射</w:t>
            </w:r>
          </w:p>
          <w:p w14:paraId="5478E382">
            <w:pPr>
              <w:widowControl/>
              <w:spacing w:line="360" w:lineRule="auto"/>
              <w:ind w:firstLine="420" w:firstLineChars="200"/>
              <w:rPr>
                <w:rFonts w:hint="default" w:ascii="Times New Roman" w:hAnsi="Times New Roman" w:cs="Times New Roman"/>
                <w:color w:val="FF0000"/>
                <w:szCs w:val="21"/>
              </w:rPr>
            </w:pPr>
            <w:r>
              <w:rPr>
                <w:rFonts w:hint="default" w:ascii="Times New Roman" w:hAnsi="Times New Roman" w:cs="Times New Roman"/>
                <w:color w:val="auto"/>
                <w:szCs w:val="21"/>
              </w:rPr>
              <w:t>项目不属于新建或改建、扩建广播电台、差转台、电视塔台、卫星地球上行站、雷达等电磁辐射类项目，无需对电磁辐射现状开展监测与评价。</w:t>
            </w:r>
          </w:p>
        </w:tc>
      </w:tr>
      <w:tr w14:paraId="70DE42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00" w:type="dxa"/>
            <w:vAlign w:val="center"/>
          </w:tcPr>
          <w:p w14:paraId="6D02A813">
            <w:pPr>
              <w:adjustRightInd w:val="0"/>
              <w:snapToGrid w:val="0"/>
              <w:spacing w:line="42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w:t>
            </w:r>
          </w:p>
          <w:p w14:paraId="1BFD14BE">
            <w:pPr>
              <w:adjustRightInd w:val="0"/>
              <w:snapToGrid w:val="0"/>
              <w:spacing w:line="42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保护</w:t>
            </w:r>
          </w:p>
          <w:p w14:paraId="2522BB30">
            <w:pPr>
              <w:adjustRightInd w:val="0"/>
              <w:snapToGrid w:val="0"/>
              <w:spacing w:line="42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目标</w:t>
            </w:r>
          </w:p>
        </w:tc>
        <w:tc>
          <w:tcPr>
            <w:tcW w:w="8190" w:type="dxa"/>
            <w:vAlign w:val="center"/>
          </w:tcPr>
          <w:p w14:paraId="5BF25AD3">
            <w:pPr>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rPr>
              <w:t>本项目厂界500米范围内无自然保护区、风景名胜区、文化区，存在</w:t>
            </w:r>
            <w:r>
              <w:rPr>
                <w:rFonts w:hint="eastAsia" w:cs="Times New Roman"/>
                <w:color w:val="auto"/>
                <w:lang w:val="en-US" w:eastAsia="zh-CN"/>
              </w:rPr>
              <w:t>1</w:t>
            </w:r>
            <w:r>
              <w:rPr>
                <w:rFonts w:hint="default" w:ascii="Times New Roman" w:hAnsi="Times New Roman" w:cs="Times New Roman"/>
                <w:color w:val="auto"/>
                <w:lang w:val="en-US" w:eastAsia="zh-CN"/>
              </w:rPr>
              <w:t>处</w:t>
            </w:r>
            <w:r>
              <w:rPr>
                <w:rFonts w:hint="default" w:ascii="Times New Roman" w:hAnsi="Times New Roman" w:cs="Times New Roman"/>
                <w:color w:val="auto"/>
              </w:rPr>
              <w:t>居住区</w:t>
            </w:r>
            <w:r>
              <w:rPr>
                <w:rFonts w:hint="eastAsia" w:cs="Times New Roman"/>
                <w:color w:val="auto"/>
                <w:lang w:val="en-US" w:eastAsia="zh-CN"/>
              </w:rPr>
              <w:t>和1处医院</w:t>
            </w:r>
            <w:r>
              <w:rPr>
                <w:rFonts w:hint="default" w:ascii="Times New Roman" w:hAnsi="Times New Roman" w:cs="Times New Roman"/>
                <w:color w:val="auto"/>
              </w:rPr>
              <w:t>，</w:t>
            </w:r>
            <w:r>
              <w:rPr>
                <w:rFonts w:hint="default" w:ascii="Times New Roman" w:hAnsi="Times New Roman" w:cs="Times New Roman" w:eastAsiaTheme="minorEastAsia"/>
                <w:color w:val="auto"/>
                <w:szCs w:val="21"/>
              </w:rPr>
              <w:t>厂界500m范围内无地下水集中式饮用水水源和热水、矿泉水、温泉等特殊地下水资源。厂界50米范围内无声环境保护目标。本项目环境保护目标情况一览表见表3-</w:t>
            </w:r>
            <w:r>
              <w:rPr>
                <w:rFonts w:hint="eastAsia" w:cs="Times New Roman" w:eastAsiaTheme="minorEastAsia"/>
                <w:color w:val="auto"/>
                <w:szCs w:val="21"/>
                <w:lang w:val="en-US" w:eastAsia="zh-CN"/>
              </w:rPr>
              <w:t>3</w:t>
            </w:r>
            <w:r>
              <w:rPr>
                <w:rFonts w:hint="default" w:ascii="Times New Roman" w:hAnsi="Times New Roman" w:cs="Times New Roman" w:eastAsiaTheme="minorEastAsia"/>
                <w:color w:val="auto"/>
                <w:szCs w:val="21"/>
              </w:rPr>
              <w:t>。</w:t>
            </w:r>
          </w:p>
          <w:p w14:paraId="3C044184">
            <w:pPr>
              <w:pStyle w:val="1385"/>
              <w:adjustRightInd w:val="0"/>
              <w:snapToGrid w:val="0"/>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表3-</w:t>
            </w:r>
            <w:r>
              <w:rPr>
                <w:rFonts w:hint="eastAsia"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主要环境保护目标一览表</w:t>
            </w:r>
          </w:p>
          <w:tbl>
            <w:tblPr>
              <w:tblStyle w:val="86"/>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2114"/>
              <w:gridCol w:w="2585"/>
              <w:gridCol w:w="1156"/>
              <w:gridCol w:w="1644"/>
            </w:tblGrid>
            <w:tr w14:paraId="7B5E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71" w:type="pct"/>
                  <w:tcBorders>
                    <w:top w:val="single" w:color="auto" w:sz="4" w:space="0"/>
                    <w:left w:val="single" w:color="auto" w:sz="4" w:space="0"/>
                    <w:bottom w:val="single" w:color="auto" w:sz="4" w:space="0"/>
                    <w:right w:val="single" w:color="auto" w:sz="4" w:space="0"/>
                  </w:tcBorders>
                  <w:vAlign w:val="center"/>
                </w:tcPr>
                <w:p w14:paraId="0055FA56">
                  <w:pPr>
                    <w:pStyle w:val="1233"/>
                    <w:adjustRightInd w:val="0"/>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名称</w:t>
                  </w:r>
                </w:p>
              </w:tc>
              <w:tc>
                <w:tcPr>
                  <w:tcW w:w="1220" w:type="pct"/>
                  <w:tcBorders>
                    <w:top w:val="single" w:color="auto" w:sz="4" w:space="0"/>
                    <w:left w:val="single" w:color="auto" w:sz="4" w:space="0"/>
                    <w:bottom w:val="single" w:color="auto" w:sz="4" w:space="0"/>
                    <w:right w:val="single" w:color="auto" w:sz="4" w:space="0"/>
                  </w:tcBorders>
                  <w:vAlign w:val="center"/>
                </w:tcPr>
                <w:p w14:paraId="1D147C71">
                  <w:pPr>
                    <w:pStyle w:val="1233"/>
                    <w:adjustRightInd w:val="0"/>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保护对象</w:t>
                  </w:r>
                </w:p>
              </w:tc>
              <w:tc>
                <w:tcPr>
                  <w:tcW w:w="1492" w:type="pct"/>
                  <w:tcBorders>
                    <w:top w:val="single" w:color="auto" w:sz="4" w:space="0"/>
                    <w:left w:val="single" w:color="auto" w:sz="4" w:space="0"/>
                    <w:bottom w:val="single" w:color="auto" w:sz="4" w:space="0"/>
                    <w:right w:val="single" w:color="auto" w:sz="4" w:space="0"/>
                  </w:tcBorders>
                  <w:vAlign w:val="center"/>
                </w:tcPr>
                <w:p w14:paraId="552934BA">
                  <w:pPr>
                    <w:pStyle w:val="1233"/>
                    <w:adjustRightInd w:val="0"/>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环境功能区</w:t>
                  </w:r>
                </w:p>
              </w:tc>
              <w:tc>
                <w:tcPr>
                  <w:tcW w:w="667" w:type="pct"/>
                  <w:tcBorders>
                    <w:top w:val="single" w:color="auto" w:sz="4" w:space="0"/>
                    <w:left w:val="single" w:color="auto" w:sz="4" w:space="0"/>
                    <w:bottom w:val="single" w:color="auto" w:sz="4" w:space="0"/>
                    <w:right w:val="single" w:color="auto" w:sz="4" w:space="0"/>
                  </w:tcBorders>
                  <w:vAlign w:val="center"/>
                </w:tcPr>
                <w:p w14:paraId="59428DC2">
                  <w:pPr>
                    <w:pStyle w:val="1233"/>
                    <w:adjustRightInd w:val="0"/>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相对厂</w:t>
                  </w:r>
                </w:p>
                <w:p w14:paraId="26914723">
                  <w:pPr>
                    <w:pStyle w:val="1233"/>
                    <w:adjustRightInd w:val="0"/>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址方位</w:t>
                  </w:r>
                </w:p>
              </w:tc>
              <w:tc>
                <w:tcPr>
                  <w:tcW w:w="948" w:type="pct"/>
                  <w:tcBorders>
                    <w:top w:val="single" w:color="auto" w:sz="4" w:space="0"/>
                    <w:left w:val="single" w:color="auto" w:sz="4" w:space="0"/>
                    <w:bottom w:val="single" w:color="auto" w:sz="4" w:space="0"/>
                    <w:right w:val="single" w:color="auto" w:sz="4" w:space="0"/>
                  </w:tcBorders>
                  <w:vAlign w:val="center"/>
                </w:tcPr>
                <w:p w14:paraId="286BCC48">
                  <w:pPr>
                    <w:pStyle w:val="1233"/>
                    <w:adjustRightInd w:val="0"/>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相对厂</w:t>
                  </w:r>
                </w:p>
                <w:p w14:paraId="7328D06C">
                  <w:pPr>
                    <w:pStyle w:val="1233"/>
                    <w:adjustRightInd w:val="0"/>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界距离/m</w:t>
                  </w:r>
                </w:p>
              </w:tc>
            </w:tr>
            <w:tr w14:paraId="1B3B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71" w:type="pct"/>
                  <w:vMerge w:val="restart"/>
                  <w:tcBorders>
                    <w:top w:val="single" w:color="auto" w:sz="4" w:space="0"/>
                    <w:left w:val="single" w:color="auto" w:sz="4" w:space="0"/>
                    <w:right w:val="single" w:color="auto" w:sz="4" w:space="0"/>
                  </w:tcBorders>
                  <w:vAlign w:val="center"/>
                </w:tcPr>
                <w:p w14:paraId="02CA92CB">
                  <w:pPr>
                    <w:pStyle w:val="1233"/>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环境空气</w:t>
                  </w:r>
                </w:p>
              </w:tc>
              <w:tc>
                <w:tcPr>
                  <w:tcW w:w="1220" w:type="pct"/>
                  <w:tcBorders>
                    <w:top w:val="single" w:color="auto" w:sz="4" w:space="0"/>
                    <w:left w:val="single" w:color="auto" w:sz="4" w:space="0"/>
                    <w:right w:val="single" w:color="auto" w:sz="4" w:space="0"/>
                  </w:tcBorders>
                  <w:vAlign w:val="center"/>
                </w:tcPr>
                <w:p w14:paraId="0750D037">
                  <w:pPr>
                    <w:pStyle w:val="1233"/>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光正社区</w:t>
                  </w:r>
                </w:p>
              </w:tc>
              <w:tc>
                <w:tcPr>
                  <w:tcW w:w="1492" w:type="pct"/>
                  <w:vMerge w:val="restart"/>
                  <w:tcBorders>
                    <w:top w:val="single" w:color="auto" w:sz="4" w:space="0"/>
                    <w:left w:val="single" w:color="auto" w:sz="4" w:space="0"/>
                    <w:right w:val="single" w:color="auto" w:sz="4" w:space="0"/>
                  </w:tcBorders>
                  <w:vAlign w:val="center"/>
                </w:tcPr>
                <w:p w14:paraId="25AEB752">
                  <w:pPr>
                    <w:pStyle w:val="1233"/>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《环境空气质量标准》（GB3095-2012）二类</w:t>
                  </w:r>
                </w:p>
              </w:tc>
              <w:tc>
                <w:tcPr>
                  <w:tcW w:w="667" w:type="pct"/>
                  <w:tcBorders>
                    <w:top w:val="single" w:color="auto" w:sz="4" w:space="0"/>
                    <w:left w:val="single" w:color="auto" w:sz="4" w:space="0"/>
                    <w:right w:val="single" w:color="auto" w:sz="4" w:space="0"/>
                  </w:tcBorders>
                  <w:vAlign w:val="center"/>
                </w:tcPr>
                <w:p w14:paraId="4CCC14D5">
                  <w:pPr>
                    <w:pStyle w:val="1233"/>
                    <w:adjustRightInd w:val="0"/>
                    <w:snapToGrid w:val="0"/>
                    <w:jc w:val="center"/>
                    <w:rPr>
                      <w:rFonts w:hint="default" w:ascii="Times New Roman" w:hAnsi="Times New Roman" w:eastAsia="宋体" w:cs="Times New Roman"/>
                      <w:color w:val="auto"/>
                      <w:sz w:val="18"/>
                      <w:szCs w:val="18"/>
                      <w:lang w:eastAsia="zh-CN"/>
                    </w:rPr>
                  </w:pPr>
                  <w:r>
                    <w:rPr>
                      <w:rFonts w:hint="eastAsia" w:cs="Times New Roman"/>
                      <w:color w:val="auto"/>
                      <w:sz w:val="18"/>
                      <w:szCs w:val="18"/>
                      <w:lang w:val="en-US" w:eastAsia="zh-CN"/>
                    </w:rPr>
                    <w:t>NW</w:t>
                  </w:r>
                </w:p>
              </w:tc>
              <w:tc>
                <w:tcPr>
                  <w:tcW w:w="948" w:type="pct"/>
                  <w:tcBorders>
                    <w:top w:val="single" w:color="auto" w:sz="4" w:space="0"/>
                    <w:left w:val="single" w:color="auto" w:sz="4" w:space="0"/>
                    <w:right w:val="single" w:color="auto" w:sz="4" w:space="0"/>
                  </w:tcBorders>
                  <w:vAlign w:val="center"/>
                </w:tcPr>
                <w:p w14:paraId="2CD0338F">
                  <w:pPr>
                    <w:pStyle w:val="1233"/>
                    <w:adjustRightInd w:val="0"/>
                    <w:snapToGrid w:val="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370</w:t>
                  </w:r>
                </w:p>
              </w:tc>
            </w:tr>
            <w:tr w14:paraId="2142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71" w:type="pct"/>
                  <w:vMerge w:val="continue"/>
                  <w:tcBorders>
                    <w:left w:val="single" w:color="auto" w:sz="4" w:space="0"/>
                    <w:right w:val="single" w:color="auto" w:sz="4" w:space="0"/>
                  </w:tcBorders>
                  <w:vAlign w:val="center"/>
                </w:tcPr>
                <w:p w14:paraId="6249894A">
                  <w:pPr>
                    <w:pStyle w:val="1233"/>
                    <w:adjustRightInd w:val="0"/>
                    <w:snapToGrid w:val="0"/>
                    <w:jc w:val="center"/>
                    <w:rPr>
                      <w:rFonts w:hint="default" w:ascii="Times New Roman" w:hAnsi="Times New Roman" w:cs="Times New Roman"/>
                      <w:color w:val="auto"/>
                      <w:sz w:val="18"/>
                      <w:szCs w:val="18"/>
                    </w:rPr>
                  </w:pPr>
                </w:p>
              </w:tc>
              <w:tc>
                <w:tcPr>
                  <w:tcW w:w="1220" w:type="pct"/>
                  <w:tcBorders>
                    <w:top w:val="single" w:color="auto" w:sz="4" w:space="0"/>
                    <w:left w:val="single" w:color="auto" w:sz="4" w:space="0"/>
                    <w:right w:val="single" w:color="auto" w:sz="4" w:space="0"/>
                  </w:tcBorders>
                  <w:vAlign w:val="center"/>
                </w:tcPr>
                <w:p w14:paraId="6A959162">
                  <w:pPr>
                    <w:pStyle w:val="1233"/>
                    <w:adjustRightInd w:val="0"/>
                    <w:snapToGrid w:val="0"/>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de-DE" w:eastAsia="zh-CN"/>
                    </w:rPr>
                    <w:t>淄博光正公司医院</w:t>
                  </w:r>
                </w:p>
              </w:tc>
              <w:tc>
                <w:tcPr>
                  <w:tcW w:w="1492" w:type="pct"/>
                  <w:vMerge w:val="continue"/>
                  <w:tcBorders>
                    <w:left w:val="single" w:color="auto" w:sz="4" w:space="0"/>
                    <w:right w:val="single" w:color="auto" w:sz="4" w:space="0"/>
                  </w:tcBorders>
                  <w:vAlign w:val="center"/>
                </w:tcPr>
                <w:p w14:paraId="5F4FACE0">
                  <w:pPr>
                    <w:pStyle w:val="1233"/>
                    <w:adjustRightInd w:val="0"/>
                    <w:snapToGrid w:val="0"/>
                    <w:jc w:val="center"/>
                    <w:rPr>
                      <w:rFonts w:hint="default" w:ascii="Times New Roman" w:hAnsi="Times New Roman" w:cs="Times New Roman"/>
                      <w:color w:val="auto"/>
                      <w:sz w:val="18"/>
                      <w:szCs w:val="18"/>
                    </w:rPr>
                  </w:pPr>
                </w:p>
              </w:tc>
              <w:tc>
                <w:tcPr>
                  <w:tcW w:w="667" w:type="pct"/>
                  <w:tcBorders>
                    <w:top w:val="single" w:color="auto" w:sz="4" w:space="0"/>
                    <w:left w:val="single" w:color="auto" w:sz="4" w:space="0"/>
                    <w:right w:val="single" w:color="auto" w:sz="4" w:space="0"/>
                  </w:tcBorders>
                  <w:vAlign w:val="center"/>
                </w:tcPr>
                <w:p w14:paraId="601B6837">
                  <w:pPr>
                    <w:pStyle w:val="1233"/>
                    <w:adjustRightInd w:val="0"/>
                    <w:snapToGrid w:val="0"/>
                    <w:jc w:val="center"/>
                    <w:rPr>
                      <w:rFonts w:hint="default" w:ascii="Times New Roman" w:hAnsi="Times New Roman" w:eastAsia="宋体" w:cs="Times New Roman"/>
                      <w:color w:val="auto"/>
                      <w:sz w:val="18"/>
                      <w:szCs w:val="18"/>
                      <w:lang w:eastAsia="zh-CN"/>
                    </w:rPr>
                  </w:pPr>
                  <w:r>
                    <w:rPr>
                      <w:rFonts w:hint="eastAsia" w:cs="Times New Roman"/>
                      <w:color w:val="auto"/>
                      <w:sz w:val="18"/>
                      <w:szCs w:val="18"/>
                      <w:lang w:val="en-US" w:eastAsia="zh-CN"/>
                    </w:rPr>
                    <w:t>NW</w:t>
                  </w:r>
                </w:p>
              </w:tc>
              <w:tc>
                <w:tcPr>
                  <w:tcW w:w="948" w:type="pct"/>
                  <w:tcBorders>
                    <w:top w:val="single" w:color="auto" w:sz="4" w:space="0"/>
                    <w:left w:val="single" w:color="auto" w:sz="4" w:space="0"/>
                    <w:right w:val="single" w:color="auto" w:sz="4" w:space="0"/>
                  </w:tcBorders>
                  <w:vAlign w:val="center"/>
                </w:tcPr>
                <w:p w14:paraId="10237074">
                  <w:pPr>
                    <w:pStyle w:val="1233"/>
                    <w:adjustRightInd w:val="0"/>
                    <w:snapToGrid w:val="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460</w:t>
                  </w:r>
                </w:p>
              </w:tc>
            </w:tr>
            <w:tr w14:paraId="6DCB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1" w:type="pct"/>
                  <w:tcBorders>
                    <w:top w:val="single" w:color="auto" w:sz="4" w:space="0"/>
                    <w:left w:val="single" w:color="auto" w:sz="4" w:space="0"/>
                    <w:bottom w:val="single" w:color="auto" w:sz="4" w:space="0"/>
                    <w:right w:val="single" w:color="auto" w:sz="4" w:space="0"/>
                  </w:tcBorders>
                  <w:vAlign w:val="center"/>
                </w:tcPr>
                <w:p w14:paraId="519B73CF">
                  <w:pPr>
                    <w:pStyle w:val="1233"/>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声环境</w:t>
                  </w:r>
                </w:p>
              </w:tc>
              <w:tc>
                <w:tcPr>
                  <w:tcW w:w="2114" w:type="dxa"/>
                  <w:tcBorders>
                    <w:top w:val="single" w:color="auto" w:sz="4" w:space="0"/>
                    <w:left w:val="single" w:color="auto" w:sz="4" w:space="0"/>
                    <w:bottom w:val="single" w:color="auto" w:sz="4" w:space="0"/>
                    <w:right w:val="single" w:color="auto" w:sz="4" w:space="0"/>
                  </w:tcBorders>
                  <w:vAlign w:val="center"/>
                </w:tcPr>
                <w:p w14:paraId="1637D828">
                  <w:pPr>
                    <w:pStyle w:val="1233"/>
                    <w:adjustRightInd w:val="0"/>
                    <w:snapToGrid w:val="0"/>
                    <w:jc w:val="center"/>
                    <w:rPr>
                      <w:rFonts w:hint="default" w:ascii="Times New Roman" w:hAnsi="Times New Roman" w:cs="Times New Roman"/>
                      <w:color w:val="auto"/>
                      <w:sz w:val="18"/>
                      <w:szCs w:val="18"/>
                    </w:rPr>
                  </w:pPr>
                  <w:r>
                    <w:rPr>
                      <w:rFonts w:hint="eastAsia"/>
                      <w:sz w:val="18"/>
                      <w:szCs w:val="18"/>
                      <w:lang w:val="en-US" w:eastAsia="zh-CN"/>
                    </w:rPr>
                    <w:t>50m范围内无声环境保护目标</w:t>
                  </w:r>
                </w:p>
              </w:tc>
              <w:tc>
                <w:tcPr>
                  <w:tcW w:w="2585" w:type="dxa"/>
                  <w:tcBorders>
                    <w:top w:val="single" w:color="auto" w:sz="4" w:space="0"/>
                    <w:left w:val="single" w:color="auto" w:sz="4" w:space="0"/>
                    <w:bottom w:val="single" w:color="auto" w:sz="4" w:space="0"/>
                    <w:right w:val="single" w:color="auto" w:sz="4" w:space="0"/>
                  </w:tcBorders>
                  <w:vAlign w:val="center"/>
                </w:tcPr>
                <w:p w14:paraId="03783C22">
                  <w:pPr>
                    <w:pStyle w:val="1233"/>
                    <w:adjustRightInd w:val="0"/>
                    <w:snapToGrid w:val="0"/>
                    <w:jc w:val="center"/>
                    <w:rPr>
                      <w:rFonts w:hint="default" w:ascii="Times New Roman" w:hAnsi="Times New Roman" w:cs="Times New Roman"/>
                      <w:color w:val="auto"/>
                      <w:sz w:val="18"/>
                      <w:szCs w:val="18"/>
                    </w:rPr>
                  </w:pPr>
                  <w:r>
                    <w:rPr>
                      <w:sz w:val="18"/>
                      <w:szCs w:val="18"/>
                    </w:rPr>
                    <w:t>《声环境质量标准》(GB3096-2008)中的2类标准</w:t>
                  </w:r>
                </w:p>
              </w:tc>
              <w:tc>
                <w:tcPr>
                  <w:tcW w:w="1156" w:type="dxa"/>
                  <w:tcBorders>
                    <w:top w:val="single" w:color="auto" w:sz="4" w:space="0"/>
                    <w:left w:val="single" w:color="auto" w:sz="4" w:space="0"/>
                    <w:bottom w:val="single" w:color="auto" w:sz="4" w:space="0"/>
                    <w:right w:val="single" w:color="auto" w:sz="4" w:space="0"/>
                  </w:tcBorders>
                  <w:vAlign w:val="center"/>
                </w:tcPr>
                <w:p w14:paraId="117885C0">
                  <w:pPr>
                    <w:pStyle w:val="1233"/>
                    <w:adjustRightInd w:val="0"/>
                    <w:snapToGrid w:val="0"/>
                    <w:jc w:val="center"/>
                    <w:rPr>
                      <w:rFonts w:hint="default" w:ascii="Times New Roman" w:hAnsi="Times New Roman" w:cs="Times New Roman"/>
                      <w:color w:val="auto"/>
                      <w:sz w:val="18"/>
                      <w:szCs w:val="18"/>
                    </w:rPr>
                  </w:pPr>
                  <w:r>
                    <w:rPr>
                      <w:rFonts w:hint="eastAsia"/>
                      <w:sz w:val="18"/>
                      <w:szCs w:val="18"/>
                      <w:lang w:val="en-US" w:eastAsia="zh-CN"/>
                    </w:rPr>
                    <w:t>/</w:t>
                  </w:r>
                </w:p>
              </w:tc>
              <w:tc>
                <w:tcPr>
                  <w:tcW w:w="1644" w:type="dxa"/>
                  <w:tcBorders>
                    <w:top w:val="single" w:color="auto" w:sz="4" w:space="0"/>
                    <w:left w:val="single" w:color="auto" w:sz="4" w:space="0"/>
                    <w:bottom w:val="single" w:color="auto" w:sz="4" w:space="0"/>
                    <w:right w:val="single" w:color="auto" w:sz="4" w:space="0"/>
                  </w:tcBorders>
                  <w:vAlign w:val="center"/>
                </w:tcPr>
                <w:p w14:paraId="7086DFA3">
                  <w:pPr>
                    <w:pStyle w:val="1233"/>
                    <w:adjustRightInd w:val="0"/>
                    <w:snapToGrid w:val="0"/>
                    <w:jc w:val="center"/>
                    <w:rPr>
                      <w:rFonts w:hint="default" w:ascii="Times New Roman" w:hAnsi="Times New Roman" w:cs="Times New Roman"/>
                      <w:color w:val="auto"/>
                      <w:sz w:val="18"/>
                      <w:szCs w:val="18"/>
                    </w:rPr>
                  </w:pPr>
                  <w:r>
                    <w:rPr>
                      <w:rFonts w:hint="eastAsia"/>
                      <w:sz w:val="18"/>
                      <w:szCs w:val="18"/>
                      <w:lang w:val="en-US" w:eastAsia="zh-CN"/>
                    </w:rPr>
                    <w:t>/</w:t>
                  </w:r>
                </w:p>
              </w:tc>
            </w:tr>
            <w:tr w14:paraId="0B73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1" w:type="pct"/>
                  <w:tcBorders>
                    <w:top w:val="single" w:color="auto" w:sz="4" w:space="0"/>
                    <w:left w:val="single" w:color="auto" w:sz="4" w:space="0"/>
                    <w:bottom w:val="single" w:color="auto" w:sz="4" w:space="0"/>
                    <w:right w:val="single" w:color="auto" w:sz="4" w:space="0"/>
                  </w:tcBorders>
                  <w:vAlign w:val="center"/>
                </w:tcPr>
                <w:p w14:paraId="333021AE">
                  <w:pPr>
                    <w:pStyle w:val="1233"/>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地表水</w:t>
                  </w:r>
                </w:p>
              </w:tc>
              <w:tc>
                <w:tcPr>
                  <w:tcW w:w="1220" w:type="pct"/>
                  <w:tcBorders>
                    <w:top w:val="single" w:color="auto" w:sz="4" w:space="0"/>
                    <w:left w:val="single" w:color="auto" w:sz="4" w:space="0"/>
                    <w:bottom w:val="single" w:color="auto" w:sz="4" w:space="0"/>
                    <w:right w:val="single" w:color="auto" w:sz="4" w:space="0"/>
                  </w:tcBorders>
                  <w:vAlign w:val="center"/>
                </w:tcPr>
                <w:p w14:paraId="42589BDF">
                  <w:pPr>
                    <w:pStyle w:val="1233"/>
                    <w:adjustRightInd w:val="0"/>
                    <w:snapToGrid w:val="0"/>
                    <w:jc w:val="center"/>
                    <w:rPr>
                      <w:rFonts w:hint="eastAsia" w:ascii="Times New Roman" w:hAnsi="Times New Roman" w:eastAsia="宋体" w:cs="Times New Roman"/>
                      <w:color w:val="auto"/>
                      <w:sz w:val="18"/>
                      <w:szCs w:val="18"/>
                      <w:lang w:eastAsia="zh-CN"/>
                    </w:rPr>
                  </w:pPr>
                  <w:r>
                    <w:rPr>
                      <w:rFonts w:hint="eastAsia" w:cs="Times New Roman"/>
                      <w:color w:val="auto"/>
                      <w:sz w:val="18"/>
                      <w:szCs w:val="18"/>
                      <w:lang w:val="en-US" w:eastAsia="zh-CN"/>
                    </w:rPr>
                    <w:t>孝妇河</w:t>
                  </w:r>
                </w:p>
              </w:tc>
              <w:tc>
                <w:tcPr>
                  <w:tcW w:w="1492" w:type="pct"/>
                  <w:tcBorders>
                    <w:top w:val="single" w:color="auto" w:sz="4" w:space="0"/>
                    <w:left w:val="single" w:color="auto" w:sz="4" w:space="0"/>
                    <w:bottom w:val="single" w:color="auto" w:sz="4" w:space="0"/>
                    <w:right w:val="single" w:color="auto" w:sz="4" w:space="0"/>
                  </w:tcBorders>
                  <w:vAlign w:val="center"/>
                </w:tcPr>
                <w:p w14:paraId="7954A41D">
                  <w:pPr>
                    <w:pStyle w:val="1233"/>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《地表水环境质量标准》（GB3838-2002）V类标准</w:t>
                  </w:r>
                </w:p>
              </w:tc>
              <w:tc>
                <w:tcPr>
                  <w:tcW w:w="667" w:type="pct"/>
                  <w:tcBorders>
                    <w:top w:val="single" w:color="auto" w:sz="4" w:space="0"/>
                    <w:left w:val="single" w:color="auto" w:sz="4" w:space="0"/>
                    <w:bottom w:val="single" w:color="auto" w:sz="4" w:space="0"/>
                    <w:right w:val="single" w:color="auto" w:sz="4" w:space="0"/>
                  </w:tcBorders>
                  <w:vAlign w:val="center"/>
                </w:tcPr>
                <w:p w14:paraId="5713DE6D">
                  <w:pPr>
                    <w:pStyle w:val="1233"/>
                    <w:adjustRightInd w:val="0"/>
                    <w:snapToGrid w:val="0"/>
                    <w:jc w:val="center"/>
                    <w:rPr>
                      <w:rFonts w:hint="default" w:ascii="Times New Roman" w:hAnsi="Times New Roman" w:eastAsia="宋体" w:cs="Times New Roman"/>
                      <w:color w:val="auto"/>
                      <w:sz w:val="18"/>
                      <w:szCs w:val="18"/>
                      <w:lang w:eastAsia="zh-CN"/>
                    </w:rPr>
                  </w:pPr>
                  <w:r>
                    <w:rPr>
                      <w:rFonts w:hint="eastAsia" w:cs="Times New Roman"/>
                      <w:color w:val="auto"/>
                      <w:sz w:val="18"/>
                      <w:szCs w:val="18"/>
                      <w:lang w:val="en-US" w:eastAsia="zh-CN"/>
                    </w:rPr>
                    <w:t>W</w:t>
                  </w:r>
                </w:p>
              </w:tc>
              <w:tc>
                <w:tcPr>
                  <w:tcW w:w="948" w:type="pct"/>
                  <w:tcBorders>
                    <w:top w:val="single" w:color="auto" w:sz="4" w:space="0"/>
                    <w:left w:val="single" w:color="auto" w:sz="4" w:space="0"/>
                    <w:bottom w:val="single" w:color="auto" w:sz="4" w:space="0"/>
                    <w:right w:val="single" w:color="auto" w:sz="4" w:space="0"/>
                  </w:tcBorders>
                  <w:vAlign w:val="center"/>
                </w:tcPr>
                <w:p w14:paraId="037E4109">
                  <w:pPr>
                    <w:pStyle w:val="1233"/>
                    <w:adjustRightInd w:val="0"/>
                    <w:snapToGrid w:val="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1556</w:t>
                  </w:r>
                </w:p>
              </w:tc>
            </w:tr>
            <w:tr w14:paraId="6439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1" w:type="pct"/>
                  <w:tcBorders>
                    <w:top w:val="single" w:color="auto" w:sz="4" w:space="0"/>
                    <w:left w:val="single" w:color="auto" w:sz="4" w:space="0"/>
                    <w:bottom w:val="single" w:color="auto" w:sz="4" w:space="0"/>
                    <w:right w:val="single" w:color="auto" w:sz="4" w:space="0"/>
                  </w:tcBorders>
                  <w:vAlign w:val="center"/>
                </w:tcPr>
                <w:p w14:paraId="0A8D6E06">
                  <w:pPr>
                    <w:pStyle w:val="1233"/>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地下水</w:t>
                  </w:r>
                </w:p>
              </w:tc>
              <w:tc>
                <w:tcPr>
                  <w:tcW w:w="4328" w:type="pct"/>
                  <w:gridSpan w:val="4"/>
                  <w:tcBorders>
                    <w:top w:val="single" w:color="auto" w:sz="4" w:space="0"/>
                    <w:left w:val="single" w:color="auto" w:sz="4" w:space="0"/>
                    <w:bottom w:val="single" w:color="auto" w:sz="4" w:space="0"/>
                    <w:right w:val="single" w:color="auto" w:sz="4" w:space="0"/>
                  </w:tcBorders>
                  <w:vAlign w:val="center"/>
                </w:tcPr>
                <w:p w14:paraId="34738EC8">
                  <w:pPr>
                    <w:pStyle w:val="1233"/>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厂界周边500m范围内无地下水集中式饮用水水源和热水、矿泉水、温泉等特殊地下水资源。</w:t>
                  </w:r>
                </w:p>
              </w:tc>
            </w:tr>
            <w:tr w14:paraId="1CE4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1" w:type="pct"/>
                  <w:tcBorders>
                    <w:top w:val="single" w:color="auto" w:sz="4" w:space="0"/>
                    <w:left w:val="single" w:color="auto" w:sz="4" w:space="0"/>
                    <w:bottom w:val="single" w:color="auto" w:sz="4" w:space="0"/>
                    <w:right w:val="single" w:color="auto" w:sz="4" w:space="0"/>
                  </w:tcBorders>
                  <w:vAlign w:val="center"/>
                </w:tcPr>
                <w:p w14:paraId="6D862306">
                  <w:pPr>
                    <w:pStyle w:val="1233"/>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生态</w:t>
                  </w:r>
                </w:p>
              </w:tc>
              <w:tc>
                <w:tcPr>
                  <w:tcW w:w="4328" w:type="pct"/>
                  <w:gridSpan w:val="4"/>
                  <w:tcBorders>
                    <w:top w:val="single" w:color="auto" w:sz="4" w:space="0"/>
                    <w:left w:val="single" w:color="auto" w:sz="4" w:space="0"/>
                    <w:bottom w:val="single" w:color="auto" w:sz="4" w:space="0"/>
                    <w:right w:val="single" w:color="auto" w:sz="4" w:space="0"/>
                  </w:tcBorders>
                  <w:vAlign w:val="center"/>
                </w:tcPr>
                <w:p w14:paraId="184A4E74">
                  <w:pPr>
                    <w:pStyle w:val="1233"/>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项目用地范围内无生态环境保护目标</w:t>
                  </w:r>
                </w:p>
              </w:tc>
            </w:tr>
          </w:tbl>
          <w:p w14:paraId="690C8D0A">
            <w:pPr>
              <w:pStyle w:val="85"/>
              <w:rPr>
                <w:rFonts w:hint="default" w:ascii="Times New Roman" w:hAnsi="Times New Roman" w:cs="Times New Roman"/>
                <w:color w:val="auto"/>
              </w:rPr>
            </w:pPr>
          </w:p>
        </w:tc>
      </w:tr>
      <w:tr w14:paraId="39CB2F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00" w:type="dxa"/>
            <w:tcMar>
              <w:left w:w="28" w:type="dxa"/>
              <w:right w:w="28" w:type="dxa"/>
            </w:tcMar>
            <w:vAlign w:val="center"/>
          </w:tcPr>
          <w:p w14:paraId="7F48ABC3">
            <w:pPr>
              <w:adjustRightInd w:val="0"/>
              <w:snapToGrid w:val="0"/>
              <w:spacing w:line="42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污染</w:t>
            </w:r>
          </w:p>
          <w:p w14:paraId="430D878C">
            <w:pPr>
              <w:adjustRightInd w:val="0"/>
              <w:snapToGrid w:val="0"/>
              <w:spacing w:line="42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物排</w:t>
            </w:r>
          </w:p>
          <w:p w14:paraId="4656BE3F">
            <w:pPr>
              <w:adjustRightInd w:val="0"/>
              <w:snapToGrid w:val="0"/>
              <w:spacing w:line="42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放控</w:t>
            </w:r>
          </w:p>
          <w:p w14:paraId="62C3A1D2">
            <w:pPr>
              <w:adjustRightInd w:val="0"/>
              <w:snapToGrid w:val="0"/>
              <w:spacing w:line="42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制标</w:t>
            </w:r>
          </w:p>
          <w:p w14:paraId="7CF878B4">
            <w:pPr>
              <w:adjustRightInd w:val="0"/>
              <w:snapToGrid w:val="0"/>
              <w:spacing w:line="42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准</w:t>
            </w:r>
          </w:p>
        </w:tc>
        <w:tc>
          <w:tcPr>
            <w:tcW w:w="8190" w:type="dxa"/>
            <w:vAlign w:val="center"/>
          </w:tcPr>
          <w:p w14:paraId="01A41696">
            <w:pPr>
              <w:autoSpaceDE w:val="0"/>
              <w:autoSpaceDN w:val="0"/>
              <w:adjustRightInd w:val="0"/>
              <w:spacing w:line="360" w:lineRule="auto"/>
              <w:ind w:firstLine="420" w:firstLineChars="200"/>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1、噪声</w:t>
            </w:r>
          </w:p>
          <w:p w14:paraId="08D82C03">
            <w:pPr>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营运期噪声执行《工业企业厂界环境噪声排放标准》（GB12348-2008）2类标准，具体标准值见表3-</w:t>
            </w:r>
            <w:r>
              <w:rPr>
                <w:rFonts w:hint="eastAsia" w:cs="Times New Roman"/>
                <w:color w:val="auto"/>
                <w:szCs w:val="21"/>
                <w:lang w:val="en-US" w:eastAsia="zh-CN"/>
              </w:rPr>
              <w:t>4</w:t>
            </w:r>
            <w:r>
              <w:rPr>
                <w:rFonts w:hint="default" w:ascii="Times New Roman" w:hAnsi="Times New Roman" w:cs="Times New Roman"/>
                <w:color w:val="auto"/>
                <w:szCs w:val="21"/>
              </w:rPr>
              <w:t>。</w:t>
            </w:r>
          </w:p>
          <w:p w14:paraId="5662F510">
            <w:pPr>
              <w:pStyle w:val="1385"/>
              <w:adjustRightInd w:val="0"/>
              <w:snapToGrid w:val="0"/>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表3-</w:t>
            </w:r>
            <w:r>
              <w:rPr>
                <w:rFonts w:hint="eastAsia"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 xml:space="preserve"> 工业企业厂界环境噪声排放标准       单位：dB(A)</w:t>
            </w:r>
          </w:p>
          <w:tbl>
            <w:tblPr>
              <w:tblStyle w:val="86"/>
              <w:tblW w:w="4995" w:type="pct"/>
              <w:jc w:val="center"/>
              <w:tblBorders>
                <w:top w:val="single" w:color="auto" w:sz="2" w:space="0"/>
                <w:left w:val="single" w:color="auto" w:sz="4" w:space="0"/>
                <w:bottom w:val="single" w:color="auto" w:sz="2"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421"/>
              <w:gridCol w:w="1341"/>
              <w:gridCol w:w="1425"/>
              <w:gridCol w:w="4555"/>
            </w:tblGrid>
            <w:tr w14:paraId="22BDDF04">
              <w:tblPrEx>
                <w:tblBorders>
                  <w:top w:val="single" w:color="auto" w:sz="2" w:space="0"/>
                  <w:left w:val="single" w:color="auto" w:sz="4"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79" w:hRule="atLeast"/>
                <w:jc w:val="center"/>
              </w:trPr>
              <w:tc>
                <w:tcPr>
                  <w:tcW w:w="1396" w:type="dxa"/>
                  <w:tcBorders>
                    <w:top w:val="single" w:color="auto" w:sz="2" w:space="0"/>
                    <w:left w:val="single" w:color="auto" w:sz="4" w:space="0"/>
                    <w:bottom w:val="single" w:color="auto" w:sz="2" w:space="0"/>
                    <w:right w:val="single" w:color="auto" w:sz="2" w:space="0"/>
                  </w:tcBorders>
                  <w:vAlign w:val="center"/>
                </w:tcPr>
                <w:p w14:paraId="57847800">
                  <w:pPr>
                    <w:pStyle w:val="1233"/>
                    <w:adjustRightInd w:val="0"/>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类别</w:t>
                  </w:r>
                </w:p>
              </w:tc>
              <w:tc>
                <w:tcPr>
                  <w:tcW w:w="1317" w:type="dxa"/>
                  <w:tcBorders>
                    <w:top w:val="single" w:color="auto" w:sz="2" w:space="0"/>
                    <w:left w:val="single" w:color="auto" w:sz="2" w:space="0"/>
                    <w:bottom w:val="single" w:color="auto" w:sz="2" w:space="0"/>
                    <w:right w:val="single" w:color="auto" w:sz="2" w:space="0"/>
                  </w:tcBorders>
                  <w:vAlign w:val="center"/>
                </w:tcPr>
                <w:p w14:paraId="1B5A1082">
                  <w:pPr>
                    <w:pStyle w:val="1233"/>
                    <w:adjustRightInd w:val="0"/>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昼间</w:t>
                  </w:r>
                </w:p>
              </w:tc>
              <w:tc>
                <w:tcPr>
                  <w:tcW w:w="1400" w:type="dxa"/>
                  <w:tcBorders>
                    <w:top w:val="single" w:color="auto" w:sz="2" w:space="0"/>
                    <w:left w:val="single" w:color="auto" w:sz="2" w:space="0"/>
                    <w:bottom w:val="single" w:color="auto" w:sz="2" w:space="0"/>
                    <w:right w:val="single" w:color="auto" w:sz="2" w:space="0"/>
                  </w:tcBorders>
                  <w:vAlign w:val="center"/>
                </w:tcPr>
                <w:p w14:paraId="43F4414B">
                  <w:pPr>
                    <w:pStyle w:val="1233"/>
                    <w:adjustRightInd w:val="0"/>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夜间</w:t>
                  </w:r>
                </w:p>
              </w:tc>
              <w:tc>
                <w:tcPr>
                  <w:tcW w:w="4474" w:type="dxa"/>
                  <w:tcBorders>
                    <w:top w:val="single" w:color="auto" w:sz="2" w:space="0"/>
                    <w:left w:val="single" w:color="auto" w:sz="2" w:space="0"/>
                    <w:bottom w:val="single" w:color="auto" w:sz="2" w:space="0"/>
                    <w:right w:val="single" w:color="auto" w:sz="4" w:space="0"/>
                  </w:tcBorders>
                  <w:vAlign w:val="center"/>
                </w:tcPr>
                <w:p w14:paraId="7BE3BACF">
                  <w:pPr>
                    <w:pStyle w:val="1233"/>
                    <w:adjustRightInd w:val="0"/>
                    <w:snapToGrid w:val="0"/>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标准来源</w:t>
                  </w:r>
                </w:p>
              </w:tc>
            </w:tr>
            <w:tr w14:paraId="3444EE5D">
              <w:tblPrEx>
                <w:tblBorders>
                  <w:top w:val="single" w:color="auto" w:sz="2" w:space="0"/>
                  <w:left w:val="single" w:color="auto" w:sz="4" w:space="0"/>
                  <w:bottom w:val="single" w:color="auto" w:sz="2"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396" w:type="dxa"/>
                  <w:tcBorders>
                    <w:top w:val="single" w:color="auto" w:sz="2" w:space="0"/>
                    <w:left w:val="single" w:color="auto" w:sz="4" w:space="0"/>
                    <w:bottom w:val="single" w:color="auto" w:sz="2" w:space="0"/>
                    <w:right w:val="single" w:color="auto" w:sz="2" w:space="0"/>
                  </w:tcBorders>
                  <w:vAlign w:val="center"/>
                </w:tcPr>
                <w:p w14:paraId="1FBDDEE1">
                  <w:pPr>
                    <w:pStyle w:val="1233"/>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1317" w:type="dxa"/>
                  <w:tcBorders>
                    <w:top w:val="single" w:color="auto" w:sz="2" w:space="0"/>
                    <w:left w:val="single" w:color="auto" w:sz="2" w:space="0"/>
                    <w:bottom w:val="single" w:color="auto" w:sz="2" w:space="0"/>
                    <w:right w:val="single" w:color="auto" w:sz="2" w:space="0"/>
                  </w:tcBorders>
                  <w:vAlign w:val="center"/>
                </w:tcPr>
                <w:p w14:paraId="681AE55D">
                  <w:pPr>
                    <w:pStyle w:val="1233"/>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60</w:t>
                  </w:r>
                </w:p>
              </w:tc>
              <w:tc>
                <w:tcPr>
                  <w:tcW w:w="1400" w:type="dxa"/>
                  <w:tcBorders>
                    <w:top w:val="single" w:color="auto" w:sz="2" w:space="0"/>
                    <w:left w:val="single" w:color="auto" w:sz="2" w:space="0"/>
                    <w:bottom w:val="single" w:color="auto" w:sz="2" w:space="0"/>
                    <w:right w:val="single" w:color="auto" w:sz="2" w:space="0"/>
                  </w:tcBorders>
                  <w:vAlign w:val="center"/>
                </w:tcPr>
                <w:p w14:paraId="5EFEFF28">
                  <w:pPr>
                    <w:pStyle w:val="1233"/>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w:t>
                  </w:r>
                </w:p>
              </w:tc>
              <w:tc>
                <w:tcPr>
                  <w:tcW w:w="4474" w:type="dxa"/>
                  <w:tcBorders>
                    <w:top w:val="single" w:color="auto" w:sz="2" w:space="0"/>
                    <w:left w:val="single" w:color="auto" w:sz="2" w:space="0"/>
                    <w:bottom w:val="single" w:color="auto" w:sz="2" w:space="0"/>
                    <w:right w:val="single" w:color="auto" w:sz="4" w:space="0"/>
                  </w:tcBorders>
                  <w:vAlign w:val="center"/>
                </w:tcPr>
                <w:p w14:paraId="33E8768A">
                  <w:pPr>
                    <w:pStyle w:val="1233"/>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（GB12348-2008）2类标准</w:t>
                  </w:r>
                </w:p>
              </w:tc>
            </w:tr>
          </w:tbl>
          <w:p w14:paraId="78347E1B">
            <w:pPr>
              <w:autoSpaceDE w:val="0"/>
              <w:autoSpaceDN w:val="0"/>
              <w:adjustRightInd w:val="0"/>
              <w:spacing w:line="360" w:lineRule="auto"/>
              <w:ind w:firstLine="420" w:firstLineChars="200"/>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2、废气</w:t>
            </w:r>
          </w:p>
          <w:p w14:paraId="318D595D">
            <w:pPr>
              <w:spacing w:line="360" w:lineRule="auto"/>
              <w:ind w:firstLine="420" w:firstLineChars="200"/>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eastAsiaTheme="minorEastAsia"/>
                <w:color w:val="auto"/>
                <w:szCs w:val="21"/>
              </w:rPr>
              <w:t>营运</w:t>
            </w:r>
            <w:r>
              <w:rPr>
                <w:rFonts w:hint="default" w:ascii="Times New Roman" w:hAnsi="Times New Roman" w:cs="Times New Roman" w:eastAsiaTheme="minorEastAsia"/>
                <w:color w:val="auto"/>
                <w:sz w:val="21"/>
                <w:szCs w:val="21"/>
              </w:rPr>
              <w:t>期颗粒物无组织排放执行</w:t>
            </w:r>
            <w:r>
              <w:rPr>
                <w:rFonts w:hint="default" w:ascii="Times New Roman" w:hAnsi="Times New Roman" w:cs="Times New Roman"/>
                <w:color w:val="auto"/>
                <w:sz w:val="21"/>
                <w:szCs w:val="21"/>
              </w:rPr>
              <w:t>《建材工业大气污染物排放标准》（DB37/2373-2018）</w:t>
            </w:r>
            <w:r>
              <w:rPr>
                <w:rFonts w:hint="default" w:ascii="Times New Roman" w:hAnsi="Times New Roman" w:cs="Times New Roman" w:eastAsiaTheme="minorEastAsia"/>
                <w:color w:val="auto"/>
                <w:sz w:val="21"/>
                <w:szCs w:val="21"/>
              </w:rPr>
              <w:t>表3中建材工业大气污染物无组织</w:t>
            </w:r>
            <w:r>
              <w:rPr>
                <w:rFonts w:hint="default" w:ascii="Times New Roman" w:hAnsi="Times New Roman" w:cs="Times New Roman" w:eastAsiaTheme="minorEastAsia"/>
                <w:color w:val="auto"/>
                <w:sz w:val="21"/>
                <w:szCs w:val="21"/>
                <w:highlight w:val="none"/>
              </w:rPr>
              <w:t>排放限值“除水泥外的其他建材”标准要求</w:t>
            </w:r>
            <w:r>
              <w:rPr>
                <w:rFonts w:hint="default" w:ascii="Times New Roman" w:hAnsi="Times New Roman" w:cs="Times New Roman"/>
                <w:color w:val="auto"/>
                <w:sz w:val="21"/>
                <w:szCs w:val="21"/>
                <w:highlight w:val="none"/>
              </w:rPr>
              <w:t>（颗粒物：1.0</w:t>
            </w:r>
            <w:r>
              <w:rPr>
                <w:rFonts w:hint="default" w:ascii="Times New Roman" w:hAnsi="Times New Roman" w:cs="Times New Roman"/>
                <w:bCs/>
                <w:color w:val="auto"/>
                <w:sz w:val="21"/>
                <w:szCs w:val="21"/>
                <w:highlight w:val="none"/>
                <w:lang w:val="de-DE"/>
              </w:rPr>
              <w:t xml:space="preserve"> mg/m</w:t>
            </w:r>
            <w:r>
              <w:rPr>
                <w:rFonts w:hint="default" w:ascii="Times New Roman" w:hAnsi="Times New Roman" w:cs="Times New Roman"/>
                <w:bCs/>
                <w:color w:val="auto"/>
                <w:sz w:val="21"/>
                <w:szCs w:val="21"/>
                <w:highlight w:val="none"/>
                <w:vertAlign w:val="superscript"/>
                <w:lang w:val="de-DE"/>
              </w:rPr>
              <w:t>3</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w:t>
            </w:r>
          </w:p>
          <w:p w14:paraId="5ACF265C">
            <w:pPr>
              <w:pStyle w:val="1385"/>
              <w:adjustRightInd w:val="0"/>
              <w:snapToGrid w:val="0"/>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表3-</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项目废气排放浓度及速率执行标准</w:t>
            </w:r>
          </w:p>
          <w:tbl>
            <w:tblPr>
              <w:tblStyle w:val="86"/>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898"/>
              <w:gridCol w:w="4921"/>
              <w:gridCol w:w="1935"/>
            </w:tblGrid>
            <w:tr w14:paraId="226822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084" w:type="pct"/>
                  <w:vMerge w:val="restart"/>
                  <w:vAlign w:val="center"/>
                </w:tcPr>
                <w:p w14:paraId="068FB7FD">
                  <w:pPr>
                    <w:autoSpaceDE w:val="0"/>
                    <w:autoSpaceDN w:val="0"/>
                    <w:adjustRightIn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污染物名称</w:t>
                  </w:r>
                </w:p>
              </w:tc>
              <w:tc>
                <w:tcPr>
                  <w:tcW w:w="3915" w:type="pct"/>
                  <w:gridSpan w:val="2"/>
                  <w:vAlign w:val="center"/>
                </w:tcPr>
                <w:p w14:paraId="1B2FFFA6">
                  <w:pPr>
                    <w:autoSpaceDE w:val="0"/>
                    <w:autoSpaceDN w:val="0"/>
                    <w:adjustRightIn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无组织排放浓度限值</w:t>
                  </w:r>
                </w:p>
              </w:tc>
            </w:tr>
            <w:tr w14:paraId="0DEC2D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084" w:type="pct"/>
                  <w:vMerge w:val="continue"/>
                  <w:vAlign w:val="center"/>
                </w:tcPr>
                <w:p w14:paraId="588BCBBA">
                  <w:pPr>
                    <w:autoSpaceDE w:val="0"/>
                    <w:autoSpaceDN w:val="0"/>
                    <w:adjustRightInd w:val="0"/>
                    <w:jc w:val="center"/>
                    <w:rPr>
                      <w:rFonts w:hint="default" w:ascii="Times New Roman" w:hAnsi="Times New Roman" w:cs="Times New Roman"/>
                      <w:color w:val="auto"/>
                      <w:sz w:val="18"/>
                      <w:szCs w:val="18"/>
                    </w:rPr>
                  </w:pPr>
                </w:p>
              </w:tc>
              <w:tc>
                <w:tcPr>
                  <w:tcW w:w="2810" w:type="pct"/>
                  <w:vAlign w:val="center"/>
                </w:tcPr>
                <w:p w14:paraId="6C0F0945">
                  <w:pPr>
                    <w:autoSpaceDE w:val="0"/>
                    <w:autoSpaceDN w:val="0"/>
                    <w:adjustRightIn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监控点</w:t>
                  </w:r>
                </w:p>
              </w:tc>
              <w:tc>
                <w:tcPr>
                  <w:tcW w:w="1104" w:type="pct"/>
                  <w:vAlign w:val="center"/>
                </w:tcPr>
                <w:p w14:paraId="7055C4D7">
                  <w:pPr>
                    <w:autoSpaceDE w:val="0"/>
                    <w:autoSpaceDN w:val="0"/>
                    <w:adjustRightIn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浓度mg/m</w:t>
                  </w:r>
                  <w:r>
                    <w:rPr>
                      <w:rFonts w:hint="default" w:ascii="Times New Roman" w:hAnsi="Times New Roman" w:cs="Times New Roman"/>
                      <w:color w:val="auto"/>
                      <w:sz w:val="18"/>
                      <w:szCs w:val="18"/>
                      <w:vertAlign w:val="superscript"/>
                    </w:rPr>
                    <w:t>3</w:t>
                  </w:r>
                </w:p>
              </w:tc>
            </w:tr>
            <w:tr w14:paraId="299F69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1084" w:type="pct"/>
                  <w:vAlign w:val="center"/>
                </w:tcPr>
                <w:p w14:paraId="0B4D881A">
                  <w:pPr>
                    <w:autoSpaceDE w:val="0"/>
                    <w:autoSpaceDN w:val="0"/>
                    <w:adjustRightIn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颗粒物</w:t>
                  </w:r>
                </w:p>
              </w:tc>
              <w:tc>
                <w:tcPr>
                  <w:tcW w:w="2810" w:type="pct"/>
                  <w:vAlign w:val="center"/>
                </w:tcPr>
                <w:p w14:paraId="027775E8">
                  <w:pPr>
                    <w:autoSpaceDE w:val="0"/>
                    <w:autoSpaceDN w:val="0"/>
                    <w:adjustRightIn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厂界监控点浓度限值</w:t>
                  </w:r>
                </w:p>
              </w:tc>
              <w:tc>
                <w:tcPr>
                  <w:tcW w:w="1104" w:type="pct"/>
                  <w:vAlign w:val="center"/>
                </w:tcPr>
                <w:p w14:paraId="6A74D144">
                  <w:pPr>
                    <w:autoSpaceDE w:val="0"/>
                    <w:autoSpaceDN w:val="0"/>
                    <w:adjustRightInd w:val="0"/>
                    <w:jc w:val="center"/>
                    <w:rPr>
                      <w:rFonts w:hint="default" w:ascii="Times New Roman" w:hAnsi="Times New Roman" w:cs="Times New Roman"/>
                      <w:color w:val="auto"/>
                      <w:spacing w:val="6"/>
                      <w:sz w:val="18"/>
                      <w:szCs w:val="18"/>
                    </w:rPr>
                  </w:pPr>
                  <w:r>
                    <w:rPr>
                      <w:rFonts w:hint="default" w:ascii="Times New Roman" w:hAnsi="Times New Roman" w:cs="Times New Roman"/>
                      <w:color w:val="auto"/>
                      <w:spacing w:val="6"/>
                      <w:sz w:val="18"/>
                      <w:szCs w:val="18"/>
                    </w:rPr>
                    <w:t>1.0</w:t>
                  </w:r>
                </w:p>
              </w:tc>
            </w:tr>
          </w:tbl>
          <w:p w14:paraId="0D348427">
            <w:pPr>
              <w:autoSpaceDE w:val="0"/>
              <w:autoSpaceDN w:val="0"/>
              <w:adjustRightInd w:val="0"/>
              <w:spacing w:line="360" w:lineRule="auto"/>
              <w:ind w:firstLine="420" w:firstLineChars="200"/>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3、废水</w:t>
            </w:r>
          </w:p>
          <w:p w14:paraId="4F1508AD">
            <w:pPr>
              <w:autoSpaceDE w:val="0"/>
              <w:autoSpaceDN w:val="0"/>
              <w:adjustRightInd w:val="0"/>
              <w:spacing w:line="360" w:lineRule="auto"/>
              <w:ind w:firstLine="420" w:firstLineChars="200"/>
              <w:rPr>
                <w:rFonts w:hint="default" w:ascii="Times New Roman" w:hAnsi="Times New Roman" w:cs="Times New Roman" w:eastAsiaTheme="minorEastAsia"/>
                <w:bCs/>
                <w:color w:val="auto"/>
                <w:szCs w:val="21"/>
                <w:highlight w:val="none"/>
              </w:rPr>
            </w:pPr>
            <w:r>
              <w:rPr>
                <w:rFonts w:hint="default" w:ascii="Times New Roman" w:hAnsi="Times New Roman" w:cs="Times New Roman" w:eastAsiaTheme="minorEastAsia"/>
                <w:bCs/>
                <w:color w:val="auto"/>
                <w:szCs w:val="21"/>
              </w:rPr>
              <w:t>本项目废水主要为员工生活产生的生活污水</w:t>
            </w:r>
            <w:r>
              <w:rPr>
                <w:rFonts w:hint="default" w:ascii="Times New Roman" w:hAnsi="Times New Roman" w:cs="Times New Roman" w:eastAsiaTheme="minorEastAsia"/>
                <w:bCs/>
                <w:color w:val="auto"/>
                <w:szCs w:val="21"/>
                <w:lang w:eastAsia="zh-CN"/>
              </w:rPr>
              <w:t>，</w:t>
            </w:r>
            <w:r>
              <w:rPr>
                <w:rFonts w:hint="default" w:ascii="Times New Roman" w:hAnsi="Times New Roman" w:cs="Times New Roman" w:eastAsiaTheme="minorEastAsia"/>
                <w:bCs/>
                <w:color w:val="auto"/>
                <w:szCs w:val="21"/>
                <w:lang w:val="en-US" w:eastAsia="zh-CN"/>
              </w:rPr>
              <w:t>经</w:t>
            </w:r>
            <w:r>
              <w:rPr>
                <w:rFonts w:hint="default" w:ascii="Times New Roman" w:hAnsi="Times New Roman" w:cs="Times New Roman" w:eastAsiaTheme="minorEastAsia"/>
                <w:bCs/>
                <w:color w:val="auto"/>
                <w:szCs w:val="21"/>
              </w:rPr>
              <w:t>化粪池预处理后由环卫部门定期清运</w:t>
            </w:r>
            <w:r>
              <w:rPr>
                <w:rFonts w:hint="default" w:ascii="Times New Roman" w:hAnsi="Times New Roman" w:cs="Times New Roman" w:eastAsiaTheme="minorEastAsia"/>
                <w:bCs/>
                <w:color w:val="auto"/>
                <w:szCs w:val="21"/>
                <w:highlight w:val="none"/>
              </w:rPr>
              <w:t>。</w:t>
            </w:r>
          </w:p>
          <w:p w14:paraId="4E4202B4">
            <w:pPr>
              <w:autoSpaceDE w:val="0"/>
              <w:autoSpaceDN w:val="0"/>
              <w:adjustRightInd w:val="0"/>
              <w:spacing w:line="360" w:lineRule="auto"/>
              <w:ind w:firstLine="420" w:firstLineChars="200"/>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4、固废</w:t>
            </w:r>
          </w:p>
          <w:p w14:paraId="32B3B358">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一般固体废物执行《中华人民共和国固体废物污染环境防治法》相关要求，采取防扬散、防流失、防渗漏或者其他防止污染环境的措施，不得擅自倾倒、堆放、丢弃、遗撒，管理过程中应符合《一般工业固体废物管理台账制定指南（试行）》（公告2021年第82号）要求。</w:t>
            </w:r>
          </w:p>
        </w:tc>
      </w:tr>
      <w:tr w14:paraId="5DF402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800" w:type="dxa"/>
            <w:tcBorders>
              <w:bottom w:val="single" w:color="auto" w:sz="8" w:space="0"/>
            </w:tcBorders>
            <w:vAlign w:val="center"/>
          </w:tcPr>
          <w:p w14:paraId="6D39CF40">
            <w:pPr>
              <w:adjustRightInd w:val="0"/>
              <w:snapToGrid w:val="0"/>
              <w:spacing w:line="42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总量</w:t>
            </w:r>
          </w:p>
          <w:p w14:paraId="57A95E03">
            <w:pPr>
              <w:adjustRightInd w:val="0"/>
              <w:snapToGrid w:val="0"/>
              <w:spacing w:line="42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控制</w:t>
            </w:r>
          </w:p>
          <w:p w14:paraId="7312618C">
            <w:pPr>
              <w:adjustRightInd w:val="0"/>
              <w:snapToGrid w:val="0"/>
              <w:spacing w:line="42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指标</w:t>
            </w:r>
          </w:p>
        </w:tc>
        <w:tc>
          <w:tcPr>
            <w:tcW w:w="8190" w:type="dxa"/>
            <w:tcBorders>
              <w:bottom w:val="single" w:color="auto" w:sz="8" w:space="0"/>
            </w:tcBorders>
            <w:vAlign w:val="center"/>
          </w:tcPr>
          <w:p w14:paraId="7DF6E049">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rPr>
              <w:t>根据《山东省建设项目主要大气污染物排放总量替代指标核算及管理办法》（鲁环发[2019]132号），山东省二氧化硫、氮氧化物、烟粉尘、挥发性有机物四项大气污染物排放总量进行替代指标的核算。用于建设项目的“可替代总量指标”不得低于建设项目所需替代的主要大气污染物排放总量指标。上一年度环境空气质量年平均浓度达标的城市，相关污染物进行等量替代。上一年度环境空气质量年平均浓度不达标的城市，相关污染物应按照建设项目所需替代的污染物排放总量指标的2倍进行削减替代（燃煤发电机</w:t>
            </w:r>
            <w:r>
              <w:rPr>
                <w:rFonts w:hint="default" w:ascii="Times New Roman" w:hAnsi="Times New Roman" w:cs="Times New Roman"/>
                <w:color w:val="auto"/>
                <w:highlight w:val="none"/>
              </w:rPr>
              <w:t>组大气污染物排放浓度达到超低排放标准的进行等量替代）。上一年度细颗粒物年平均浓度超标的设区的市，实行二氧化硫、氮氧化物、烟粉尘、挥发性有机物四项污染物排放总量指标2倍削减替代。</w:t>
            </w:r>
          </w:p>
          <w:p w14:paraId="658B5EBC">
            <w:pPr>
              <w:pStyle w:val="34"/>
              <w:spacing w:after="0" w:line="360" w:lineRule="auto"/>
              <w:ind w:left="0" w:leftChars="0" w:firstLine="420" w:firstLineChars="200"/>
              <w:rPr>
                <w:rFonts w:hint="eastAsia" w:cs="Times New Roman"/>
                <w:color w:val="auto"/>
                <w:kern w:val="2"/>
                <w:sz w:val="21"/>
                <w:szCs w:val="21"/>
                <w:highlight w:val="none"/>
                <w:lang w:eastAsia="zh-CN"/>
              </w:rPr>
            </w:pPr>
            <w:r>
              <w:rPr>
                <w:rFonts w:hint="default" w:ascii="Times New Roman" w:hAnsi="Times New Roman" w:cs="Times New Roman"/>
                <w:color w:val="auto"/>
                <w:kern w:val="2"/>
                <w:sz w:val="21"/>
                <w:szCs w:val="21"/>
                <w:highlight w:val="none"/>
              </w:rPr>
              <w:t>本项目废水主要为员工生活产生的生活污水，经化粪池预处理后由环卫部门定期清运</w:t>
            </w:r>
            <w:r>
              <w:rPr>
                <w:rFonts w:hint="eastAsia" w:cs="Times New Roman"/>
                <w:color w:val="auto"/>
                <w:kern w:val="2"/>
                <w:sz w:val="21"/>
                <w:szCs w:val="21"/>
                <w:highlight w:val="none"/>
                <w:lang w:eastAsia="zh-CN"/>
              </w:rPr>
              <w:t>。</w:t>
            </w:r>
          </w:p>
          <w:p w14:paraId="35488983">
            <w:pPr>
              <w:pStyle w:val="34"/>
              <w:spacing w:after="0" w:line="360" w:lineRule="auto"/>
              <w:ind w:left="0" w:leftChars="0" w:firstLine="420" w:firstLineChars="200"/>
              <w:rPr>
                <w:rFonts w:hint="default" w:ascii="Times New Roman" w:hAnsi="Times New Roman" w:cs="Times New Roman"/>
                <w:color w:val="auto"/>
                <w:kern w:val="2"/>
                <w:sz w:val="21"/>
                <w:szCs w:val="21"/>
                <w:highlight w:val="none"/>
              </w:rPr>
            </w:pPr>
            <w:r>
              <w:rPr>
                <w:rFonts w:hint="eastAsia" w:cs="Times New Roman"/>
                <w:color w:val="auto"/>
                <w:kern w:val="2"/>
                <w:sz w:val="21"/>
                <w:szCs w:val="21"/>
                <w:highlight w:val="none"/>
                <w:lang w:val="en-US" w:eastAsia="zh-CN"/>
              </w:rPr>
              <w:t>本项目无新增有组织废气，因此，无需申请总量</w:t>
            </w:r>
            <w:r>
              <w:rPr>
                <w:rFonts w:hint="default" w:ascii="Times New Roman" w:hAnsi="Times New Roman" w:cs="Times New Roman"/>
                <w:color w:val="auto"/>
                <w:kern w:val="2"/>
                <w:sz w:val="21"/>
                <w:szCs w:val="21"/>
                <w:highlight w:val="none"/>
              </w:rPr>
              <w:t>。</w:t>
            </w:r>
          </w:p>
          <w:p w14:paraId="626EAEB5">
            <w:pPr>
              <w:rPr>
                <w:rFonts w:hint="default" w:ascii="Times New Roman" w:hAnsi="Times New Roman" w:cs="Times New Roman"/>
                <w:color w:val="auto"/>
                <w:lang w:eastAsia="zh-CN"/>
              </w:rPr>
            </w:pPr>
          </w:p>
          <w:p w14:paraId="199365DB">
            <w:pPr>
              <w:rPr>
                <w:rFonts w:hint="default" w:ascii="Times New Roman" w:hAnsi="Times New Roman" w:cs="Times New Roman"/>
                <w:color w:val="auto"/>
                <w:lang w:eastAsia="zh-CN"/>
              </w:rPr>
            </w:pPr>
          </w:p>
          <w:p w14:paraId="0640714A">
            <w:pPr>
              <w:rPr>
                <w:rFonts w:hint="default" w:ascii="Times New Roman" w:hAnsi="Times New Roman" w:cs="Times New Roman"/>
                <w:color w:val="auto"/>
                <w:lang w:eastAsia="zh-CN"/>
              </w:rPr>
            </w:pPr>
          </w:p>
          <w:p w14:paraId="678FCCDA">
            <w:pPr>
              <w:rPr>
                <w:rFonts w:hint="default" w:ascii="Times New Roman" w:hAnsi="Times New Roman" w:cs="Times New Roman"/>
                <w:color w:val="auto"/>
                <w:lang w:eastAsia="zh-CN"/>
              </w:rPr>
            </w:pPr>
          </w:p>
          <w:p w14:paraId="30204C4A">
            <w:pPr>
              <w:rPr>
                <w:rFonts w:hint="default" w:ascii="Times New Roman" w:hAnsi="Times New Roman" w:cs="Times New Roman"/>
                <w:color w:val="auto"/>
                <w:lang w:eastAsia="zh-CN"/>
              </w:rPr>
            </w:pPr>
          </w:p>
          <w:p w14:paraId="5731096A">
            <w:pPr>
              <w:rPr>
                <w:rFonts w:hint="default" w:ascii="Times New Roman" w:hAnsi="Times New Roman" w:cs="Times New Roman"/>
                <w:color w:val="auto"/>
                <w:lang w:eastAsia="zh-CN"/>
              </w:rPr>
            </w:pPr>
          </w:p>
          <w:p w14:paraId="4398F5C4">
            <w:pPr>
              <w:rPr>
                <w:rFonts w:hint="default" w:ascii="Times New Roman" w:hAnsi="Times New Roman" w:cs="Times New Roman"/>
                <w:color w:val="auto"/>
                <w:lang w:eastAsia="zh-CN"/>
              </w:rPr>
            </w:pPr>
          </w:p>
          <w:p w14:paraId="1A95CD8C">
            <w:pPr>
              <w:rPr>
                <w:rFonts w:hint="default" w:ascii="Times New Roman" w:hAnsi="Times New Roman" w:cs="Times New Roman"/>
                <w:color w:val="auto"/>
                <w:lang w:eastAsia="zh-CN"/>
              </w:rPr>
            </w:pPr>
          </w:p>
          <w:p w14:paraId="7C80D27E">
            <w:pPr>
              <w:rPr>
                <w:rFonts w:hint="default" w:ascii="Times New Roman" w:hAnsi="Times New Roman" w:cs="Times New Roman"/>
                <w:color w:val="auto"/>
                <w:lang w:eastAsia="zh-CN"/>
              </w:rPr>
            </w:pPr>
          </w:p>
          <w:p w14:paraId="6869F254">
            <w:pPr>
              <w:rPr>
                <w:rFonts w:hint="eastAsia" w:cs="Times New Roman"/>
                <w:color w:val="auto"/>
                <w:lang w:eastAsia="zh-CN"/>
              </w:rPr>
            </w:pPr>
          </w:p>
          <w:p w14:paraId="17F0770F">
            <w:pPr>
              <w:rPr>
                <w:rFonts w:hint="eastAsia" w:cs="Times New Roman"/>
                <w:color w:val="auto"/>
                <w:lang w:eastAsia="zh-CN"/>
              </w:rPr>
            </w:pPr>
          </w:p>
          <w:p w14:paraId="2D2E9E26">
            <w:pPr>
              <w:rPr>
                <w:rFonts w:hint="eastAsia" w:cs="Times New Roman"/>
                <w:color w:val="auto"/>
                <w:lang w:eastAsia="zh-CN"/>
              </w:rPr>
            </w:pPr>
          </w:p>
          <w:p w14:paraId="1BEBB213">
            <w:pPr>
              <w:rPr>
                <w:rFonts w:hint="eastAsia" w:cs="Times New Roman"/>
                <w:color w:val="auto"/>
                <w:lang w:eastAsia="zh-CN"/>
              </w:rPr>
            </w:pPr>
          </w:p>
          <w:p w14:paraId="74BD7301">
            <w:pPr>
              <w:rPr>
                <w:rFonts w:hint="eastAsia" w:cs="Times New Roman"/>
                <w:color w:val="auto"/>
                <w:lang w:eastAsia="zh-CN"/>
              </w:rPr>
            </w:pPr>
          </w:p>
          <w:p w14:paraId="46B2ED94">
            <w:pPr>
              <w:rPr>
                <w:rFonts w:hint="eastAsia" w:cs="Times New Roman"/>
                <w:color w:val="auto"/>
                <w:lang w:eastAsia="zh-CN"/>
              </w:rPr>
            </w:pPr>
          </w:p>
          <w:p w14:paraId="2BA5FAE0">
            <w:pPr>
              <w:rPr>
                <w:rFonts w:hint="default" w:ascii="Times New Roman" w:hAnsi="Times New Roman" w:eastAsia="宋体" w:cs="Times New Roman"/>
                <w:color w:val="auto"/>
                <w:lang w:eastAsia="zh-CN"/>
              </w:rPr>
            </w:pPr>
          </w:p>
        </w:tc>
      </w:tr>
    </w:tbl>
    <w:p w14:paraId="4421F308">
      <w:pPr>
        <w:pStyle w:val="80"/>
        <w:spacing w:line="420" w:lineRule="exact"/>
        <w:outlineLvl w:val="0"/>
        <w:rPr>
          <w:rFonts w:hint="default" w:ascii="Times New Roman" w:hAnsi="Times New Roman" w:cs="Times New Roman"/>
          <w:snapToGrid w:val="0"/>
          <w:color w:val="FF0000"/>
          <w:sz w:val="30"/>
          <w:szCs w:val="30"/>
        </w:rPr>
        <w:sectPr>
          <w:pgSz w:w="11906" w:h="16838"/>
          <w:pgMar w:top="1134" w:right="1134" w:bottom="1701" w:left="1134" w:header="851" w:footer="851" w:gutter="0"/>
          <w:cols w:space="720" w:num="1"/>
          <w:docGrid w:linePitch="312" w:charSpace="0"/>
        </w:sectPr>
      </w:pPr>
    </w:p>
    <w:p w14:paraId="1D3FE111">
      <w:pPr>
        <w:pStyle w:val="80"/>
        <w:jc w:val="center"/>
        <w:outlineLvl w:val="0"/>
        <w:rPr>
          <w:rFonts w:hint="default" w:ascii="Times New Roman" w:hAnsi="Times New Roman" w:cs="Times New Roman"/>
          <w:snapToGrid w:val="0"/>
          <w:color w:val="auto"/>
          <w:sz w:val="30"/>
          <w:szCs w:val="30"/>
        </w:rPr>
      </w:pPr>
      <w:bookmarkStart w:id="17" w:name="_Toc148608320"/>
      <w:bookmarkStart w:id="18" w:name="_Toc154582838"/>
      <w:r>
        <w:rPr>
          <w:rFonts w:hint="default" w:ascii="Times New Roman" w:hAnsi="Times New Roman" w:cs="Times New Roman"/>
          <w:snapToGrid w:val="0"/>
          <w:color w:val="auto"/>
          <w:sz w:val="30"/>
          <w:szCs w:val="30"/>
        </w:rPr>
        <w:t>四、主要环境影响和保护措施</w:t>
      </w:r>
      <w:bookmarkEnd w:id="17"/>
      <w:bookmarkEnd w:id="18"/>
    </w:p>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0"/>
        <w:gridCol w:w="13960"/>
      </w:tblGrid>
      <w:tr w14:paraId="4465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619" w:type="dxa"/>
            <w:vAlign w:val="center"/>
          </w:tcPr>
          <w:p w14:paraId="287C0646">
            <w:pPr>
              <w:adjustRightInd w:val="0"/>
              <w:snapToGrid w:val="0"/>
              <w:jc w:val="center"/>
              <w:rPr>
                <w:rFonts w:hint="default" w:ascii="Times New Roman" w:hAnsi="Times New Roman" w:cs="Times New Roman"/>
                <w:color w:val="auto"/>
              </w:rPr>
            </w:pPr>
            <w:r>
              <w:rPr>
                <w:rFonts w:hint="default" w:ascii="Times New Roman" w:hAnsi="Times New Roman" w:cs="Times New Roman"/>
                <w:bCs/>
                <w:color w:val="auto"/>
                <w:szCs w:val="18"/>
              </w:rPr>
              <w:t>施工期环境影响和保护措施</w:t>
            </w:r>
          </w:p>
        </w:tc>
        <w:tc>
          <w:tcPr>
            <w:tcW w:w="13941" w:type="dxa"/>
            <w:vAlign w:val="center"/>
          </w:tcPr>
          <w:p w14:paraId="6CBDA99B">
            <w:pPr>
              <w:pStyle w:val="85"/>
              <w:ind w:left="0" w:leftChars="0" w:firstLine="0" w:firstLineChars="0"/>
              <w:rPr>
                <w:rFonts w:hint="default" w:ascii="Times New Roman" w:hAnsi="Times New Roman" w:cs="Times New Roman"/>
                <w:color w:val="auto"/>
              </w:rPr>
            </w:pPr>
            <w:r>
              <w:rPr>
                <w:rFonts w:hint="eastAsia" w:cs="Times New Roman"/>
                <w:color w:val="auto"/>
                <w:szCs w:val="21"/>
                <w:lang w:eastAsia="zh-CN"/>
              </w:rPr>
              <w:t>本项目</w:t>
            </w:r>
            <w:r>
              <w:rPr>
                <w:rFonts w:hint="default" w:ascii="Times New Roman" w:hAnsi="Times New Roman" w:cs="Times New Roman"/>
                <w:color w:val="auto"/>
                <w:szCs w:val="21"/>
              </w:rPr>
              <w:t>利用现有已建成厂房进行生产，本项目施工期仅进行设备的安装，不需进行大型土木建设，施工期焊接和下料过程使用焊接烟尘净化器来处理废气，同时只要做好洒水降尘工作，基本不会产生扬尘。</w:t>
            </w:r>
            <w:r>
              <w:rPr>
                <w:rFonts w:hint="eastAsia" w:cs="Times New Roman"/>
                <w:color w:val="auto"/>
                <w:szCs w:val="21"/>
                <w:lang w:eastAsia="zh-CN"/>
              </w:rPr>
              <w:t>本项目</w:t>
            </w:r>
            <w:r>
              <w:rPr>
                <w:rFonts w:hint="default" w:ascii="Times New Roman" w:hAnsi="Times New Roman" w:cs="Times New Roman"/>
                <w:color w:val="auto"/>
                <w:szCs w:val="21"/>
              </w:rPr>
              <w:t>施工废水主要是施工人员的生活污水，经现有化粪池收集处理后由环卫部门定期清运处理。同时设备安装过程会产生少量废焊丝、焊渣和金属边角料</w:t>
            </w:r>
            <w:r>
              <w:rPr>
                <w:rFonts w:hint="default" w:ascii="Times New Roman" w:hAnsi="Times New Roman" w:cs="Times New Roman"/>
                <w:color w:val="auto"/>
              </w:rPr>
              <w:t>，均可作为废旧资源外售处理。</w:t>
            </w:r>
            <w:r>
              <w:rPr>
                <w:rFonts w:hint="default" w:ascii="Times New Roman" w:hAnsi="Times New Roman" w:cs="Times New Roman"/>
                <w:color w:val="auto"/>
                <w:szCs w:val="21"/>
              </w:rPr>
              <w:t>施工期的污染影响随着施工期的结束而结束，工程量较小，对周围环境影响较小</w:t>
            </w:r>
          </w:p>
        </w:tc>
      </w:tr>
      <w:tr w14:paraId="0BE5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619" w:type="dxa"/>
            <w:vAlign w:val="center"/>
          </w:tcPr>
          <w:p w14:paraId="61631262">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运营</w:t>
            </w:r>
          </w:p>
          <w:p w14:paraId="100E6E1B">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期环</w:t>
            </w:r>
          </w:p>
          <w:p w14:paraId="51DA161A">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境影</w:t>
            </w:r>
          </w:p>
          <w:p w14:paraId="531EFDD0">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响和</w:t>
            </w:r>
          </w:p>
          <w:p w14:paraId="694581DF">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保护</w:t>
            </w:r>
          </w:p>
          <w:p w14:paraId="020CF29A">
            <w:pPr>
              <w:adjustRightInd w:val="0"/>
              <w:snapToGrid w:val="0"/>
              <w:jc w:val="center"/>
              <w:rPr>
                <w:rFonts w:hint="default" w:ascii="Times New Roman" w:hAnsi="Times New Roman" w:cs="Times New Roman"/>
                <w:bCs/>
                <w:color w:val="FF0000"/>
                <w:szCs w:val="21"/>
              </w:rPr>
            </w:pPr>
            <w:r>
              <w:rPr>
                <w:rFonts w:hint="default" w:ascii="Times New Roman" w:hAnsi="Times New Roman" w:cs="Times New Roman"/>
                <w:bCs/>
                <w:color w:val="auto"/>
                <w:szCs w:val="21"/>
              </w:rPr>
              <w:t>措施</w:t>
            </w:r>
          </w:p>
        </w:tc>
        <w:tc>
          <w:tcPr>
            <w:tcW w:w="13941" w:type="dxa"/>
            <w:vAlign w:val="center"/>
          </w:tcPr>
          <w:p w14:paraId="410DBA50">
            <w:pPr>
              <w:pStyle w:val="378"/>
              <w:ind w:firstLine="42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一、大气污染物</w:t>
            </w:r>
          </w:p>
          <w:p w14:paraId="127231F1">
            <w:pPr>
              <w:pStyle w:val="85"/>
              <w:spacing w:after="0" w:line="360" w:lineRule="auto"/>
              <w:ind w:left="0" w:leftChars="0" w:firstLine="422"/>
              <w:jc w:val="left"/>
              <w:rPr>
                <w:rFonts w:hint="default" w:ascii="Times New Roman" w:hAnsi="Times New Roman" w:cs="Times New Roman"/>
                <w:b/>
                <w:bCs/>
                <w:color w:val="auto"/>
                <w:szCs w:val="21"/>
              </w:rPr>
            </w:pPr>
            <w:r>
              <w:rPr>
                <w:rFonts w:hint="default" w:ascii="Times New Roman" w:hAnsi="Times New Roman" w:cs="Times New Roman"/>
                <w:b/>
                <w:bCs/>
                <w:color w:val="auto"/>
                <w:szCs w:val="21"/>
              </w:rPr>
              <w:t>（一）产排污环节、污染治理设施及废气排放情况汇总</w:t>
            </w:r>
          </w:p>
          <w:p w14:paraId="7025E194">
            <w:pPr>
              <w:pStyle w:val="1385"/>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表 4-1 废气产排污节点、污染物及污染治理设施信息表</w:t>
            </w:r>
          </w:p>
          <w:tbl>
            <w:tblPr>
              <w:tblStyle w:val="86"/>
              <w:tblW w:w="13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5"/>
              <w:gridCol w:w="578"/>
              <w:gridCol w:w="817"/>
              <w:gridCol w:w="912"/>
              <w:gridCol w:w="860"/>
              <w:gridCol w:w="801"/>
              <w:gridCol w:w="681"/>
              <w:gridCol w:w="1046"/>
              <w:gridCol w:w="763"/>
              <w:gridCol w:w="925"/>
              <w:gridCol w:w="924"/>
              <w:gridCol w:w="925"/>
              <w:gridCol w:w="930"/>
              <w:gridCol w:w="925"/>
              <w:gridCol w:w="904"/>
              <w:gridCol w:w="825"/>
            </w:tblGrid>
            <w:tr w14:paraId="57C3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995" w:type="dxa"/>
                  <w:vMerge w:val="restart"/>
                  <w:tcBorders>
                    <w:top w:val="single" w:color="auto" w:sz="4" w:space="0"/>
                    <w:left w:val="single" w:color="auto" w:sz="4" w:space="0"/>
                    <w:bottom w:val="single" w:color="auto" w:sz="4" w:space="0"/>
                    <w:right w:val="single" w:color="auto" w:sz="4" w:space="0"/>
                  </w:tcBorders>
                  <w:vAlign w:val="center"/>
                </w:tcPr>
                <w:p w14:paraId="5D6C8331">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产污环节</w:t>
                  </w:r>
                </w:p>
              </w:tc>
              <w:tc>
                <w:tcPr>
                  <w:tcW w:w="578" w:type="dxa"/>
                  <w:vMerge w:val="restart"/>
                  <w:tcBorders>
                    <w:top w:val="single" w:color="auto" w:sz="4" w:space="0"/>
                    <w:left w:val="single" w:color="auto" w:sz="4" w:space="0"/>
                    <w:bottom w:val="single" w:color="auto" w:sz="4" w:space="0"/>
                    <w:right w:val="single" w:color="auto" w:sz="4" w:space="0"/>
                  </w:tcBorders>
                  <w:vAlign w:val="center"/>
                </w:tcPr>
                <w:p w14:paraId="11982C54">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排放形式</w:t>
                  </w:r>
                </w:p>
              </w:tc>
              <w:tc>
                <w:tcPr>
                  <w:tcW w:w="817" w:type="dxa"/>
                  <w:vMerge w:val="restart"/>
                  <w:tcBorders>
                    <w:top w:val="single" w:color="auto" w:sz="4" w:space="0"/>
                    <w:left w:val="single" w:color="auto" w:sz="4" w:space="0"/>
                    <w:bottom w:val="single" w:color="auto" w:sz="4" w:space="0"/>
                    <w:right w:val="single" w:color="auto" w:sz="4" w:space="0"/>
                  </w:tcBorders>
                  <w:vAlign w:val="center"/>
                </w:tcPr>
                <w:p w14:paraId="0F5EF224">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污染物</w:t>
                  </w:r>
                </w:p>
                <w:p w14:paraId="62CB1616">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种类</w:t>
                  </w:r>
                </w:p>
              </w:tc>
              <w:tc>
                <w:tcPr>
                  <w:tcW w:w="1772" w:type="dxa"/>
                  <w:gridSpan w:val="2"/>
                  <w:tcBorders>
                    <w:top w:val="single" w:color="auto" w:sz="4" w:space="0"/>
                    <w:left w:val="single" w:color="auto" w:sz="4" w:space="0"/>
                    <w:bottom w:val="single" w:color="auto" w:sz="4" w:space="0"/>
                    <w:right w:val="single" w:color="auto" w:sz="4" w:space="0"/>
                  </w:tcBorders>
                  <w:vAlign w:val="center"/>
                </w:tcPr>
                <w:p w14:paraId="541E304C">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污染物产生</w:t>
                  </w:r>
                </w:p>
              </w:tc>
              <w:tc>
                <w:tcPr>
                  <w:tcW w:w="4216" w:type="dxa"/>
                  <w:gridSpan w:val="5"/>
                  <w:tcBorders>
                    <w:top w:val="single" w:color="auto" w:sz="4" w:space="0"/>
                    <w:left w:val="single" w:color="auto" w:sz="4" w:space="0"/>
                    <w:bottom w:val="single" w:color="auto" w:sz="4" w:space="0"/>
                    <w:right w:val="single" w:color="auto" w:sz="4" w:space="0"/>
                  </w:tcBorders>
                  <w:vAlign w:val="center"/>
                </w:tcPr>
                <w:p w14:paraId="6353DBE8">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治理设施</w:t>
                  </w:r>
                </w:p>
              </w:tc>
              <w:tc>
                <w:tcPr>
                  <w:tcW w:w="3704" w:type="dxa"/>
                  <w:gridSpan w:val="4"/>
                  <w:tcBorders>
                    <w:top w:val="single" w:color="auto" w:sz="4" w:space="0"/>
                    <w:left w:val="single" w:color="auto" w:sz="4" w:space="0"/>
                    <w:bottom w:val="single" w:color="auto" w:sz="4" w:space="0"/>
                    <w:right w:val="single" w:color="auto" w:sz="4" w:space="0"/>
                  </w:tcBorders>
                  <w:vAlign w:val="center"/>
                </w:tcPr>
                <w:p w14:paraId="0DE482E4">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污染物排放</w:t>
                  </w:r>
                </w:p>
              </w:tc>
              <w:tc>
                <w:tcPr>
                  <w:tcW w:w="1729" w:type="dxa"/>
                  <w:gridSpan w:val="2"/>
                  <w:tcBorders>
                    <w:top w:val="single" w:color="auto" w:sz="4" w:space="0"/>
                    <w:left w:val="single" w:color="auto" w:sz="4" w:space="0"/>
                    <w:bottom w:val="single" w:color="auto" w:sz="4" w:space="0"/>
                    <w:right w:val="single" w:color="auto" w:sz="4" w:space="0"/>
                  </w:tcBorders>
                  <w:vAlign w:val="center"/>
                </w:tcPr>
                <w:p w14:paraId="666CAB50">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标准限值</w:t>
                  </w:r>
                </w:p>
              </w:tc>
            </w:tr>
            <w:tr w14:paraId="554B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995" w:type="dxa"/>
                  <w:vMerge w:val="continue"/>
                  <w:tcBorders>
                    <w:top w:val="single" w:color="auto" w:sz="4" w:space="0"/>
                    <w:left w:val="single" w:color="auto" w:sz="4" w:space="0"/>
                    <w:bottom w:val="single" w:color="auto" w:sz="4" w:space="0"/>
                    <w:right w:val="single" w:color="auto" w:sz="4" w:space="0"/>
                  </w:tcBorders>
                  <w:vAlign w:val="center"/>
                </w:tcPr>
                <w:p w14:paraId="3464FA31">
                  <w:pPr>
                    <w:spacing w:line="240" w:lineRule="exact"/>
                    <w:jc w:val="center"/>
                    <w:rPr>
                      <w:rFonts w:hint="default" w:ascii="Times New Roman" w:hAnsi="Times New Roman" w:cs="Times New Roman"/>
                      <w:color w:val="auto"/>
                      <w:sz w:val="18"/>
                      <w:szCs w:val="18"/>
                      <w:highlight w:val="none"/>
                    </w:rPr>
                  </w:pPr>
                </w:p>
              </w:tc>
              <w:tc>
                <w:tcPr>
                  <w:tcW w:w="578" w:type="dxa"/>
                  <w:vMerge w:val="continue"/>
                  <w:tcBorders>
                    <w:top w:val="single" w:color="auto" w:sz="4" w:space="0"/>
                    <w:left w:val="single" w:color="auto" w:sz="4" w:space="0"/>
                    <w:bottom w:val="single" w:color="auto" w:sz="4" w:space="0"/>
                    <w:right w:val="single" w:color="auto" w:sz="4" w:space="0"/>
                  </w:tcBorders>
                  <w:vAlign w:val="center"/>
                </w:tcPr>
                <w:p w14:paraId="02469A29">
                  <w:pPr>
                    <w:spacing w:line="240" w:lineRule="exact"/>
                    <w:jc w:val="center"/>
                    <w:rPr>
                      <w:rFonts w:hint="default" w:ascii="Times New Roman" w:hAnsi="Times New Roman" w:cs="Times New Roman"/>
                      <w:color w:val="auto"/>
                      <w:sz w:val="18"/>
                      <w:szCs w:val="18"/>
                      <w:highlight w:val="none"/>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14:paraId="29C9CE87">
                  <w:pPr>
                    <w:spacing w:line="240" w:lineRule="exact"/>
                    <w:jc w:val="center"/>
                    <w:rPr>
                      <w:rFonts w:hint="default" w:ascii="Times New Roman" w:hAnsi="Times New Roman" w:cs="Times New Roman"/>
                      <w:color w:val="auto"/>
                      <w:sz w:val="18"/>
                      <w:szCs w:val="18"/>
                      <w:highlight w:val="none"/>
                    </w:rPr>
                  </w:pPr>
                </w:p>
              </w:tc>
              <w:tc>
                <w:tcPr>
                  <w:tcW w:w="912" w:type="dxa"/>
                  <w:tcBorders>
                    <w:top w:val="single" w:color="auto" w:sz="4" w:space="0"/>
                    <w:left w:val="single" w:color="auto" w:sz="4" w:space="0"/>
                    <w:bottom w:val="single" w:color="auto" w:sz="4" w:space="0"/>
                    <w:right w:val="single" w:color="auto" w:sz="4" w:space="0"/>
                  </w:tcBorders>
                  <w:vAlign w:val="center"/>
                </w:tcPr>
                <w:p w14:paraId="54802E0A">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产生量（t/a）</w:t>
                  </w:r>
                </w:p>
              </w:tc>
              <w:tc>
                <w:tcPr>
                  <w:tcW w:w="860" w:type="dxa"/>
                  <w:tcBorders>
                    <w:top w:val="single" w:color="auto" w:sz="4" w:space="0"/>
                    <w:left w:val="single" w:color="auto" w:sz="4" w:space="0"/>
                    <w:bottom w:val="single" w:color="auto" w:sz="4" w:space="0"/>
                    <w:right w:val="single" w:color="auto" w:sz="4" w:space="0"/>
                  </w:tcBorders>
                  <w:vAlign w:val="center"/>
                </w:tcPr>
                <w:p w14:paraId="28E55C08">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产生浓度（mg/m</w:t>
                  </w:r>
                  <w:r>
                    <w:rPr>
                      <w:rFonts w:hint="default" w:ascii="Times New Roman" w:hAnsi="Times New Roman" w:cs="Times New Roman"/>
                      <w:color w:val="auto"/>
                      <w:sz w:val="18"/>
                      <w:szCs w:val="18"/>
                      <w:highlight w:val="none"/>
                      <w:vertAlign w:val="superscript"/>
                    </w:rPr>
                    <w:t>3</w:t>
                  </w:r>
                  <w:r>
                    <w:rPr>
                      <w:rFonts w:hint="default" w:ascii="Times New Roman" w:hAnsi="Times New Roman" w:cs="Times New Roman"/>
                      <w:color w:val="auto"/>
                      <w:sz w:val="18"/>
                      <w:szCs w:val="18"/>
                      <w:highlight w:val="none"/>
                    </w:rPr>
                    <w:t>）</w:t>
                  </w:r>
                </w:p>
              </w:tc>
              <w:tc>
                <w:tcPr>
                  <w:tcW w:w="801" w:type="dxa"/>
                  <w:tcBorders>
                    <w:top w:val="single" w:color="auto" w:sz="4" w:space="0"/>
                    <w:left w:val="single" w:color="auto" w:sz="4" w:space="0"/>
                    <w:bottom w:val="single" w:color="auto" w:sz="4" w:space="0"/>
                    <w:right w:val="single" w:color="auto" w:sz="4" w:space="0"/>
                  </w:tcBorders>
                  <w:vAlign w:val="center"/>
                </w:tcPr>
                <w:p w14:paraId="41D3635E">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处理能力（m</w:t>
                  </w:r>
                  <w:r>
                    <w:rPr>
                      <w:rFonts w:hint="default" w:ascii="Times New Roman" w:hAnsi="Times New Roman" w:cs="Times New Roman"/>
                      <w:color w:val="auto"/>
                      <w:sz w:val="18"/>
                      <w:szCs w:val="18"/>
                      <w:highlight w:val="none"/>
                      <w:vertAlign w:val="superscript"/>
                    </w:rPr>
                    <w:t>3</w:t>
                  </w:r>
                  <w:r>
                    <w:rPr>
                      <w:rFonts w:hint="default" w:ascii="Times New Roman" w:hAnsi="Times New Roman" w:cs="Times New Roman"/>
                      <w:color w:val="auto"/>
                      <w:sz w:val="18"/>
                      <w:szCs w:val="18"/>
                      <w:highlight w:val="none"/>
                    </w:rPr>
                    <w:t>/h）</w:t>
                  </w:r>
                </w:p>
              </w:tc>
              <w:tc>
                <w:tcPr>
                  <w:tcW w:w="681" w:type="dxa"/>
                  <w:tcBorders>
                    <w:top w:val="single" w:color="auto" w:sz="4" w:space="0"/>
                    <w:left w:val="single" w:color="auto" w:sz="4" w:space="0"/>
                    <w:bottom w:val="single" w:color="auto" w:sz="4" w:space="0"/>
                    <w:right w:val="single" w:color="auto" w:sz="4" w:space="0"/>
                  </w:tcBorders>
                  <w:vAlign w:val="center"/>
                </w:tcPr>
                <w:p w14:paraId="44EBC195">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收集率（%）</w:t>
                  </w:r>
                </w:p>
              </w:tc>
              <w:tc>
                <w:tcPr>
                  <w:tcW w:w="1046" w:type="dxa"/>
                  <w:tcBorders>
                    <w:top w:val="single" w:color="auto" w:sz="4" w:space="0"/>
                    <w:left w:val="single" w:color="auto" w:sz="4" w:space="0"/>
                    <w:bottom w:val="single" w:color="auto" w:sz="4" w:space="0"/>
                    <w:right w:val="single" w:color="auto" w:sz="4" w:space="0"/>
                  </w:tcBorders>
                  <w:vAlign w:val="center"/>
                </w:tcPr>
                <w:p w14:paraId="4245C656">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治理工艺</w:t>
                  </w:r>
                </w:p>
              </w:tc>
              <w:tc>
                <w:tcPr>
                  <w:tcW w:w="763" w:type="dxa"/>
                  <w:tcBorders>
                    <w:top w:val="single" w:color="auto" w:sz="4" w:space="0"/>
                    <w:left w:val="single" w:color="auto" w:sz="4" w:space="0"/>
                    <w:bottom w:val="single" w:color="auto" w:sz="4" w:space="0"/>
                    <w:right w:val="single" w:color="auto" w:sz="4" w:space="0"/>
                  </w:tcBorders>
                  <w:vAlign w:val="center"/>
                </w:tcPr>
                <w:p w14:paraId="0BF5D6CB">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去除率（%）</w:t>
                  </w:r>
                </w:p>
              </w:tc>
              <w:tc>
                <w:tcPr>
                  <w:tcW w:w="925" w:type="dxa"/>
                  <w:tcBorders>
                    <w:top w:val="single" w:color="auto" w:sz="4" w:space="0"/>
                    <w:left w:val="single" w:color="auto" w:sz="4" w:space="0"/>
                    <w:bottom w:val="single" w:color="auto" w:sz="4" w:space="0"/>
                    <w:right w:val="single" w:color="auto" w:sz="4" w:space="0"/>
                  </w:tcBorders>
                  <w:vAlign w:val="center"/>
                </w:tcPr>
                <w:p w14:paraId="161D3571">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是否为可行技术</w:t>
                  </w:r>
                </w:p>
              </w:tc>
              <w:tc>
                <w:tcPr>
                  <w:tcW w:w="924" w:type="dxa"/>
                  <w:tcBorders>
                    <w:top w:val="single" w:color="auto" w:sz="4" w:space="0"/>
                    <w:left w:val="single" w:color="auto" w:sz="4" w:space="0"/>
                    <w:bottom w:val="single" w:color="auto" w:sz="4" w:space="0"/>
                    <w:right w:val="single" w:color="auto" w:sz="4" w:space="0"/>
                  </w:tcBorders>
                  <w:vAlign w:val="center"/>
                </w:tcPr>
                <w:p w14:paraId="2ADF106F">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排放量（t/a）</w:t>
                  </w:r>
                </w:p>
              </w:tc>
              <w:tc>
                <w:tcPr>
                  <w:tcW w:w="925" w:type="dxa"/>
                  <w:tcBorders>
                    <w:top w:val="single" w:color="auto" w:sz="4" w:space="0"/>
                    <w:left w:val="single" w:color="auto" w:sz="4" w:space="0"/>
                    <w:bottom w:val="single" w:color="auto" w:sz="4" w:space="0"/>
                    <w:right w:val="single" w:color="auto" w:sz="4" w:space="0"/>
                  </w:tcBorders>
                  <w:vAlign w:val="center"/>
                </w:tcPr>
                <w:p w14:paraId="46CDC9AD">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排放浓度（mg/m</w:t>
                  </w:r>
                  <w:r>
                    <w:rPr>
                      <w:rFonts w:hint="default" w:ascii="Times New Roman" w:hAnsi="Times New Roman" w:cs="Times New Roman"/>
                      <w:color w:val="auto"/>
                      <w:sz w:val="18"/>
                      <w:szCs w:val="18"/>
                      <w:highlight w:val="none"/>
                      <w:vertAlign w:val="superscript"/>
                    </w:rPr>
                    <w:t>3</w:t>
                  </w:r>
                  <w:r>
                    <w:rPr>
                      <w:rFonts w:hint="default" w:ascii="Times New Roman" w:hAnsi="Times New Roman" w:cs="Times New Roman"/>
                      <w:color w:val="auto"/>
                      <w:sz w:val="18"/>
                      <w:szCs w:val="18"/>
                      <w:highlight w:val="none"/>
                    </w:rPr>
                    <w:t>）</w:t>
                  </w:r>
                </w:p>
              </w:tc>
              <w:tc>
                <w:tcPr>
                  <w:tcW w:w="930" w:type="dxa"/>
                  <w:tcBorders>
                    <w:top w:val="single" w:color="auto" w:sz="4" w:space="0"/>
                    <w:left w:val="single" w:color="auto" w:sz="4" w:space="0"/>
                    <w:bottom w:val="single" w:color="auto" w:sz="4" w:space="0"/>
                    <w:right w:val="single" w:color="auto" w:sz="4" w:space="0"/>
                  </w:tcBorders>
                  <w:vAlign w:val="center"/>
                </w:tcPr>
                <w:p w14:paraId="2DB6B94C">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排放速率（kg/h）</w:t>
                  </w:r>
                </w:p>
              </w:tc>
              <w:tc>
                <w:tcPr>
                  <w:tcW w:w="925" w:type="dxa"/>
                  <w:tcBorders>
                    <w:top w:val="single" w:color="auto" w:sz="4" w:space="0"/>
                    <w:left w:val="single" w:color="auto" w:sz="4" w:space="0"/>
                    <w:bottom w:val="single" w:color="auto" w:sz="4" w:space="0"/>
                    <w:right w:val="single" w:color="auto" w:sz="4" w:space="0"/>
                  </w:tcBorders>
                  <w:vAlign w:val="center"/>
                </w:tcPr>
                <w:p w14:paraId="0E6D8477">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持续时间</w:t>
                  </w:r>
                </w:p>
                <w:p w14:paraId="395A0BF4">
                  <w:pPr>
                    <w:pStyle w:val="85"/>
                    <w:ind w:left="0" w:leftChars="0"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sz w:val="18"/>
                      <w:szCs w:val="18"/>
                      <w:highlight w:val="none"/>
                    </w:rPr>
                    <w:t>（h/a）</w:t>
                  </w:r>
                </w:p>
              </w:tc>
              <w:tc>
                <w:tcPr>
                  <w:tcW w:w="904" w:type="dxa"/>
                  <w:tcBorders>
                    <w:top w:val="single" w:color="auto" w:sz="4" w:space="0"/>
                    <w:left w:val="single" w:color="auto" w:sz="4" w:space="0"/>
                    <w:bottom w:val="single" w:color="auto" w:sz="4" w:space="0"/>
                    <w:right w:val="single" w:color="auto" w:sz="4" w:space="0"/>
                  </w:tcBorders>
                  <w:vAlign w:val="center"/>
                </w:tcPr>
                <w:p w14:paraId="19F5BB2A">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浓度限值（mg/m</w:t>
                  </w:r>
                  <w:r>
                    <w:rPr>
                      <w:rFonts w:hint="default" w:ascii="Times New Roman" w:hAnsi="Times New Roman" w:cs="Times New Roman"/>
                      <w:color w:val="auto"/>
                      <w:sz w:val="18"/>
                      <w:szCs w:val="18"/>
                      <w:highlight w:val="none"/>
                      <w:vertAlign w:val="superscript"/>
                    </w:rPr>
                    <w:t>3</w:t>
                  </w:r>
                  <w:r>
                    <w:rPr>
                      <w:rFonts w:hint="default" w:ascii="Times New Roman" w:hAnsi="Times New Roman" w:cs="Times New Roman"/>
                      <w:color w:val="auto"/>
                      <w:sz w:val="18"/>
                      <w:szCs w:val="18"/>
                      <w:highlight w:val="none"/>
                    </w:rPr>
                    <w:t>）</w:t>
                  </w:r>
                </w:p>
              </w:tc>
              <w:tc>
                <w:tcPr>
                  <w:tcW w:w="825" w:type="dxa"/>
                  <w:tcBorders>
                    <w:top w:val="single" w:color="auto" w:sz="4" w:space="0"/>
                    <w:left w:val="single" w:color="auto" w:sz="4" w:space="0"/>
                    <w:bottom w:val="single" w:color="auto" w:sz="4" w:space="0"/>
                    <w:right w:val="single" w:color="auto" w:sz="4" w:space="0"/>
                  </w:tcBorders>
                  <w:vAlign w:val="center"/>
                </w:tcPr>
                <w:p w14:paraId="53FE202D">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速率限值（kg/h）</w:t>
                  </w:r>
                </w:p>
              </w:tc>
            </w:tr>
            <w:tr w14:paraId="5184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995" w:type="dxa"/>
                  <w:tcBorders>
                    <w:top w:val="single" w:color="auto" w:sz="4" w:space="0"/>
                    <w:left w:val="single" w:color="auto" w:sz="4" w:space="0"/>
                    <w:right w:val="single" w:color="auto" w:sz="4" w:space="0"/>
                  </w:tcBorders>
                  <w:shd w:val="clear" w:color="auto" w:fill="auto"/>
                  <w:vAlign w:val="center"/>
                </w:tcPr>
                <w:p w14:paraId="31078207">
                  <w:pPr>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精加工</w:t>
                  </w:r>
                  <w:r>
                    <w:rPr>
                      <w:rFonts w:hint="eastAsia" w:ascii="Times New Roman" w:hAnsi="Times New Roman" w:cs="Times New Roman"/>
                      <w:color w:val="auto"/>
                      <w:kern w:val="2"/>
                      <w:sz w:val="18"/>
                      <w:szCs w:val="18"/>
                      <w:highlight w:val="none"/>
                      <w:lang w:val="en-US" w:eastAsia="zh-CN" w:bidi="ar-SA"/>
                    </w:rPr>
                    <w:t>工序（切割、打磨、雕刻工序）</w:t>
                  </w:r>
                </w:p>
              </w:tc>
              <w:tc>
                <w:tcPr>
                  <w:tcW w:w="578" w:type="dxa"/>
                  <w:tcBorders>
                    <w:top w:val="single" w:color="auto" w:sz="4" w:space="0"/>
                    <w:left w:val="single" w:color="auto" w:sz="4" w:space="0"/>
                    <w:right w:val="single" w:color="auto" w:sz="4" w:space="0"/>
                  </w:tcBorders>
                  <w:vAlign w:val="center"/>
                </w:tcPr>
                <w:p w14:paraId="240630CC">
                  <w:pPr>
                    <w:spacing w:line="240" w:lineRule="exact"/>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无组织</w:t>
                  </w:r>
                </w:p>
              </w:tc>
              <w:tc>
                <w:tcPr>
                  <w:tcW w:w="817" w:type="dxa"/>
                  <w:tcBorders>
                    <w:top w:val="single" w:color="auto" w:sz="4" w:space="0"/>
                    <w:left w:val="single" w:color="auto" w:sz="4" w:space="0"/>
                    <w:bottom w:val="single" w:color="auto" w:sz="4" w:space="0"/>
                    <w:right w:val="single" w:color="auto" w:sz="4" w:space="0"/>
                  </w:tcBorders>
                  <w:vAlign w:val="center"/>
                </w:tcPr>
                <w:p w14:paraId="2EC411B1">
                  <w:pPr>
                    <w:widowControl/>
                    <w:jc w:val="center"/>
                    <w:textAlignment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bidi="ar-SA"/>
                    </w:rPr>
                    <w:t>颗粒物</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3F1AD6D6">
                  <w:pPr>
                    <w:widowControl/>
                    <w:jc w:val="center"/>
                    <w:textAlignment w:val="center"/>
                    <w:rPr>
                      <w:rFonts w:hint="default" w:ascii="Times New Roman" w:hAnsi="Times New Roman" w:eastAsia="宋体"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SA"/>
                    </w:rPr>
                    <w:t>0.03</w:t>
                  </w:r>
                </w:p>
              </w:tc>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14:paraId="0DF51DA6">
                  <w:pPr>
                    <w:widowControl/>
                    <w:jc w:val="center"/>
                    <w:textAlignment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w:t>
                  </w:r>
                </w:p>
              </w:tc>
              <w:tc>
                <w:tcPr>
                  <w:tcW w:w="801" w:type="dxa"/>
                  <w:tcBorders>
                    <w:top w:val="single" w:color="auto" w:sz="4" w:space="0"/>
                    <w:left w:val="single" w:color="auto" w:sz="4" w:space="0"/>
                    <w:right w:val="single" w:color="auto" w:sz="4" w:space="0"/>
                  </w:tcBorders>
                  <w:vAlign w:val="center"/>
                </w:tcPr>
                <w:p w14:paraId="6AF7AED0">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w:t>
                  </w:r>
                </w:p>
              </w:tc>
              <w:tc>
                <w:tcPr>
                  <w:tcW w:w="681" w:type="dxa"/>
                  <w:tcBorders>
                    <w:top w:val="single" w:color="auto" w:sz="4" w:space="0"/>
                    <w:left w:val="single" w:color="auto" w:sz="4" w:space="0"/>
                    <w:bottom w:val="single" w:color="auto" w:sz="4" w:space="0"/>
                    <w:right w:val="single" w:color="auto" w:sz="4" w:space="0"/>
                  </w:tcBorders>
                  <w:vAlign w:val="center"/>
                </w:tcPr>
                <w:p w14:paraId="3DA201ED">
                  <w:pPr>
                    <w:jc w:val="center"/>
                    <w:rPr>
                      <w:rFonts w:hint="default" w:ascii="Times New Roman" w:hAnsi="Times New Roman" w:cs="Times New Roman"/>
                      <w:color w:val="auto"/>
                      <w:sz w:val="18"/>
                      <w:szCs w:val="18"/>
                      <w:highlight w:val="none"/>
                      <w:lang w:val="en-US"/>
                    </w:rPr>
                  </w:pPr>
                  <w:r>
                    <w:rPr>
                      <w:rFonts w:hint="eastAsia" w:ascii="Times New Roman" w:hAnsi="Times New Roman" w:cs="Times New Roman"/>
                      <w:color w:val="auto"/>
                      <w:sz w:val="18"/>
                      <w:szCs w:val="18"/>
                      <w:highlight w:val="none"/>
                      <w:lang w:val="en-US" w:eastAsia="zh-CN"/>
                    </w:rPr>
                    <w:t>90</w:t>
                  </w:r>
                </w:p>
              </w:tc>
              <w:tc>
                <w:tcPr>
                  <w:tcW w:w="1046" w:type="dxa"/>
                  <w:tcBorders>
                    <w:top w:val="single" w:color="auto" w:sz="4" w:space="0"/>
                    <w:left w:val="single" w:color="auto" w:sz="4" w:space="0"/>
                    <w:right w:val="single" w:color="auto" w:sz="4" w:space="0"/>
                  </w:tcBorders>
                  <w:vAlign w:val="center"/>
                </w:tcPr>
                <w:p w14:paraId="340721EC">
                  <w:pPr>
                    <w:spacing w:line="240" w:lineRule="exact"/>
                    <w:jc w:val="center"/>
                    <w:rPr>
                      <w:rFonts w:hint="default" w:ascii="Times New Roman" w:hAnsi="Times New Roman" w:cs="Times New Roman"/>
                      <w:color w:val="auto"/>
                      <w:sz w:val="18"/>
                      <w:szCs w:val="18"/>
                      <w:highlight w:val="none"/>
                    </w:rPr>
                  </w:pPr>
                  <w:r>
                    <w:rPr>
                      <w:rFonts w:hint="eastAsia" w:cs="Times New Roman"/>
                      <w:color w:val="auto"/>
                      <w:sz w:val="18"/>
                      <w:szCs w:val="18"/>
                      <w:highlight w:val="none"/>
                      <w:lang w:val="en-US" w:eastAsia="zh-CN"/>
                    </w:rPr>
                    <w:t>布袋除尘器</w:t>
                  </w:r>
                </w:p>
              </w:tc>
              <w:tc>
                <w:tcPr>
                  <w:tcW w:w="763" w:type="dxa"/>
                  <w:tcBorders>
                    <w:top w:val="single" w:color="auto" w:sz="4" w:space="0"/>
                    <w:left w:val="single" w:color="auto" w:sz="4" w:space="0"/>
                    <w:right w:val="single" w:color="auto" w:sz="4" w:space="0"/>
                  </w:tcBorders>
                  <w:vAlign w:val="center"/>
                </w:tcPr>
                <w:p w14:paraId="6D6A3BAB">
                  <w:pPr>
                    <w:jc w:val="center"/>
                    <w:rPr>
                      <w:rFonts w:hint="default" w:ascii="Times New Roman" w:hAnsi="Times New Roman" w:cs="Times New Roman"/>
                      <w:color w:val="auto"/>
                      <w:sz w:val="18"/>
                      <w:szCs w:val="18"/>
                      <w:highlight w:val="none"/>
                      <w:lang w:val="en-US"/>
                    </w:rPr>
                  </w:pPr>
                  <w:r>
                    <w:rPr>
                      <w:rFonts w:hint="eastAsia" w:cs="Times New Roman"/>
                      <w:color w:val="auto"/>
                      <w:sz w:val="18"/>
                      <w:szCs w:val="18"/>
                      <w:highlight w:val="none"/>
                      <w:lang w:val="en-US" w:eastAsia="zh-CN"/>
                    </w:rPr>
                    <w:t>90</w:t>
                  </w:r>
                </w:p>
              </w:tc>
              <w:tc>
                <w:tcPr>
                  <w:tcW w:w="925" w:type="dxa"/>
                  <w:tcBorders>
                    <w:top w:val="single" w:color="auto" w:sz="4" w:space="0"/>
                    <w:left w:val="single" w:color="auto" w:sz="4" w:space="0"/>
                    <w:right w:val="single" w:color="auto" w:sz="4" w:space="0"/>
                  </w:tcBorders>
                  <w:vAlign w:val="center"/>
                </w:tcPr>
                <w:p w14:paraId="5AA859B9">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w:t>
                  </w:r>
                </w:p>
              </w:tc>
              <w:tc>
                <w:tcPr>
                  <w:tcW w:w="924" w:type="dxa"/>
                  <w:tcBorders>
                    <w:top w:val="single" w:color="auto" w:sz="4" w:space="0"/>
                    <w:left w:val="single" w:color="auto" w:sz="4" w:space="0"/>
                    <w:right w:val="single" w:color="auto" w:sz="4" w:space="0"/>
                  </w:tcBorders>
                  <w:shd w:val="clear" w:color="auto" w:fill="auto"/>
                  <w:vAlign w:val="center"/>
                </w:tcPr>
                <w:p w14:paraId="60609200">
                  <w:pPr>
                    <w:widowControl/>
                    <w:jc w:val="center"/>
                    <w:textAlignment w:val="center"/>
                    <w:rPr>
                      <w:rFonts w:hint="default" w:ascii="Times New Roman" w:hAnsi="Times New Roman" w:eastAsia="宋体" w:cs="Times New Roman"/>
                      <w:color w:val="auto"/>
                      <w:kern w:val="0"/>
                      <w:sz w:val="18"/>
                      <w:szCs w:val="18"/>
                      <w:highlight w:val="none"/>
                      <w:lang w:val="en-US" w:eastAsia="zh-CN" w:bidi="ar"/>
                    </w:rPr>
                  </w:pPr>
                  <w:r>
                    <w:rPr>
                      <w:rFonts w:hint="eastAsia" w:cs="Times New Roman"/>
                      <w:color w:val="auto"/>
                      <w:sz w:val="18"/>
                      <w:szCs w:val="18"/>
                      <w:highlight w:val="none"/>
                      <w:lang w:val="en-US" w:eastAsia="zh-CN" w:bidi="ar"/>
                    </w:rPr>
                    <w:t>0.006</w:t>
                  </w:r>
                </w:p>
              </w:tc>
              <w:tc>
                <w:tcPr>
                  <w:tcW w:w="925" w:type="dxa"/>
                  <w:tcBorders>
                    <w:top w:val="single" w:color="auto" w:sz="4" w:space="0"/>
                    <w:left w:val="single" w:color="auto" w:sz="4" w:space="0"/>
                    <w:right w:val="single" w:color="auto" w:sz="4" w:space="0"/>
                  </w:tcBorders>
                  <w:shd w:val="clear" w:color="auto" w:fill="auto"/>
                  <w:vAlign w:val="center"/>
                </w:tcPr>
                <w:p w14:paraId="269E619D">
                  <w:pPr>
                    <w:widowControl/>
                    <w:jc w:val="center"/>
                    <w:textAlignment w:val="center"/>
                    <w:rPr>
                      <w:rFonts w:hint="default" w:ascii="Times New Roman" w:hAnsi="Times New Roman" w:cs="Times New Roman"/>
                      <w:color w:val="auto"/>
                      <w:kern w:val="0"/>
                      <w:sz w:val="18"/>
                      <w:szCs w:val="18"/>
                      <w:highlight w:val="none"/>
                      <w:lang w:bidi="ar"/>
                    </w:rPr>
                  </w:pPr>
                  <w:r>
                    <w:rPr>
                      <w:rFonts w:hint="eastAsia" w:cs="Times New Roman"/>
                      <w:color w:val="auto"/>
                      <w:sz w:val="18"/>
                      <w:szCs w:val="18"/>
                      <w:highlight w:val="none"/>
                      <w:lang w:val="en-US" w:eastAsia="zh-CN"/>
                    </w:rPr>
                    <w:t>/</w:t>
                  </w:r>
                </w:p>
              </w:tc>
              <w:tc>
                <w:tcPr>
                  <w:tcW w:w="930" w:type="dxa"/>
                  <w:tcBorders>
                    <w:top w:val="single" w:color="auto" w:sz="4" w:space="0"/>
                    <w:left w:val="single" w:color="auto" w:sz="4" w:space="0"/>
                    <w:right w:val="single" w:color="auto" w:sz="4" w:space="0"/>
                  </w:tcBorders>
                  <w:shd w:val="clear" w:color="auto" w:fill="auto"/>
                  <w:vAlign w:val="center"/>
                </w:tcPr>
                <w:p w14:paraId="2765C7A4">
                  <w:pPr>
                    <w:widowControl/>
                    <w:jc w:val="center"/>
                    <w:textAlignment w:val="center"/>
                    <w:rPr>
                      <w:rFonts w:hint="default" w:ascii="Times New Roman" w:hAnsi="Times New Roman" w:eastAsia="宋体" w:cs="Times New Roman"/>
                      <w:color w:val="auto"/>
                      <w:kern w:val="0"/>
                      <w:sz w:val="18"/>
                      <w:szCs w:val="18"/>
                      <w:highlight w:val="none"/>
                      <w:lang w:val="en-US" w:eastAsia="zh-CN" w:bidi="ar"/>
                    </w:rPr>
                  </w:pPr>
                  <w:r>
                    <w:rPr>
                      <w:rFonts w:hint="eastAsia" w:cs="Times New Roman"/>
                      <w:color w:val="auto"/>
                      <w:sz w:val="18"/>
                      <w:szCs w:val="18"/>
                      <w:highlight w:val="none"/>
                      <w:lang w:val="en-US" w:eastAsia="zh-CN"/>
                    </w:rPr>
                    <w:t>0.0017</w:t>
                  </w:r>
                </w:p>
              </w:tc>
              <w:tc>
                <w:tcPr>
                  <w:tcW w:w="925" w:type="dxa"/>
                  <w:tcBorders>
                    <w:top w:val="single" w:color="auto" w:sz="4" w:space="0"/>
                    <w:left w:val="single" w:color="auto" w:sz="4" w:space="0"/>
                    <w:right w:val="single" w:color="auto" w:sz="4" w:space="0"/>
                  </w:tcBorders>
                  <w:shd w:val="clear" w:color="auto" w:fill="auto"/>
                  <w:vAlign w:val="center"/>
                </w:tcPr>
                <w:p w14:paraId="1A119854">
                  <w:pPr>
                    <w:spacing w:line="240" w:lineRule="auto"/>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36</w:t>
                  </w:r>
                  <w:r>
                    <w:rPr>
                      <w:rFonts w:hint="default" w:ascii="Times New Roman" w:hAnsi="Times New Roman" w:cs="Times New Roman"/>
                      <w:color w:val="auto"/>
                      <w:sz w:val="18"/>
                      <w:szCs w:val="18"/>
                      <w:highlight w:val="none"/>
                      <w:lang w:val="en-US" w:eastAsia="zh-CN"/>
                    </w:rPr>
                    <w:t>00</w:t>
                  </w:r>
                </w:p>
              </w:tc>
              <w:tc>
                <w:tcPr>
                  <w:tcW w:w="904" w:type="dxa"/>
                  <w:tcBorders>
                    <w:top w:val="single" w:color="auto" w:sz="4" w:space="0"/>
                    <w:left w:val="single" w:color="auto" w:sz="4" w:space="0"/>
                    <w:right w:val="single" w:color="auto" w:sz="4" w:space="0"/>
                  </w:tcBorders>
                  <w:vAlign w:val="center"/>
                </w:tcPr>
                <w:p w14:paraId="3B56622A">
                  <w:pPr>
                    <w:spacing w:line="240" w:lineRule="exact"/>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10</w:t>
                  </w:r>
                </w:p>
              </w:tc>
              <w:tc>
                <w:tcPr>
                  <w:tcW w:w="825" w:type="dxa"/>
                  <w:tcBorders>
                    <w:top w:val="single" w:color="auto" w:sz="4" w:space="0"/>
                    <w:left w:val="single" w:color="auto" w:sz="4" w:space="0"/>
                    <w:right w:val="single" w:color="auto" w:sz="4" w:space="0"/>
                  </w:tcBorders>
                  <w:vAlign w:val="center"/>
                </w:tcPr>
                <w:p w14:paraId="3F917C85">
                  <w:pPr>
                    <w:spacing w:line="24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w:t>
                  </w:r>
                </w:p>
              </w:tc>
            </w:tr>
          </w:tbl>
          <w:p w14:paraId="0BAB5408">
            <w:pPr>
              <w:pStyle w:val="1385"/>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表4-</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本项目大气污染物排放量汇总表</w:t>
            </w:r>
          </w:p>
          <w:tbl>
            <w:tblPr>
              <w:tblStyle w:val="8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7"/>
              <w:gridCol w:w="5667"/>
            </w:tblGrid>
            <w:tr w14:paraId="5B85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66" w:type="pct"/>
                  <w:tcBorders>
                    <w:top w:val="single" w:color="auto" w:sz="4" w:space="0"/>
                    <w:left w:val="single" w:color="auto" w:sz="4" w:space="0"/>
                    <w:bottom w:val="single" w:color="auto" w:sz="4" w:space="0"/>
                    <w:right w:val="single" w:color="auto" w:sz="4" w:space="0"/>
                  </w:tcBorders>
                  <w:vAlign w:val="center"/>
                </w:tcPr>
                <w:p w14:paraId="6A92C1BF">
                  <w:pPr>
                    <w:adjustRightInd w:val="0"/>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污染源及污染因子</w:t>
                  </w:r>
                </w:p>
              </w:tc>
              <w:tc>
                <w:tcPr>
                  <w:tcW w:w="2033" w:type="pct"/>
                  <w:tcBorders>
                    <w:top w:val="single" w:color="auto" w:sz="4" w:space="0"/>
                    <w:left w:val="single" w:color="auto" w:sz="4" w:space="0"/>
                    <w:bottom w:val="single" w:color="auto" w:sz="4" w:space="0"/>
                    <w:right w:val="single" w:color="auto" w:sz="4" w:space="0"/>
                  </w:tcBorders>
                  <w:vAlign w:val="center"/>
                </w:tcPr>
                <w:p w14:paraId="622DDE16">
                  <w:pPr>
                    <w:adjustRightInd w:val="0"/>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颗粒物</w:t>
                  </w:r>
                </w:p>
              </w:tc>
            </w:tr>
            <w:tr w14:paraId="150B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6" w:type="pct"/>
                  <w:tcBorders>
                    <w:top w:val="single" w:color="auto" w:sz="4" w:space="0"/>
                    <w:left w:val="single" w:color="auto" w:sz="4" w:space="0"/>
                    <w:bottom w:val="single" w:color="auto" w:sz="4" w:space="0"/>
                    <w:right w:val="single" w:color="auto" w:sz="4" w:space="0"/>
                  </w:tcBorders>
                  <w:vAlign w:val="center"/>
                </w:tcPr>
                <w:p w14:paraId="6D93A64B">
                  <w:pPr>
                    <w:adjustRightInd w:val="0"/>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无组织</w:t>
                  </w:r>
                </w:p>
              </w:tc>
              <w:tc>
                <w:tcPr>
                  <w:tcW w:w="2033" w:type="pct"/>
                  <w:tcBorders>
                    <w:top w:val="single" w:color="auto" w:sz="4" w:space="0"/>
                    <w:left w:val="single" w:color="auto" w:sz="4" w:space="0"/>
                    <w:bottom w:val="single" w:color="auto" w:sz="4" w:space="0"/>
                    <w:right w:val="single" w:color="auto" w:sz="4" w:space="0"/>
                  </w:tcBorders>
                  <w:vAlign w:val="center"/>
                </w:tcPr>
                <w:p w14:paraId="51C9225E">
                  <w:pPr>
                    <w:widowControl/>
                    <w:jc w:val="center"/>
                    <w:textAlignment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bidi="ar"/>
                    </w:rPr>
                    <w:t>0.006</w:t>
                  </w:r>
                </w:p>
              </w:tc>
            </w:tr>
            <w:tr w14:paraId="1B66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6" w:type="pct"/>
                  <w:tcBorders>
                    <w:top w:val="single" w:color="auto" w:sz="4" w:space="0"/>
                    <w:left w:val="single" w:color="auto" w:sz="4" w:space="0"/>
                    <w:bottom w:val="single" w:color="auto" w:sz="4" w:space="0"/>
                    <w:right w:val="single" w:color="auto" w:sz="4" w:space="0"/>
                  </w:tcBorders>
                  <w:vAlign w:val="center"/>
                </w:tcPr>
                <w:p w14:paraId="22951172">
                  <w:pPr>
                    <w:adjustRightInd w:val="0"/>
                    <w:snapToGrid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总计</w:t>
                  </w:r>
                </w:p>
              </w:tc>
              <w:tc>
                <w:tcPr>
                  <w:tcW w:w="2033" w:type="pct"/>
                  <w:tcBorders>
                    <w:top w:val="single" w:color="auto" w:sz="4" w:space="0"/>
                    <w:left w:val="single" w:color="auto" w:sz="4" w:space="0"/>
                    <w:bottom w:val="single" w:color="auto" w:sz="4" w:space="0"/>
                    <w:right w:val="single" w:color="auto" w:sz="4" w:space="0"/>
                  </w:tcBorders>
                  <w:vAlign w:val="center"/>
                </w:tcPr>
                <w:p w14:paraId="516DE996">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bidi="ar"/>
                    </w:rPr>
                    <w:t>0.006</w:t>
                  </w:r>
                </w:p>
              </w:tc>
            </w:tr>
          </w:tbl>
          <w:p w14:paraId="150F433E">
            <w:pPr>
              <w:pStyle w:val="378"/>
              <w:ind w:firstLine="422"/>
              <w:rPr>
                <w:rFonts w:hint="default" w:ascii="Times New Roman" w:hAnsi="Times New Roman" w:cs="Times New Roman"/>
                <w:b/>
                <w:bCs/>
                <w:color w:val="FF0000"/>
                <w:sz w:val="21"/>
                <w:szCs w:val="21"/>
                <w:lang w:eastAsia="zh-CN"/>
              </w:rPr>
            </w:pPr>
          </w:p>
          <w:p w14:paraId="6D565677">
            <w:pPr>
              <w:pStyle w:val="378"/>
              <w:ind w:firstLine="422"/>
              <w:rPr>
                <w:rFonts w:hint="default" w:ascii="Times New Roman" w:hAnsi="Times New Roman" w:cs="Times New Roman"/>
                <w:b/>
                <w:bCs/>
                <w:color w:val="FF0000"/>
                <w:sz w:val="21"/>
                <w:szCs w:val="21"/>
                <w:lang w:eastAsia="zh-CN"/>
              </w:rPr>
            </w:pPr>
          </w:p>
          <w:p w14:paraId="28581313">
            <w:pPr>
              <w:pStyle w:val="378"/>
              <w:ind w:firstLine="422"/>
              <w:rPr>
                <w:rFonts w:hint="default" w:ascii="Times New Roman" w:hAnsi="Times New Roman" w:cs="Times New Roman"/>
                <w:b/>
                <w:bCs/>
                <w:color w:val="FF0000"/>
                <w:sz w:val="21"/>
                <w:szCs w:val="21"/>
                <w:lang w:eastAsia="zh-CN"/>
              </w:rPr>
            </w:pPr>
          </w:p>
          <w:p w14:paraId="1037A5BB">
            <w:pPr>
              <w:pStyle w:val="378"/>
              <w:ind w:firstLine="422"/>
              <w:rPr>
                <w:rFonts w:hint="default" w:ascii="Times New Roman" w:hAnsi="Times New Roman" w:cs="Times New Roman"/>
                <w:b/>
                <w:bCs/>
                <w:color w:val="FF0000"/>
                <w:sz w:val="21"/>
                <w:szCs w:val="21"/>
                <w:lang w:eastAsia="zh-CN"/>
              </w:rPr>
            </w:pPr>
          </w:p>
          <w:p w14:paraId="42AC3D47">
            <w:pPr>
              <w:pStyle w:val="378"/>
              <w:ind w:firstLine="422"/>
              <w:rPr>
                <w:rFonts w:hint="default" w:ascii="Times New Roman" w:hAnsi="Times New Roman" w:cs="Times New Roman"/>
                <w:b/>
                <w:bCs/>
                <w:color w:val="FF0000"/>
                <w:sz w:val="21"/>
                <w:szCs w:val="21"/>
                <w:lang w:eastAsia="zh-CN"/>
              </w:rPr>
            </w:pPr>
          </w:p>
          <w:p w14:paraId="392FBFA4">
            <w:pPr>
              <w:pStyle w:val="378"/>
              <w:ind w:firstLine="422"/>
              <w:rPr>
                <w:rFonts w:hint="default" w:ascii="Times New Roman" w:hAnsi="Times New Roman" w:eastAsia="宋体" w:cs="Times New Roman"/>
                <w:b/>
                <w:bCs/>
                <w:color w:val="FF0000"/>
                <w:sz w:val="21"/>
                <w:szCs w:val="21"/>
                <w:lang w:eastAsia="zh-CN"/>
              </w:rPr>
            </w:pPr>
          </w:p>
          <w:p w14:paraId="48A8EA31">
            <w:pPr>
              <w:pStyle w:val="378"/>
              <w:ind w:firstLine="0" w:firstLineChars="0"/>
              <w:rPr>
                <w:rFonts w:hint="default" w:ascii="Times New Roman" w:hAnsi="Times New Roman" w:cs="Times New Roman"/>
                <w:b/>
                <w:bCs/>
                <w:color w:val="FF0000"/>
                <w:sz w:val="21"/>
                <w:szCs w:val="21"/>
              </w:rPr>
            </w:pPr>
          </w:p>
        </w:tc>
      </w:tr>
    </w:tbl>
    <w:p w14:paraId="48B675C6">
      <w:pPr>
        <w:pStyle w:val="85"/>
        <w:ind w:left="0" w:leftChars="0" w:firstLine="0" w:firstLineChars="0"/>
        <w:rPr>
          <w:rFonts w:hint="default" w:ascii="Times New Roman" w:hAnsi="Times New Roman" w:cs="Times New Roman"/>
          <w:color w:val="FF0000"/>
        </w:rPr>
        <w:sectPr>
          <w:pgSz w:w="16838" w:h="11906" w:orient="landscape"/>
          <w:pgMar w:top="1134" w:right="1134" w:bottom="1134" w:left="1134" w:header="851" w:footer="851" w:gutter="0"/>
          <w:cols w:space="720" w:num="1"/>
          <w:docGrid w:linePitch="312" w:charSpace="0"/>
        </w:sectPr>
      </w:pP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45" w:type="dxa"/>
          <w:bottom w:w="0" w:type="dxa"/>
          <w:right w:w="45" w:type="dxa"/>
        </w:tblCellMar>
      </w:tblPr>
      <w:tblGrid>
        <w:gridCol w:w="609"/>
        <w:gridCol w:w="8478"/>
      </w:tblGrid>
      <w:tr w14:paraId="3003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3" w:hRule="atLeast"/>
        </w:trPr>
        <w:tc>
          <w:tcPr>
            <w:tcW w:w="609" w:type="dxa"/>
            <w:vAlign w:val="center"/>
          </w:tcPr>
          <w:p w14:paraId="08E60656">
            <w:pPr>
              <w:adjustRightInd w:val="0"/>
              <w:snapToGrid w:val="0"/>
              <w:spacing w:line="4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运营</w:t>
            </w:r>
          </w:p>
          <w:p w14:paraId="56939DE5">
            <w:pPr>
              <w:adjustRightInd w:val="0"/>
              <w:snapToGrid w:val="0"/>
              <w:spacing w:line="4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期环</w:t>
            </w:r>
          </w:p>
          <w:p w14:paraId="5CA0E651">
            <w:pPr>
              <w:adjustRightInd w:val="0"/>
              <w:snapToGrid w:val="0"/>
              <w:spacing w:line="4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境影</w:t>
            </w:r>
          </w:p>
          <w:p w14:paraId="24F55753">
            <w:pPr>
              <w:adjustRightInd w:val="0"/>
              <w:snapToGrid w:val="0"/>
              <w:spacing w:line="4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响和</w:t>
            </w:r>
          </w:p>
          <w:p w14:paraId="2D60254D">
            <w:pPr>
              <w:adjustRightInd w:val="0"/>
              <w:snapToGrid w:val="0"/>
              <w:spacing w:line="4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保护</w:t>
            </w:r>
          </w:p>
          <w:p w14:paraId="715B0DCD">
            <w:pPr>
              <w:adjustRightInd w:val="0"/>
              <w:snapToGrid w:val="0"/>
              <w:spacing w:line="420" w:lineRule="exact"/>
              <w:jc w:val="center"/>
              <w:rPr>
                <w:rFonts w:hint="default" w:ascii="Times New Roman" w:hAnsi="Times New Roman" w:cs="Times New Roman"/>
                <w:color w:val="FF0000"/>
              </w:rPr>
            </w:pPr>
            <w:r>
              <w:rPr>
                <w:rFonts w:hint="default" w:ascii="Times New Roman" w:hAnsi="Times New Roman" w:cs="Times New Roman"/>
                <w:bCs/>
                <w:color w:val="auto"/>
                <w:szCs w:val="21"/>
              </w:rPr>
              <w:t>措施</w:t>
            </w:r>
          </w:p>
        </w:tc>
        <w:tc>
          <w:tcPr>
            <w:tcW w:w="8225" w:type="dxa"/>
          </w:tcPr>
          <w:p w14:paraId="49A30F2D">
            <w:pPr>
              <w:pStyle w:val="997"/>
              <w:adjustRightInd w:val="0"/>
              <w:snapToGrid w:val="0"/>
              <w:spacing w:line="360" w:lineRule="auto"/>
              <w:ind w:firstLine="422"/>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（二）源强核算过程：</w:t>
            </w:r>
          </w:p>
          <w:p w14:paraId="56C338DA">
            <w:pPr>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highlight w:val="none"/>
                <w:lang w:val="en-US" w:eastAsia="zh-CN"/>
              </w:rPr>
              <w:t>本项目新增废气主要包括精加工工序产生的粉尘（G</w:t>
            </w:r>
            <w:r>
              <w:rPr>
                <w:rFonts w:hint="eastAsia"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rPr>
              <w:t>。</w:t>
            </w:r>
          </w:p>
          <w:p w14:paraId="5697B770">
            <w:pPr>
              <w:pStyle w:val="85"/>
              <w:adjustRightInd w:val="0"/>
              <w:snapToGrid w:val="0"/>
              <w:spacing w:after="0" w:line="360" w:lineRule="auto"/>
              <w:ind w:left="0" w:leftChars="0"/>
              <w:rPr>
                <w:rFonts w:hint="default" w:ascii="Times New Roman" w:hAnsi="Times New Roman" w:cs="Times New Roman"/>
                <w:color w:val="auto"/>
                <w:kern w:val="2"/>
                <w:sz w:val="21"/>
                <w:szCs w:val="24"/>
                <w:lang w:val="en-US" w:eastAsia="zh-CN" w:bidi="ar-SA"/>
              </w:rPr>
            </w:pPr>
            <w:r>
              <w:rPr>
                <w:rFonts w:hint="eastAsia" w:cs="Times New Roman"/>
                <w:color w:val="auto"/>
                <w:kern w:val="2"/>
                <w:sz w:val="21"/>
                <w:szCs w:val="24"/>
                <w:lang w:val="en-US" w:eastAsia="zh-CN" w:bidi="ar-SA"/>
              </w:rPr>
              <w:t>本项目精加工工序产生的粉尘经集气罩收集，布袋除尘器处理后无组织排放。</w:t>
            </w:r>
          </w:p>
          <w:p w14:paraId="270C1342">
            <w:pPr>
              <w:pStyle w:val="378"/>
              <w:ind w:firstLine="422"/>
              <w:rPr>
                <w:rFonts w:hint="default" w:ascii="Times New Roman" w:hAnsi="Times New Roman" w:cs="Times New Roman"/>
                <w:b/>
                <w:bCs/>
                <w:color w:val="auto"/>
                <w:sz w:val="21"/>
                <w:highlight w:val="none"/>
                <w:lang w:val="en-US"/>
              </w:rPr>
            </w:pPr>
            <w:r>
              <w:rPr>
                <w:rFonts w:hint="default" w:ascii="Times New Roman" w:hAnsi="Times New Roman" w:cs="Times New Roman"/>
                <w:b/>
                <w:bCs/>
                <w:color w:val="auto"/>
                <w:sz w:val="21"/>
                <w:highlight w:val="none"/>
                <w:lang w:val="en-US"/>
              </w:rPr>
              <w:t>1、源强分析</w:t>
            </w:r>
          </w:p>
          <w:p w14:paraId="0F4C0C0E">
            <w:pPr>
              <w:pStyle w:val="85"/>
              <w:adjustRightInd w:val="0"/>
              <w:snapToGrid w:val="0"/>
              <w:spacing w:after="0" w:line="360" w:lineRule="auto"/>
              <w:ind w:left="0" w:leftChars="0"/>
              <w:rPr>
                <w:rFonts w:hint="default" w:ascii="Times New Roman" w:hAnsi="Times New Roman" w:cs="Times New Roman"/>
                <w:bCs/>
                <w:color w:val="auto"/>
                <w:highlight w:val="none"/>
                <w:lang w:val="en-US" w:eastAsia="zh-CN"/>
              </w:rPr>
            </w:pPr>
            <w:r>
              <w:rPr>
                <w:rFonts w:hint="eastAsia" w:cs="Times New Roman"/>
                <w:bCs/>
                <w:color w:val="auto"/>
                <w:highlight w:val="none"/>
                <w:lang w:val="en-US" w:eastAsia="zh-CN"/>
              </w:rPr>
              <w:t>本项目精加工过程主要包括切割、打磨、雕刻工序，该工序会产生少量的粉尘，</w:t>
            </w:r>
            <w:r>
              <w:rPr>
                <w:rFonts w:hint="eastAsia"/>
                <w:color w:val="auto"/>
                <w:highlight w:val="none"/>
                <w:lang w:val="en-US" w:eastAsia="zh-CN"/>
              </w:rPr>
              <w:t>参考《环境影响评价实用技术指南》（李爱贞等编著，机械工业出版社）P24页“四、无组织排放源强的确定”，根据估算法来确定无组织颗粒物产生量，一般按原料量的0.1‰计算，本项目需要精加工的产品量为300t/a，则</w:t>
            </w:r>
            <w:r>
              <w:rPr>
                <w:rFonts w:hint="default" w:ascii="Times New Roman" w:hAnsi="Times New Roman" w:cs="Times New Roman"/>
                <w:color w:val="auto"/>
                <w:highlight w:val="none"/>
                <w:lang w:val="en-US" w:eastAsia="zh-CN"/>
              </w:rPr>
              <w:t>精加工工序</w:t>
            </w:r>
            <w:r>
              <w:rPr>
                <w:rFonts w:hint="eastAsia" w:ascii="Times New Roman" w:hAnsi="Times New Roman" w:cs="Times New Roman"/>
                <w:color w:val="auto"/>
                <w:highlight w:val="none"/>
                <w:lang w:val="en-US" w:eastAsia="zh-CN"/>
              </w:rPr>
              <w:t>粉尘</w:t>
            </w:r>
            <w:r>
              <w:rPr>
                <w:rFonts w:hint="default" w:ascii="Times New Roman" w:hAnsi="Times New Roman" w:cs="Times New Roman"/>
                <w:bCs/>
                <w:color w:val="auto"/>
                <w:szCs w:val="21"/>
                <w:highlight w:val="none"/>
                <w:lang w:val="en-US" w:eastAsia="zh-CN"/>
              </w:rPr>
              <w:t>产生量为0.</w:t>
            </w:r>
            <w:r>
              <w:rPr>
                <w:rFonts w:hint="eastAsia" w:cs="Times New Roman"/>
                <w:bCs/>
                <w:color w:val="auto"/>
                <w:szCs w:val="21"/>
                <w:highlight w:val="none"/>
                <w:lang w:val="en-US" w:eastAsia="zh-CN"/>
              </w:rPr>
              <w:t>03</w:t>
            </w:r>
            <w:r>
              <w:rPr>
                <w:rFonts w:hint="default" w:ascii="Times New Roman" w:hAnsi="Times New Roman" w:eastAsia="TimesNewRomanPSMT" w:cs="Times New Roman"/>
                <w:b w:val="0"/>
                <w:i w:val="0"/>
                <w:color w:val="auto"/>
                <w:kern w:val="0"/>
                <w:sz w:val="21"/>
                <w:szCs w:val="21"/>
                <w:highlight w:val="none"/>
                <w:lang w:eastAsia="en-US"/>
              </w:rPr>
              <w:t>t/a</w:t>
            </w:r>
            <w:r>
              <w:rPr>
                <w:rFonts w:hint="eastAsia" w:eastAsia="TimesNewRomanPSMT" w:cs="Times New Roman"/>
                <w:b w:val="0"/>
                <w:i w:val="0"/>
                <w:color w:val="auto"/>
                <w:kern w:val="0"/>
                <w:sz w:val="21"/>
                <w:szCs w:val="21"/>
                <w:highlight w:val="none"/>
                <w:lang w:eastAsia="zh-CN"/>
              </w:rPr>
              <w:t>，</w:t>
            </w:r>
            <w:r>
              <w:rPr>
                <w:rFonts w:hint="eastAsia" w:eastAsia="TimesNewRomanPSMT" w:cs="Times New Roman"/>
                <w:b w:val="0"/>
                <w:i w:val="0"/>
                <w:color w:val="auto"/>
                <w:kern w:val="0"/>
                <w:sz w:val="21"/>
                <w:szCs w:val="21"/>
                <w:highlight w:val="none"/>
                <w:lang w:val="en-US" w:eastAsia="zh-CN"/>
              </w:rPr>
              <w:t>集气罩收集效率为90%，布袋除尘器处理效率为90%，则粉尘无组织排放量为0.006t/a，年工作时间为3600h，则排放速率为0.0017kg/h，现有项目</w:t>
            </w:r>
            <w:r>
              <w:rPr>
                <w:rFonts w:hint="eastAsia" w:cs="Times New Roman"/>
                <w:color w:val="auto"/>
                <w:kern w:val="2"/>
                <w:sz w:val="21"/>
                <w:szCs w:val="24"/>
                <w:highlight w:val="none"/>
                <w:lang w:val="en-US" w:eastAsia="zh-CN" w:bidi="ar-SA"/>
              </w:rPr>
              <w:t>颗粒物无组织排放量为0.006t/a，则本项目建成后全厂颗粒物无组织排放量为0.012t/a,</w:t>
            </w:r>
            <w:r>
              <w:rPr>
                <w:rFonts w:hint="eastAsia" w:eastAsia="TimesNewRomanPSMT" w:cs="Times New Roman"/>
                <w:b w:val="0"/>
                <w:i w:val="0"/>
                <w:color w:val="auto"/>
                <w:kern w:val="0"/>
                <w:sz w:val="21"/>
                <w:szCs w:val="21"/>
                <w:highlight w:val="none"/>
                <w:lang w:val="en-US" w:eastAsia="zh-CN"/>
              </w:rPr>
              <w:t>排放速率为0.0033kg/h</w:t>
            </w:r>
            <w:r>
              <w:rPr>
                <w:rFonts w:hint="default" w:ascii="Times New Roman" w:hAnsi="Times New Roman" w:eastAsia="TimesNewRomanPSMT" w:cs="Times New Roman"/>
                <w:b w:val="0"/>
                <w:i w:val="0"/>
                <w:color w:val="auto"/>
                <w:kern w:val="0"/>
                <w:sz w:val="21"/>
                <w:szCs w:val="21"/>
                <w:highlight w:val="none"/>
                <w:lang w:eastAsia="zh-CN"/>
              </w:rPr>
              <w:t>。</w:t>
            </w:r>
          </w:p>
          <w:p w14:paraId="74F50FFC">
            <w:pPr>
              <w:spacing w:line="360" w:lineRule="auto"/>
              <w:ind w:firstLine="422" w:firstLineChars="200"/>
              <w:rPr>
                <w:rFonts w:hint="default" w:ascii="Times New Roman" w:hAnsi="Times New Roman" w:cs="Times New Roman"/>
                <w:b/>
                <w:bCs/>
                <w:color w:val="auto"/>
                <w:highlight w:val="none"/>
              </w:rPr>
            </w:pPr>
            <w:r>
              <w:rPr>
                <w:rFonts w:hint="eastAsia" w:cs="Times New Roman"/>
                <w:b/>
                <w:bCs/>
                <w:color w:val="auto"/>
                <w:highlight w:val="none"/>
                <w:lang w:val="en-US" w:eastAsia="zh-CN"/>
              </w:rPr>
              <w:t>2</w:t>
            </w:r>
            <w:r>
              <w:rPr>
                <w:rFonts w:hint="default" w:ascii="Times New Roman" w:hAnsi="Times New Roman" w:cs="Times New Roman"/>
                <w:b/>
                <w:bCs/>
                <w:color w:val="auto"/>
                <w:highlight w:val="none"/>
              </w:rPr>
              <w:t>、污染物排放估算</w:t>
            </w:r>
          </w:p>
          <w:p w14:paraId="177DCE4B">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项目废气排放参数见下表。经采用AERSCREEN模式估算，所有污染源的正常排放的污染物的估算结果详见下表。</w:t>
            </w:r>
          </w:p>
          <w:p w14:paraId="6A35FCA9">
            <w:pPr>
              <w:jc w:val="center"/>
              <w:rPr>
                <w:rFonts w:hint="default" w:ascii="Times New Roman" w:hAnsi="Times New Roman" w:eastAsia="黑体" w:cs="Times New Roman"/>
                <w:color w:val="auto"/>
                <w:highlight w:val="none"/>
                <w:lang w:val="en-US" w:eastAsia="zh-CN"/>
              </w:rPr>
            </w:pPr>
            <w:r>
              <w:rPr>
                <w:rFonts w:hint="default" w:ascii="Times New Roman" w:hAnsi="Times New Roman" w:eastAsia="黑体" w:cs="Times New Roman"/>
                <w:color w:val="auto"/>
                <w:highlight w:val="none"/>
                <w:lang w:val="en-US" w:eastAsia="zh-CN"/>
              </w:rPr>
              <w:t>表4-</w:t>
            </w:r>
            <w:r>
              <w:rPr>
                <w:rFonts w:hint="eastAsia" w:eastAsia="黑体" w:cs="Times New Roman"/>
                <w:color w:val="auto"/>
                <w:highlight w:val="none"/>
                <w:lang w:val="en-US" w:eastAsia="zh-CN"/>
              </w:rPr>
              <w:t>3</w:t>
            </w:r>
            <w:r>
              <w:rPr>
                <w:rFonts w:hint="default" w:ascii="Times New Roman" w:hAnsi="Times New Roman" w:eastAsia="黑体" w:cs="Times New Roman"/>
                <w:color w:val="auto"/>
                <w:highlight w:val="none"/>
                <w:lang w:val="en-US" w:eastAsia="zh-CN"/>
              </w:rPr>
              <w:t>大气污染源（矩形面源）排放参数一览表</w:t>
            </w:r>
          </w:p>
          <w:tbl>
            <w:tblPr>
              <w:tblStyle w:val="86"/>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071"/>
              <w:gridCol w:w="1161"/>
              <w:gridCol w:w="674"/>
              <w:gridCol w:w="739"/>
              <w:gridCol w:w="703"/>
              <w:gridCol w:w="618"/>
              <w:gridCol w:w="1361"/>
              <w:gridCol w:w="782"/>
              <w:gridCol w:w="605"/>
            </w:tblGrid>
            <w:tr w14:paraId="70A6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4" w:type="dxa"/>
                  <w:vMerge w:val="restart"/>
                  <w:noWrap w:val="0"/>
                  <w:vAlign w:val="center"/>
                </w:tcPr>
                <w:p w14:paraId="44973603">
                  <w:pPr>
                    <w:jc w:val="center"/>
                    <w:rPr>
                      <w:rFonts w:hint="default" w:ascii="Times New Roman" w:hAnsi="Times New Roman" w:cs="Times New Roman"/>
                      <w:b/>
                      <w:color w:val="auto"/>
                      <w:kern w:val="0"/>
                      <w:sz w:val="18"/>
                      <w:szCs w:val="18"/>
                      <w:highlight w:val="none"/>
                    </w:rPr>
                  </w:pPr>
                  <w:r>
                    <w:rPr>
                      <w:rFonts w:hint="default" w:ascii="Times New Roman" w:hAnsi="Times New Roman" w:cs="Times New Roman"/>
                      <w:b/>
                      <w:color w:val="auto"/>
                      <w:kern w:val="0"/>
                      <w:sz w:val="18"/>
                      <w:szCs w:val="18"/>
                      <w:highlight w:val="none"/>
                    </w:rPr>
                    <w:t>污染源名称</w:t>
                  </w:r>
                </w:p>
              </w:tc>
              <w:tc>
                <w:tcPr>
                  <w:tcW w:w="2232" w:type="dxa"/>
                  <w:gridSpan w:val="2"/>
                  <w:noWrap w:val="0"/>
                  <w:vAlign w:val="center"/>
                </w:tcPr>
                <w:p w14:paraId="3E43D5CE">
                  <w:pPr>
                    <w:snapToGrid w:val="0"/>
                    <w:jc w:val="center"/>
                    <w:rPr>
                      <w:rFonts w:hint="default" w:ascii="Times New Roman" w:hAnsi="Times New Roman" w:cs="Times New Roman"/>
                      <w:b/>
                      <w:color w:val="auto"/>
                      <w:kern w:val="0"/>
                      <w:sz w:val="18"/>
                      <w:szCs w:val="18"/>
                      <w:highlight w:val="none"/>
                    </w:rPr>
                  </w:pPr>
                  <w:r>
                    <w:rPr>
                      <w:rFonts w:hint="default" w:ascii="Times New Roman" w:hAnsi="Times New Roman" w:cs="Times New Roman"/>
                      <w:b/>
                      <w:color w:val="auto"/>
                      <w:kern w:val="0"/>
                      <w:sz w:val="18"/>
                      <w:szCs w:val="18"/>
                      <w:highlight w:val="none"/>
                    </w:rPr>
                    <w:t>坐标</w:t>
                  </w:r>
                </w:p>
              </w:tc>
              <w:tc>
                <w:tcPr>
                  <w:tcW w:w="674" w:type="dxa"/>
                  <w:vMerge w:val="restart"/>
                  <w:noWrap w:val="0"/>
                  <w:vAlign w:val="center"/>
                </w:tcPr>
                <w:p w14:paraId="372067B1">
                  <w:pPr>
                    <w:snapToGrid w:val="0"/>
                    <w:jc w:val="center"/>
                    <w:rPr>
                      <w:rFonts w:hint="default" w:ascii="Times New Roman" w:hAnsi="Times New Roman" w:cs="Times New Roman"/>
                      <w:b/>
                      <w:color w:val="auto"/>
                      <w:kern w:val="0"/>
                      <w:sz w:val="18"/>
                      <w:szCs w:val="18"/>
                      <w:highlight w:val="none"/>
                    </w:rPr>
                  </w:pPr>
                  <w:r>
                    <w:rPr>
                      <w:rFonts w:hint="default" w:ascii="Times New Roman" w:hAnsi="Times New Roman" w:cs="Times New Roman"/>
                      <w:b/>
                      <w:color w:val="auto"/>
                      <w:kern w:val="0"/>
                      <w:sz w:val="18"/>
                      <w:szCs w:val="18"/>
                      <w:highlight w:val="none"/>
                    </w:rPr>
                    <w:t>海拔高度/m</w:t>
                  </w:r>
                </w:p>
              </w:tc>
              <w:tc>
                <w:tcPr>
                  <w:tcW w:w="2060" w:type="dxa"/>
                  <w:gridSpan w:val="3"/>
                  <w:noWrap w:val="0"/>
                  <w:vAlign w:val="center"/>
                </w:tcPr>
                <w:p w14:paraId="24E869F9">
                  <w:pPr>
                    <w:snapToGrid w:val="0"/>
                    <w:jc w:val="center"/>
                    <w:rPr>
                      <w:rFonts w:hint="default" w:ascii="Times New Roman" w:hAnsi="Times New Roman" w:cs="Times New Roman"/>
                      <w:b/>
                      <w:color w:val="auto"/>
                      <w:kern w:val="0"/>
                      <w:sz w:val="18"/>
                      <w:szCs w:val="18"/>
                      <w:highlight w:val="none"/>
                    </w:rPr>
                  </w:pPr>
                  <w:r>
                    <w:rPr>
                      <w:rFonts w:hint="default" w:ascii="Times New Roman" w:hAnsi="Times New Roman" w:cs="Times New Roman"/>
                      <w:b/>
                      <w:color w:val="auto"/>
                      <w:kern w:val="0"/>
                      <w:sz w:val="18"/>
                      <w:szCs w:val="18"/>
                      <w:highlight w:val="none"/>
                    </w:rPr>
                    <w:t>矩形面源</w:t>
                  </w:r>
                </w:p>
              </w:tc>
              <w:tc>
                <w:tcPr>
                  <w:tcW w:w="1361" w:type="dxa"/>
                  <w:vMerge w:val="restart"/>
                  <w:noWrap w:val="0"/>
                  <w:vAlign w:val="center"/>
                </w:tcPr>
                <w:p w14:paraId="173C6C85">
                  <w:pPr>
                    <w:snapToGrid w:val="0"/>
                    <w:jc w:val="center"/>
                    <w:rPr>
                      <w:rFonts w:hint="default" w:ascii="Times New Roman" w:hAnsi="Times New Roman" w:cs="Times New Roman"/>
                      <w:b/>
                      <w:color w:val="auto"/>
                      <w:kern w:val="0"/>
                      <w:sz w:val="18"/>
                      <w:szCs w:val="18"/>
                      <w:highlight w:val="none"/>
                    </w:rPr>
                  </w:pPr>
                  <w:r>
                    <w:rPr>
                      <w:rFonts w:hint="default" w:ascii="Times New Roman" w:hAnsi="Times New Roman" w:cs="Times New Roman"/>
                      <w:b/>
                      <w:color w:val="auto"/>
                      <w:kern w:val="0"/>
                      <w:sz w:val="18"/>
                      <w:szCs w:val="18"/>
                      <w:highlight w:val="none"/>
                    </w:rPr>
                    <w:t>污染物</w:t>
                  </w:r>
                </w:p>
              </w:tc>
              <w:tc>
                <w:tcPr>
                  <w:tcW w:w="782" w:type="dxa"/>
                  <w:vMerge w:val="restart"/>
                  <w:noWrap w:val="0"/>
                  <w:vAlign w:val="center"/>
                </w:tcPr>
                <w:p w14:paraId="7340FFAE">
                  <w:pPr>
                    <w:snapToGrid w:val="0"/>
                    <w:jc w:val="center"/>
                    <w:rPr>
                      <w:rFonts w:hint="default" w:ascii="Times New Roman" w:hAnsi="Times New Roman" w:cs="Times New Roman"/>
                      <w:b/>
                      <w:color w:val="auto"/>
                      <w:kern w:val="0"/>
                      <w:sz w:val="18"/>
                      <w:szCs w:val="18"/>
                      <w:highlight w:val="none"/>
                    </w:rPr>
                  </w:pPr>
                  <w:r>
                    <w:rPr>
                      <w:rFonts w:hint="default" w:ascii="Times New Roman" w:hAnsi="Times New Roman" w:cs="Times New Roman"/>
                      <w:b/>
                      <w:color w:val="auto"/>
                      <w:kern w:val="0"/>
                      <w:sz w:val="18"/>
                      <w:szCs w:val="18"/>
                      <w:highlight w:val="none"/>
                    </w:rPr>
                    <w:t>排放速率</w:t>
                  </w:r>
                </w:p>
              </w:tc>
              <w:tc>
                <w:tcPr>
                  <w:tcW w:w="605" w:type="dxa"/>
                  <w:vMerge w:val="restart"/>
                  <w:noWrap w:val="0"/>
                  <w:vAlign w:val="center"/>
                </w:tcPr>
                <w:p w14:paraId="2CDB9702">
                  <w:pPr>
                    <w:snapToGrid w:val="0"/>
                    <w:jc w:val="center"/>
                    <w:rPr>
                      <w:rFonts w:hint="default" w:ascii="Times New Roman" w:hAnsi="Times New Roman" w:cs="Times New Roman"/>
                      <w:b/>
                      <w:color w:val="auto"/>
                      <w:kern w:val="0"/>
                      <w:sz w:val="18"/>
                      <w:szCs w:val="18"/>
                      <w:highlight w:val="none"/>
                    </w:rPr>
                  </w:pPr>
                  <w:r>
                    <w:rPr>
                      <w:rFonts w:hint="default" w:ascii="Times New Roman" w:hAnsi="Times New Roman" w:cs="Times New Roman"/>
                      <w:b/>
                      <w:color w:val="auto"/>
                      <w:kern w:val="0"/>
                      <w:sz w:val="18"/>
                      <w:szCs w:val="18"/>
                      <w:highlight w:val="none"/>
                    </w:rPr>
                    <w:t>单位</w:t>
                  </w:r>
                </w:p>
              </w:tc>
            </w:tr>
            <w:tr w14:paraId="4187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64" w:type="dxa"/>
                  <w:vMerge w:val="continue"/>
                  <w:noWrap w:val="0"/>
                  <w:vAlign w:val="center"/>
                </w:tcPr>
                <w:p w14:paraId="074790C2">
                  <w:pPr>
                    <w:snapToGrid w:val="0"/>
                    <w:jc w:val="center"/>
                    <w:rPr>
                      <w:rFonts w:hint="default" w:ascii="Times New Roman" w:hAnsi="Times New Roman" w:cs="Times New Roman"/>
                      <w:color w:val="auto"/>
                      <w:kern w:val="0"/>
                      <w:sz w:val="18"/>
                      <w:szCs w:val="18"/>
                      <w:highlight w:val="none"/>
                    </w:rPr>
                  </w:pPr>
                </w:p>
              </w:tc>
              <w:tc>
                <w:tcPr>
                  <w:tcW w:w="1071" w:type="dxa"/>
                  <w:noWrap w:val="0"/>
                  <w:vAlign w:val="center"/>
                </w:tcPr>
                <w:p w14:paraId="757CA42D">
                  <w:pPr>
                    <w:snapToGrid w:val="0"/>
                    <w:jc w:val="center"/>
                    <w:rPr>
                      <w:rFonts w:hint="default" w:ascii="Times New Roman" w:hAnsi="Times New Roman" w:cs="Times New Roman"/>
                      <w:b/>
                      <w:color w:val="auto"/>
                      <w:kern w:val="0"/>
                      <w:sz w:val="18"/>
                      <w:szCs w:val="18"/>
                      <w:highlight w:val="none"/>
                    </w:rPr>
                  </w:pPr>
                  <w:r>
                    <w:rPr>
                      <w:rFonts w:hint="default" w:ascii="Times New Roman" w:hAnsi="Times New Roman" w:cs="Times New Roman"/>
                      <w:b/>
                      <w:color w:val="auto"/>
                      <w:kern w:val="0"/>
                      <w:sz w:val="18"/>
                      <w:szCs w:val="18"/>
                      <w:highlight w:val="none"/>
                    </w:rPr>
                    <w:t>X</w:t>
                  </w:r>
                </w:p>
              </w:tc>
              <w:tc>
                <w:tcPr>
                  <w:tcW w:w="1161" w:type="dxa"/>
                  <w:noWrap w:val="0"/>
                  <w:vAlign w:val="center"/>
                </w:tcPr>
                <w:p w14:paraId="1323BA8D">
                  <w:pPr>
                    <w:snapToGrid w:val="0"/>
                    <w:jc w:val="center"/>
                    <w:rPr>
                      <w:rFonts w:hint="default" w:ascii="Times New Roman" w:hAnsi="Times New Roman" w:cs="Times New Roman"/>
                      <w:b/>
                      <w:color w:val="auto"/>
                      <w:kern w:val="0"/>
                      <w:sz w:val="18"/>
                      <w:szCs w:val="18"/>
                      <w:highlight w:val="none"/>
                    </w:rPr>
                  </w:pPr>
                  <w:r>
                    <w:rPr>
                      <w:rFonts w:hint="default" w:ascii="Times New Roman" w:hAnsi="Times New Roman" w:cs="Times New Roman"/>
                      <w:b/>
                      <w:color w:val="auto"/>
                      <w:kern w:val="0"/>
                      <w:sz w:val="18"/>
                      <w:szCs w:val="18"/>
                      <w:highlight w:val="none"/>
                    </w:rPr>
                    <w:t>Y</w:t>
                  </w:r>
                </w:p>
              </w:tc>
              <w:tc>
                <w:tcPr>
                  <w:tcW w:w="674" w:type="dxa"/>
                  <w:vMerge w:val="continue"/>
                  <w:noWrap w:val="0"/>
                  <w:vAlign w:val="center"/>
                </w:tcPr>
                <w:p w14:paraId="63B93CC1">
                  <w:pPr>
                    <w:snapToGrid w:val="0"/>
                    <w:jc w:val="center"/>
                    <w:rPr>
                      <w:rFonts w:hint="default" w:ascii="Times New Roman" w:hAnsi="Times New Roman" w:cs="Times New Roman"/>
                      <w:color w:val="auto"/>
                      <w:kern w:val="0"/>
                      <w:sz w:val="18"/>
                      <w:szCs w:val="18"/>
                      <w:highlight w:val="none"/>
                    </w:rPr>
                  </w:pPr>
                </w:p>
              </w:tc>
              <w:tc>
                <w:tcPr>
                  <w:tcW w:w="739" w:type="dxa"/>
                  <w:noWrap w:val="0"/>
                  <w:vAlign w:val="center"/>
                </w:tcPr>
                <w:p w14:paraId="36D4432A">
                  <w:pPr>
                    <w:snapToGrid w:val="0"/>
                    <w:jc w:val="center"/>
                    <w:rPr>
                      <w:rFonts w:hint="default" w:ascii="Times New Roman" w:hAnsi="Times New Roman" w:cs="Times New Roman"/>
                      <w:b/>
                      <w:color w:val="auto"/>
                      <w:kern w:val="0"/>
                      <w:sz w:val="18"/>
                      <w:szCs w:val="18"/>
                      <w:highlight w:val="none"/>
                    </w:rPr>
                  </w:pPr>
                  <w:r>
                    <w:rPr>
                      <w:rFonts w:hint="default" w:ascii="Times New Roman" w:hAnsi="Times New Roman" w:cs="Times New Roman"/>
                      <w:b/>
                      <w:color w:val="auto"/>
                      <w:kern w:val="0"/>
                      <w:sz w:val="18"/>
                      <w:szCs w:val="18"/>
                      <w:highlight w:val="none"/>
                    </w:rPr>
                    <w:t>长度</w:t>
                  </w:r>
                </w:p>
              </w:tc>
              <w:tc>
                <w:tcPr>
                  <w:tcW w:w="703" w:type="dxa"/>
                  <w:noWrap w:val="0"/>
                  <w:vAlign w:val="center"/>
                </w:tcPr>
                <w:p w14:paraId="76886578">
                  <w:pPr>
                    <w:snapToGrid w:val="0"/>
                    <w:jc w:val="center"/>
                    <w:rPr>
                      <w:rFonts w:hint="default" w:ascii="Times New Roman" w:hAnsi="Times New Roman" w:cs="Times New Roman"/>
                      <w:b/>
                      <w:color w:val="auto"/>
                      <w:kern w:val="0"/>
                      <w:sz w:val="18"/>
                      <w:szCs w:val="18"/>
                      <w:highlight w:val="none"/>
                    </w:rPr>
                  </w:pPr>
                  <w:r>
                    <w:rPr>
                      <w:rFonts w:hint="default" w:ascii="Times New Roman" w:hAnsi="Times New Roman" w:cs="Times New Roman"/>
                      <w:b/>
                      <w:color w:val="auto"/>
                      <w:kern w:val="0"/>
                      <w:sz w:val="18"/>
                      <w:szCs w:val="18"/>
                      <w:highlight w:val="none"/>
                    </w:rPr>
                    <w:t>宽度</w:t>
                  </w:r>
                </w:p>
              </w:tc>
              <w:tc>
                <w:tcPr>
                  <w:tcW w:w="618" w:type="dxa"/>
                  <w:noWrap w:val="0"/>
                  <w:vAlign w:val="center"/>
                </w:tcPr>
                <w:p w14:paraId="2633714A">
                  <w:pPr>
                    <w:snapToGrid w:val="0"/>
                    <w:jc w:val="center"/>
                    <w:rPr>
                      <w:rFonts w:hint="default" w:ascii="Times New Roman" w:hAnsi="Times New Roman" w:cs="Times New Roman"/>
                      <w:b/>
                      <w:color w:val="auto"/>
                      <w:kern w:val="0"/>
                      <w:sz w:val="18"/>
                      <w:szCs w:val="18"/>
                      <w:highlight w:val="none"/>
                    </w:rPr>
                  </w:pPr>
                  <w:r>
                    <w:rPr>
                      <w:rFonts w:hint="default" w:ascii="Times New Roman" w:hAnsi="Times New Roman" w:cs="Times New Roman"/>
                      <w:b/>
                      <w:color w:val="auto"/>
                      <w:kern w:val="0"/>
                      <w:sz w:val="18"/>
                      <w:szCs w:val="18"/>
                      <w:highlight w:val="none"/>
                    </w:rPr>
                    <w:t>有效高度</w:t>
                  </w:r>
                </w:p>
              </w:tc>
              <w:tc>
                <w:tcPr>
                  <w:tcW w:w="1361" w:type="dxa"/>
                  <w:vMerge w:val="continue"/>
                  <w:noWrap w:val="0"/>
                  <w:vAlign w:val="center"/>
                </w:tcPr>
                <w:p w14:paraId="6BF60F91">
                  <w:pPr>
                    <w:snapToGrid w:val="0"/>
                    <w:jc w:val="center"/>
                    <w:rPr>
                      <w:rFonts w:hint="default" w:ascii="Times New Roman" w:hAnsi="Times New Roman" w:cs="Times New Roman"/>
                      <w:color w:val="auto"/>
                      <w:kern w:val="0"/>
                      <w:sz w:val="18"/>
                      <w:szCs w:val="18"/>
                      <w:highlight w:val="none"/>
                    </w:rPr>
                  </w:pPr>
                </w:p>
              </w:tc>
              <w:tc>
                <w:tcPr>
                  <w:tcW w:w="782" w:type="dxa"/>
                  <w:vMerge w:val="continue"/>
                  <w:noWrap w:val="0"/>
                  <w:vAlign w:val="center"/>
                </w:tcPr>
                <w:p w14:paraId="3E8E4BBA">
                  <w:pPr>
                    <w:snapToGrid w:val="0"/>
                    <w:jc w:val="center"/>
                    <w:rPr>
                      <w:rFonts w:hint="default" w:ascii="Times New Roman" w:hAnsi="Times New Roman" w:cs="Times New Roman"/>
                      <w:color w:val="auto"/>
                      <w:kern w:val="0"/>
                      <w:sz w:val="18"/>
                      <w:szCs w:val="18"/>
                      <w:highlight w:val="none"/>
                    </w:rPr>
                  </w:pPr>
                </w:p>
              </w:tc>
              <w:tc>
                <w:tcPr>
                  <w:tcW w:w="605" w:type="dxa"/>
                  <w:vMerge w:val="continue"/>
                  <w:noWrap w:val="0"/>
                  <w:vAlign w:val="center"/>
                </w:tcPr>
                <w:p w14:paraId="595AA22B">
                  <w:pPr>
                    <w:snapToGrid w:val="0"/>
                    <w:jc w:val="center"/>
                    <w:rPr>
                      <w:rFonts w:hint="default" w:ascii="Times New Roman" w:hAnsi="Times New Roman" w:cs="Times New Roman"/>
                      <w:color w:val="auto"/>
                      <w:kern w:val="0"/>
                      <w:sz w:val="18"/>
                      <w:szCs w:val="18"/>
                      <w:highlight w:val="none"/>
                    </w:rPr>
                  </w:pPr>
                </w:p>
              </w:tc>
            </w:tr>
            <w:tr w14:paraId="31E1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664" w:type="dxa"/>
                  <w:noWrap w:val="0"/>
                  <w:vAlign w:val="center"/>
                </w:tcPr>
                <w:p w14:paraId="4103B4BC">
                  <w:pPr>
                    <w:snapToGrid w:val="0"/>
                    <w:jc w:val="center"/>
                    <w:rPr>
                      <w:rFonts w:hint="default"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全厂</w:t>
                  </w:r>
                </w:p>
              </w:tc>
              <w:tc>
                <w:tcPr>
                  <w:tcW w:w="1071" w:type="dxa"/>
                  <w:noWrap w:val="0"/>
                  <w:vAlign w:val="center"/>
                </w:tcPr>
                <w:p w14:paraId="311D72D7">
                  <w:pPr>
                    <w:snapToGrid w:val="0"/>
                    <w:jc w:val="center"/>
                    <w:rPr>
                      <w:rFonts w:hint="default" w:ascii="Times New Roman" w:hAnsi="Times New Roman" w:eastAsia="宋体" w:cs="Times New Roman"/>
                      <w:bCs/>
                      <w:color w:val="auto"/>
                      <w:kern w:val="0"/>
                      <w:sz w:val="18"/>
                      <w:szCs w:val="18"/>
                      <w:highlight w:val="none"/>
                      <w:lang w:val="en-US" w:eastAsia="zh-CN"/>
                    </w:rPr>
                  </w:pPr>
                  <w:r>
                    <w:rPr>
                      <w:rFonts w:hint="default" w:ascii="Times New Roman" w:hAnsi="Times New Roman" w:cs="Times New Roman"/>
                      <w:bCs/>
                      <w:color w:val="auto"/>
                      <w:kern w:val="0"/>
                      <w:sz w:val="18"/>
                      <w:szCs w:val="18"/>
                      <w:highlight w:val="none"/>
                    </w:rPr>
                    <w:t>117.951014</w:t>
                  </w:r>
                </w:p>
              </w:tc>
              <w:tc>
                <w:tcPr>
                  <w:tcW w:w="1161" w:type="dxa"/>
                  <w:noWrap w:val="0"/>
                  <w:vAlign w:val="center"/>
                </w:tcPr>
                <w:p w14:paraId="1161BAE5">
                  <w:pPr>
                    <w:snapToGrid w:val="0"/>
                    <w:jc w:val="center"/>
                    <w:rPr>
                      <w:rFonts w:hint="eastAsia" w:ascii="Times New Roman" w:hAnsi="Times New Roman" w:eastAsia="宋体" w:cs="Times New Roman"/>
                      <w:bCs/>
                      <w:color w:val="auto"/>
                      <w:kern w:val="0"/>
                      <w:sz w:val="18"/>
                      <w:szCs w:val="18"/>
                      <w:highlight w:val="none"/>
                      <w:lang w:eastAsia="zh-CN"/>
                    </w:rPr>
                  </w:pPr>
                  <w:r>
                    <w:rPr>
                      <w:rFonts w:hint="default" w:ascii="Times New Roman" w:hAnsi="Times New Roman" w:cs="Times New Roman"/>
                      <w:bCs/>
                      <w:color w:val="auto"/>
                      <w:kern w:val="0"/>
                      <w:sz w:val="18"/>
                      <w:szCs w:val="18"/>
                      <w:highlight w:val="none"/>
                    </w:rPr>
                    <w:t>36.60207</w:t>
                  </w:r>
                  <w:r>
                    <w:rPr>
                      <w:rFonts w:hint="eastAsia" w:cs="Times New Roman"/>
                      <w:bCs/>
                      <w:color w:val="auto"/>
                      <w:kern w:val="0"/>
                      <w:sz w:val="18"/>
                      <w:szCs w:val="18"/>
                      <w:highlight w:val="none"/>
                      <w:lang w:val="en-US" w:eastAsia="zh-CN"/>
                    </w:rPr>
                    <w:t>3</w:t>
                  </w:r>
                </w:p>
              </w:tc>
              <w:tc>
                <w:tcPr>
                  <w:tcW w:w="674" w:type="dxa"/>
                  <w:noWrap w:val="0"/>
                  <w:vAlign w:val="center"/>
                </w:tcPr>
                <w:p w14:paraId="783997CE">
                  <w:pPr>
                    <w:snapToGrid w:val="0"/>
                    <w:jc w:val="center"/>
                    <w:rPr>
                      <w:rFonts w:hint="default" w:ascii="Times New Roman" w:hAnsi="Times New Roman" w:eastAsia="宋体" w:cs="Times New Roman"/>
                      <w:bCs/>
                      <w:color w:val="auto"/>
                      <w:kern w:val="0"/>
                      <w:sz w:val="18"/>
                      <w:szCs w:val="18"/>
                      <w:highlight w:val="none"/>
                      <w:lang w:val="en-US" w:eastAsia="zh-CN"/>
                    </w:rPr>
                  </w:pPr>
                  <w:r>
                    <w:rPr>
                      <w:rFonts w:hint="default" w:ascii="Times New Roman" w:hAnsi="Times New Roman" w:cs="Times New Roman"/>
                      <w:bCs/>
                      <w:color w:val="auto"/>
                      <w:kern w:val="0"/>
                      <w:sz w:val="18"/>
                      <w:szCs w:val="18"/>
                      <w:highlight w:val="none"/>
                      <w:lang w:val="en-US" w:eastAsia="zh-CN"/>
                    </w:rPr>
                    <w:t>135</w:t>
                  </w:r>
                </w:p>
              </w:tc>
              <w:tc>
                <w:tcPr>
                  <w:tcW w:w="739" w:type="dxa"/>
                  <w:noWrap w:val="0"/>
                  <w:vAlign w:val="center"/>
                </w:tcPr>
                <w:p w14:paraId="3913DC3F">
                  <w:pPr>
                    <w:snapToGrid w:val="0"/>
                    <w:jc w:val="center"/>
                    <w:rPr>
                      <w:rFonts w:hint="default" w:ascii="Times New Roman" w:hAnsi="Times New Roman" w:eastAsia="宋体" w:cs="Times New Roman"/>
                      <w:bCs/>
                      <w:color w:val="auto"/>
                      <w:kern w:val="0"/>
                      <w:sz w:val="18"/>
                      <w:szCs w:val="18"/>
                      <w:highlight w:val="none"/>
                      <w:lang w:val="en-US" w:eastAsia="zh-CN"/>
                    </w:rPr>
                  </w:pPr>
                  <w:r>
                    <w:rPr>
                      <w:rFonts w:hint="eastAsia" w:cs="Times New Roman"/>
                      <w:bCs/>
                      <w:color w:val="auto"/>
                      <w:kern w:val="0"/>
                      <w:sz w:val="18"/>
                      <w:szCs w:val="18"/>
                      <w:highlight w:val="none"/>
                      <w:lang w:val="en-US" w:eastAsia="zh-CN"/>
                    </w:rPr>
                    <w:t>87</w:t>
                  </w:r>
                </w:p>
              </w:tc>
              <w:tc>
                <w:tcPr>
                  <w:tcW w:w="703" w:type="dxa"/>
                  <w:noWrap w:val="0"/>
                  <w:vAlign w:val="center"/>
                </w:tcPr>
                <w:p w14:paraId="141172E1">
                  <w:pPr>
                    <w:snapToGrid w:val="0"/>
                    <w:jc w:val="center"/>
                    <w:rPr>
                      <w:rFonts w:hint="default" w:ascii="Times New Roman" w:hAnsi="Times New Roman" w:eastAsia="宋体" w:cs="Times New Roman"/>
                      <w:bCs/>
                      <w:color w:val="auto"/>
                      <w:kern w:val="0"/>
                      <w:sz w:val="18"/>
                      <w:szCs w:val="18"/>
                      <w:highlight w:val="none"/>
                      <w:lang w:val="en-US" w:eastAsia="zh-CN"/>
                    </w:rPr>
                  </w:pPr>
                  <w:r>
                    <w:rPr>
                      <w:rFonts w:hint="eastAsia" w:cs="Times New Roman"/>
                      <w:bCs/>
                      <w:color w:val="auto"/>
                      <w:kern w:val="0"/>
                      <w:sz w:val="18"/>
                      <w:szCs w:val="18"/>
                      <w:highlight w:val="none"/>
                      <w:lang w:val="en-US" w:eastAsia="zh-CN"/>
                    </w:rPr>
                    <w:t>61</w:t>
                  </w:r>
                </w:p>
              </w:tc>
              <w:tc>
                <w:tcPr>
                  <w:tcW w:w="618" w:type="dxa"/>
                  <w:noWrap w:val="0"/>
                  <w:vAlign w:val="center"/>
                </w:tcPr>
                <w:p w14:paraId="73FC7CA4">
                  <w:pPr>
                    <w:snapToGrid w:val="0"/>
                    <w:jc w:val="center"/>
                    <w:rPr>
                      <w:rFonts w:hint="default" w:ascii="Times New Roman" w:hAnsi="Times New Roman" w:cs="Times New Roman"/>
                      <w:bCs/>
                      <w:color w:val="auto"/>
                      <w:kern w:val="0"/>
                      <w:sz w:val="18"/>
                      <w:szCs w:val="18"/>
                      <w:highlight w:val="none"/>
                    </w:rPr>
                  </w:pPr>
                  <w:r>
                    <w:rPr>
                      <w:rFonts w:hint="default" w:ascii="Times New Roman" w:hAnsi="Times New Roman" w:cs="Times New Roman"/>
                      <w:bCs/>
                      <w:color w:val="auto"/>
                      <w:kern w:val="0"/>
                      <w:sz w:val="18"/>
                      <w:szCs w:val="18"/>
                      <w:highlight w:val="none"/>
                    </w:rPr>
                    <w:t>10</w:t>
                  </w:r>
                </w:p>
              </w:tc>
              <w:tc>
                <w:tcPr>
                  <w:tcW w:w="1361" w:type="dxa"/>
                  <w:noWrap w:val="0"/>
                  <w:vAlign w:val="center"/>
                </w:tcPr>
                <w:p w14:paraId="4A90440B">
                  <w:pPr>
                    <w:pStyle w:val="85"/>
                    <w:spacing w:after="0"/>
                    <w:ind w:left="0" w:leftChars="0" w:firstLine="0" w:firstLineChars="0"/>
                    <w:jc w:val="center"/>
                    <w:rPr>
                      <w:rFonts w:hint="default" w:ascii="Times New Roman" w:hAnsi="Times New Roman" w:cs="Times New Roman"/>
                      <w:color w:val="auto"/>
                      <w:kern w:val="0"/>
                      <w:sz w:val="18"/>
                      <w:szCs w:val="18"/>
                      <w:highlight w:val="none"/>
                      <w:lang w:val="en-US" w:eastAsia="zh-CN" w:bidi="ar-SA"/>
                    </w:rPr>
                  </w:pPr>
                  <w:r>
                    <w:rPr>
                      <w:rFonts w:hint="default" w:ascii="Times New Roman" w:hAnsi="Times New Roman" w:cs="Times New Roman"/>
                      <w:color w:val="auto"/>
                      <w:kern w:val="0"/>
                      <w:sz w:val="18"/>
                      <w:szCs w:val="18"/>
                      <w:highlight w:val="none"/>
                    </w:rPr>
                    <w:t>PM</w:t>
                  </w:r>
                  <w:r>
                    <w:rPr>
                      <w:rFonts w:hint="default" w:ascii="Times New Roman" w:hAnsi="Times New Roman" w:cs="Times New Roman"/>
                      <w:color w:val="auto"/>
                      <w:kern w:val="0"/>
                      <w:sz w:val="18"/>
                      <w:szCs w:val="18"/>
                      <w:highlight w:val="none"/>
                      <w:vertAlign w:val="subscript"/>
                    </w:rPr>
                    <w:t>10</w:t>
                  </w:r>
                </w:p>
              </w:tc>
              <w:tc>
                <w:tcPr>
                  <w:tcW w:w="782" w:type="dxa"/>
                  <w:noWrap w:val="0"/>
                  <w:vAlign w:val="center"/>
                </w:tcPr>
                <w:p w14:paraId="65468CB6">
                  <w:pPr>
                    <w:pStyle w:val="85"/>
                    <w:spacing w:after="0"/>
                    <w:ind w:left="0" w:leftChars="0"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rPr>
                    <w:t>0.</w:t>
                  </w:r>
                  <w:r>
                    <w:rPr>
                      <w:rFonts w:hint="eastAsia" w:cs="Times New Roman"/>
                      <w:color w:val="auto"/>
                      <w:kern w:val="0"/>
                      <w:sz w:val="18"/>
                      <w:szCs w:val="18"/>
                      <w:highlight w:val="none"/>
                      <w:lang w:val="en-US" w:eastAsia="zh-CN"/>
                    </w:rPr>
                    <w:t>0033</w:t>
                  </w:r>
                </w:p>
              </w:tc>
              <w:tc>
                <w:tcPr>
                  <w:tcW w:w="605" w:type="dxa"/>
                  <w:noWrap w:val="0"/>
                  <w:vAlign w:val="center"/>
                </w:tcPr>
                <w:p w14:paraId="2B9D8F10">
                  <w:pPr>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kg/h</w:t>
                  </w:r>
                </w:p>
              </w:tc>
            </w:tr>
          </w:tbl>
          <w:p w14:paraId="4BBF8B2B">
            <w:pPr>
              <w:jc w:val="center"/>
              <w:rPr>
                <w:rFonts w:hint="default" w:ascii="Times New Roman" w:hAnsi="Times New Roman" w:eastAsia="黑体" w:cs="Times New Roman"/>
                <w:color w:val="auto"/>
                <w:highlight w:val="none"/>
                <w:lang w:val="en-US" w:eastAsia="zh-CN"/>
              </w:rPr>
            </w:pPr>
            <w:r>
              <w:rPr>
                <w:rFonts w:hint="default" w:ascii="Times New Roman" w:hAnsi="Times New Roman" w:eastAsia="黑体" w:cs="Times New Roman"/>
                <w:color w:val="auto"/>
                <w:highlight w:val="none"/>
                <w:lang w:val="en-US" w:eastAsia="zh-CN"/>
              </w:rPr>
              <w:t>表4-</w:t>
            </w:r>
            <w:r>
              <w:rPr>
                <w:rFonts w:hint="eastAsia" w:eastAsia="黑体" w:cs="Times New Roman"/>
                <w:color w:val="auto"/>
                <w:highlight w:val="none"/>
                <w:lang w:val="en-US" w:eastAsia="zh-CN"/>
              </w:rPr>
              <w:t>4</w:t>
            </w:r>
            <w:r>
              <w:rPr>
                <w:rFonts w:hint="default" w:ascii="Times New Roman" w:hAnsi="Times New Roman" w:eastAsia="黑体" w:cs="Times New Roman"/>
                <w:color w:val="auto"/>
                <w:highlight w:val="none"/>
                <w:lang w:val="en-US" w:eastAsia="zh-CN"/>
              </w:rPr>
              <w:t>估算模型参数一览表</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5"/>
              <w:gridCol w:w="2791"/>
              <w:gridCol w:w="2792"/>
            </w:tblGrid>
            <w:tr w14:paraId="6D9F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6" w:type="dxa"/>
                  <w:gridSpan w:val="2"/>
                  <w:noWrap w:val="0"/>
                  <w:vAlign w:val="center"/>
                </w:tcPr>
                <w:p w14:paraId="626F933F">
                  <w:pPr>
                    <w:contextualSpacing/>
                    <w:jc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rPr>
                    <w:t>参数</w:t>
                  </w:r>
                </w:p>
              </w:tc>
              <w:tc>
                <w:tcPr>
                  <w:tcW w:w="2792" w:type="dxa"/>
                  <w:noWrap w:val="0"/>
                  <w:vAlign w:val="center"/>
                </w:tcPr>
                <w:p w14:paraId="2378C373">
                  <w:pPr>
                    <w:contextualSpacing/>
                    <w:jc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rPr>
                    <w:t>取值</w:t>
                  </w:r>
                </w:p>
              </w:tc>
            </w:tr>
            <w:tr w14:paraId="5E15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5" w:type="dxa"/>
                  <w:vMerge w:val="restart"/>
                  <w:noWrap w:val="0"/>
                  <w:vAlign w:val="center"/>
                </w:tcPr>
                <w:p w14:paraId="687248E2">
                  <w:pPr>
                    <w:contextualSpacing/>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农村/城市选项</w:t>
                  </w:r>
                </w:p>
              </w:tc>
              <w:tc>
                <w:tcPr>
                  <w:tcW w:w="2791" w:type="dxa"/>
                  <w:noWrap w:val="0"/>
                  <w:vAlign w:val="center"/>
                </w:tcPr>
                <w:p w14:paraId="3D9C10FA">
                  <w:pPr>
                    <w:contextualSpacing/>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城市/农村</w:t>
                  </w:r>
                </w:p>
              </w:tc>
              <w:tc>
                <w:tcPr>
                  <w:tcW w:w="2792" w:type="dxa"/>
                  <w:noWrap w:val="0"/>
                  <w:vAlign w:val="center"/>
                </w:tcPr>
                <w:p w14:paraId="7DBCDBC2">
                  <w:pPr>
                    <w:contextualSpacing/>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农村</w:t>
                  </w:r>
                </w:p>
              </w:tc>
            </w:tr>
            <w:tr w14:paraId="1394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5" w:type="dxa"/>
                  <w:vMerge w:val="continue"/>
                  <w:noWrap w:val="0"/>
                  <w:vAlign w:val="center"/>
                </w:tcPr>
                <w:p w14:paraId="4A010AA9">
                  <w:pPr>
                    <w:contextualSpacing/>
                    <w:jc w:val="center"/>
                    <w:rPr>
                      <w:rFonts w:hint="default" w:ascii="Times New Roman" w:hAnsi="Times New Roman" w:cs="Times New Roman"/>
                      <w:color w:val="auto"/>
                      <w:sz w:val="18"/>
                      <w:szCs w:val="18"/>
                    </w:rPr>
                  </w:pPr>
                </w:p>
              </w:tc>
              <w:tc>
                <w:tcPr>
                  <w:tcW w:w="2791" w:type="dxa"/>
                  <w:noWrap w:val="0"/>
                  <w:vAlign w:val="center"/>
                </w:tcPr>
                <w:p w14:paraId="2404AE43">
                  <w:pPr>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人口数（城市选项时）</w:t>
                  </w:r>
                </w:p>
              </w:tc>
              <w:tc>
                <w:tcPr>
                  <w:tcW w:w="2792" w:type="dxa"/>
                  <w:noWrap w:val="0"/>
                  <w:vAlign w:val="center"/>
                </w:tcPr>
                <w:p w14:paraId="77C0B8C4">
                  <w:pPr>
                    <w:contextualSpacing/>
                    <w:jc w:val="center"/>
                    <w:rPr>
                      <w:rFonts w:hint="default" w:ascii="Times New Roman" w:hAnsi="Times New Roman" w:cs="Times New Roman"/>
                      <w:color w:val="auto"/>
                      <w:sz w:val="18"/>
                      <w:szCs w:val="18"/>
                    </w:rPr>
                  </w:pPr>
                </w:p>
              </w:tc>
            </w:tr>
            <w:tr w14:paraId="74CF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6" w:type="dxa"/>
                  <w:gridSpan w:val="2"/>
                  <w:noWrap w:val="0"/>
                  <w:vAlign w:val="center"/>
                </w:tcPr>
                <w:p w14:paraId="6FD84BFF">
                  <w:pPr>
                    <w:contextualSpacing/>
                    <w:jc w:val="center"/>
                    <w:rPr>
                      <w:rFonts w:hint="default" w:ascii="Times New Roman" w:hAnsi="Times New Roman" w:cs="Times New Roman"/>
                      <w:color w:val="auto"/>
                      <w:sz w:val="18"/>
                      <w:szCs w:val="18"/>
                      <w:lang w:eastAsia="ja-JP"/>
                    </w:rPr>
                  </w:pPr>
                  <w:r>
                    <w:rPr>
                      <w:rFonts w:hint="default" w:ascii="Times New Roman" w:hAnsi="Times New Roman" w:cs="Times New Roman"/>
                      <w:color w:val="auto"/>
                      <w:sz w:val="18"/>
                      <w:szCs w:val="18"/>
                    </w:rPr>
                    <w:t>最高环境温度/</w:t>
                  </w:r>
                  <w:r>
                    <w:rPr>
                      <w:rFonts w:hint="default" w:ascii="Times New Roman" w:hAnsi="Times New Roman" w:cs="Times New Roman"/>
                      <w:color w:val="auto"/>
                      <w:sz w:val="18"/>
                      <w:szCs w:val="18"/>
                      <w:lang w:eastAsia="ja-JP"/>
                    </w:rPr>
                    <w:t>℃</w:t>
                  </w:r>
                </w:p>
              </w:tc>
              <w:tc>
                <w:tcPr>
                  <w:tcW w:w="2792" w:type="dxa"/>
                  <w:noWrap w:val="0"/>
                  <w:vAlign w:val="center"/>
                </w:tcPr>
                <w:p w14:paraId="20AA0349">
                  <w:pPr>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41.0</w:t>
                  </w:r>
                </w:p>
              </w:tc>
            </w:tr>
            <w:tr w14:paraId="7245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6" w:type="dxa"/>
                  <w:gridSpan w:val="2"/>
                  <w:noWrap w:val="0"/>
                  <w:vAlign w:val="center"/>
                </w:tcPr>
                <w:p w14:paraId="42F7B4BA">
                  <w:pPr>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最低环境温度/</w:t>
                  </w:r>
                  <w:r>
                    <w:rPr>
                      <w:rFonts w:hint="default" w:ascii="Times New Roman" w:hAnsi="Times New Roman" w:cs="Times New Roman"/>
                      <w:color w:val="auto"/>
                      <w:sz w:val="18"/>
                      <w:szCs w:val="18"/>
                      <w:lang w:eastAsia="ja-JP"/>
                    </w:rPr>
                    <w:t>℃</w:t>
                  </w:r>
                </w:p>
              </w:tc>
              <w:tc>
                <w:tcPr>
                  <w:tcW w:w="2792" w:type="dxa"/>
                  <w:noWrap w:val="0"/>
                  <w:vAlign w:val="center"/>
                </w:tcPr>
                <w:p w14:paraId="39D49337">
                  <w:pPr>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-18.5</w:t>
                  </w:r>
                </w:p>
              </w:tc>
            </w:tr>
            <w:tr w14:paraId="1DB0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6" w:type="dxa"/>
                  <w:gridSpan w:val="2"/>
                  <w:noWrap w:val="0"/>
                  <w:vAlign w:val="center"/>
                </w:tcPr>
                <w:p w14:paraId="2FAE3D7D">
                  <w:pPr>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土地利用类型</w:t>
                  </w:r>
                </w:p>
              </w:tc>
              <w:tc>
                <w:tcPr>
                  <w:tcW w:w="2792" w:type="dxa"/>
                  <w:noWrap w:val="0"/>
                  <w:vAlign w:val="center"/>
                </w:tcPr>
                <w:p w14:paraId="789E31B6">
                  <w:pPr>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农作地</w:t>
                  </w:r>
                </w:p>
              </w:tc>
            </w:tr>
            <w:tr w14:paraId="21E3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76" w:type="dxa"/>
                  <w:gridSpan w:val="2"/>
                  <w:noWrap w:val="0"/>
                  <w:vAlign w:val="center"/>
                </w:tcPr>
                <w:p w14:paraId="5914A66E">
                  <w:pPr>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区域湿度条件</w:t>
                  </w:r>
                </w:p>
              </w:tc>
              <w:tc>
                <w:tcPr>
                  <w:tcW w:w="2792" w:type="dxa"/>
                  <w:noWrap w:val="0"/>
                  <w:vAlign w:val="center"/>
                </w:tcPr>
                <w:p w14:paraId="14CC84E2">
                  <w:pPr>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中等湿度</w:t>
                  </w:r>
                </w:p>
              </w:tc>
            </w:tr>
            <w:tr w14:paraId="24F1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5" w:type="dxa"/>
                  <w:vMerge w:val="restart"/>
                  <w:noWrap w:val="0"/>
                  <w:vAlign w:val="center"/>
                </w:tcPr>
                <w:p w14:paraId="27A777B2">
                  <w:pPr>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是否考虑地形</w:t>
                  </w:r>
                </w:p>
              </w:tc>
              <w:tc>
                <w:tcPr>
                  <w:tcW w:w="2791" w:type="dxa"/>
                  <w:noWrap w:val="0"/>
                  <w:vAlign w:val="center"/>
                </w:tcPr>
                <w:p w14:paraId="66293BA8">
                  <w:pPr>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考虑地形</w:t>
                  </w:r>
                </w:p>
              </w:tc>
              <w:tc>
                <w:tcPr>
                  <w:tcW w:w="2792" w:type="dxa"/>
                  <w:noWrap w:val="0"/>
                  <w:vAlign w:val="center"/>
                </w:tcPr>
                <w:p w14:paraId="6071EF9C">
                  <w:pPr>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□是  </w:t>
                  </w:r>
                  <w:r>
                    <w:rPr>
                      <w:rFonts w:hint="default" w:ascii="Times New Roman" w:hAnsi="Times New Roman" w:cs="Times New Roman"/>
                      <w:color w:val="auto"/>
                      <w:kern w:val="0"/>
                      <w:sz w:val="18"/>
                      <w:szCs w:val="18"/>
                    </w:rPr>
                    <w:t>√</w:t>
                  </w:r>
                  <w:r>
                    <w:rPr>
                      <w:rFonts w:hint="default" w:ascii="Times New Roman" w:hAnsi="Times New Roman" w:cs="Times New Roman"/>
                      <w:color w:val="auto"/>
                      <w:sz w:val="18"/>
                      <w:szCs w:val="18"/>
                    </w:rPr>
                    <w:t>否</w:t>
                  </w:r>
                </w:p>
              </w:tc>
            </w:tr>
            <w:tr w14:paraId="5DC7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5" w:type="dxa"/>
                  <w:vMerge w:val="continue"/>
                  <w:noWrap w:val="0"/>
                  <w:vAlign w:val="center"/>
                </w:tcPr>
                <w:p w14:paraId="61B280F6">
                  <w:pPr>
                    <w:contextualSpacing/>
                    <w:jc w:val="center"/>
                    <w:rPr>
                      <w:rFonts w:hint="default" w:ascii="Times New Roman" w:hAnsi="Times New Roman" w:cs="Times New Roman"/>
                      <w:color w:val="auto"/>
                      <w:sz w:val="18"/>
                      <w:szCs w:val="18"/>
                    </w:rPr>
                  </w:pPr>
                </w:p>
              </w:tc>
              <w:tc>
                <w:tcPr>
                  <w:tcW w:w="2791" w:type="dxa"/>
                  <w:noWrap w:val="0"/>
                  <w:vAlign w:val="center"/>
                </w:tcPr>
                <w:p w14:paraId="489BB5EC">
                  <w:pPr>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地形数据分辨率/m</w:t>
                  </w:r>
                </w:p>
              </w:tc>
              <w:tc>
                <w:tcPr>
                  <w:tcW w:w="2792" w:type="dxa"/>
                  <w:noWrap w:val="0"/>
                  <w:vAlign w:val="center"/>
                </w:tcPr>
                <w:p w14:paraId="2456A719">
                  <w:pPr>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14:paraId="4D3D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5" w:type="dxa"/>
                  <w:noWrap w:val="0"/>
                  <w:vAlign w:val="center"/>
                </w:tcPr>
                <w:p w14:paraId="6FFC4252">
                  <w:pPr>
                    <w:contextualSpacing/>
                    <w:jc w:val="center"/>
                    <w:rPr>
                      <w:rFonts w:hint="default" w:ascii="Times New Roman" w:hAnsi="Times New Roman" w:cs="Times New Roman"/>
                      <w:color w:val="auto"/>
                      <w:sz w:val="18"/>
                      <w:szCs w:val="18"/>
                    </w:rPr>
                  </w:pPr>
                </w:p>
              </w:tc>
              <w:tc>
                <w:tcPr>
                  <w:tcW w:w="2791" w:type="dxa"/>
                  <w:noWrap w:val="0"/>
                  <w:vAlign w:val="center"/>
                </w:tcPr>
                <w:p w14:paraId="67638735">
                  <w:pPr>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考虑岸线熏烟</w:t>
                  </w:r>
                </w:p>
              </w:tc>
              <w:tc>
                <w:tcPr>
                  <w:tcW w:w="2792" w:type="dxa"/>
                  <w:noWrap w:val="0"/>
                  <w:vAlign w:val="center"/>
                </w:tcPr>
                <w:p w14:paraId="248A5566">
                  <w:pPr>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□是  </w:t>
                  </w:r>
                  <w:r>
                    <w:rPr>
                      <w:rFonts w:hint="default" w:ascii="Times New Roman" w:hAnsi="Times New Roman" w:cs="Times New Roman"/>
                      <w:color w:val="auto"/>
                      <w:kern w:val="0"/>
                      <w:sz w:val="18"/>
                      <w:szCs w:val="18"/>
                    </w:rPr>
                    <w:t>√</w:t>
                  </w:r>
                  <w:r>
                    <w:rPr>
                      <w:rFonts w:hint="default" w:ascii="Times New Roman" w:hAnsi="Times New Roman" w:cs="Times New Roman"/>
                      <w:color w:val="auto"/>
                      <w:sz w:val="18"/>
                      <w:szCs w:val="18"/>
                    </w:rPr>
                    <w:t>否</w:t>
                  </w:r>
                </w:p>
              </w:tc>
            </w:tr>
            <w:tr w14:paraId="492B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5" w:type="dxa"/>
                  <w:noWrap w:val="0"/>
                  <w:vAlign w:val="center"/>
                </w:tcPr>
                <w:p w14:paraId="2CB0D031">
                  <w:pPr>
                    <w:contextualSpacing/>
                    <w:jc w:val="center"/>
                    <w:rPr>
                      <w:rFonts w:hint="default" w:ascii="Times New Roman" w:hAnsi="Times New Roman" w:cs="Times New Roman"/>
                      <w:color w:val="auto"/>
                      <w:sz w:val="18"/>
                      <w:szCs w:val="18"/>
                    </w:rPr>
                  </w:pPr>
                </w:p>
              </w:tc>
              <w:tc>
                <w:tcPr>
                  <w:tcW w:w="2791" w:type="dxa"/>
                  <w:noWrap w:val="0"/>
                  <w:vAlign w:val="center"/>
                </w:tcPr>
                <w:p w14:paraId="7B9EEAD5">
                  <w:pPr>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岸线距离/m</w:t>
                  </w:r>
                </w:p>
              </w:tc>
              <w:tc>
                <w:tcPr>
                  <w:tcW w:w="2792" w:type="dxa"/>
                  <w:noWrap w:val="0"/>
                  <w:vAlign w:val="center"/>
                </w:tcPr>
                <w:p w14:paraId="2E4D17F4">
                  <w:pPr>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14:paraId="75CF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85" w:type="dxa"/>
                  <w:noWrap w:val="0"/>
                  <w:vAlign w:val="center"/>
                </w:tcPr>
                <w:p w14:paraId="663B4C4D">
                  <w:pPr>
                    <w:contextualSpacing/>
                    <w:jc w:val="center"/>
                    <w:rPr>
                      <w:rFonts w:hint="default" w:ascii="Times New Roman" w:hAnsi="Times New Roman" w:cs="Times New Roman"/>
                      <w:color w:val="auto"/>
                      <w:sz w:val="18"/>
                      <w:szCs w:val="18"/>
                    </w:rPr>
                  </w:pPr>
                </w:p>
              </w:tc>
              <w:tc>
                <w:tcPr>
                  <w:tcW w:w="2791" w:type="dxa"/>
                  <w:noWrap w:val="0"/>
                  <w:vAlign w:val="center"/>
                </w:tcPr>
                <w:p w14:paraId="2BA521FC">
                  <w:pPr>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岸线方向/°</w:t>
                  </w:r>
                </w:p>
              </w:tc>
              <w:tc>
                <w:tcPr>
                  <w:tcW w:w="2792" w:type="dxa"/>
                  <w:noWrap w:val="0"/>
                  <w:vAlign w:val="center"/>
                </w:tcPr>
                <w:p w14:paraId="740C3735">
                  <w:pPr>
                    <w:contextualSpacing/>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bl>
          <w:p w14:paraId="4AF4BF42">
            <w:pPr>
              <w:jc w:val="center"/>
              <w:rPr>
                <w:rFonts w:hint="default" w:ascii="Times New Roman" w:hAnsi="Times New Roman" w:cs="Times New Roman"/>
                <w:b/>
                <w:color w:val="auto"/>
                <w:highlight w:val="none"/>
              </w:rPr>
            </w:pPr>
          </w:p>
          <w:p w14:paraId="22741E10">
            <w:pPr>
              <w:jc w:val="center"/>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表4-</w:t>
            </w:r>
            <w:r>
              <w:rPr>
                <w:rFonts w:hint="eastAsia" w:eastAsia="黑体" w:cs="Times New Roman"/>
                <w:color w:val="auto"/>
                <w:lang w:val="en-US" w:eastAsia="zh-CN"/>
              </w:rPr>
              <w:t>5</w:t>
            </w:r>
            <w:r>
              <w:rPr>
                <w:rFonts w:hint="default" w:ascii="Times New Roman" w:hAnsi="Times New Roman" w:eastAsia="黑体" w:cs="Times New Roman"/>
                <w:color w:val="auto"/>
                <w:lang w:val="en-US" w:eastAsia="zh-CN"/>
              </w:rPr>
              <w:t>所有污染源（面源）的正常排放的污染物的Pmax和D10%预测结果一览表</w:t>
            </w:r>
          </w:p>
          <w:tbl>
            <w:tblPr>
              <w:tblStyle w:val="8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8"/>
              <w:gridCol w:w="1488"/>
              <w:gridCol w:w="1771"/>
              <w:gridCol w:w="1798"/>
            </w:tblGrid>
            <w:tr w14:paraId="32B1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80" w:type="pct"/>
                  <w:noWrap w:val="0"/>
                  <w:vAlign w:val="center"/>
                </w:tcPr>
                <w:p w14:paraId="10EDDB8E">
                  <w:pPr>
                    <w:contextualSpacing/>
                    <w:jc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rPr>
                    <w:t>污染源名称</w:t>
                  </w:r>
                </w:p>
              </w:tc>
              <w:tc>
                <w:tcPr>
                  <w:tcW w:w="888" w:type="pct"/>
                  <w:noWrap w:val="0"/>
                  <w:vAlign w:val="center"/>
                </w:tcPr>
                <w:p w14:paraId="7160BE94">
                  <w:pPr>
                    <w:contextualSpacing/>
                    <w:jc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rPr>
                    <w:t>评价因子</w:t>
                  </w:r>
                </w:p>
              </w:tc>
              <w:tc>
                <w:tcPr>
                  <w:tcW w:w="1057" w:type="pct"/>
                  <w:noWrap w:val="0"/>
                  <w:vAlign w:val="center"/>
                </w:tcPr>
                <w:p w14:paraId="1F1083A0">
                  <w:pPr>
                    <w:contextualSpacing/>
                    <w:jc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rPr>
                    <w:t>评价标准（mg/m</w:t>
                  </w:r>
                  <w:r>
                    <w:rPr>
                      <w:rFonts w:hint="default" w:ascii="Times New Roman" w:hAnsi="Times New Roman" w:cs="Times New Roman"/>
                      <w:b/>
                      <w:bCs/>
                      <w:color w:val="auto"/>
                      <w:sz w:val="18"/>
                      <w:szCs w:val="18"/>
                      <w:highlight w:val="none"/>
                      <w:vertAlign w:val="superscript"/>
                    </w:rPr>
                    <w:t>3</w:t>
                  </w:r>
                  <w:r>
                    <w:rPr>
                      <w:rFonts w:hint="default" w:ascii="Times New Roman" w:hAnsi="Times New Roman" w:cs="Times New Roman"/>
                      <w:b/>
                      <w:bCs/>
                      <w:color w:val="auto"/>
                      <w:sz w:val="18"/>
                      <w:szCs w:val="18"/>
                      <w:highlight w:val="none"/>
                    </w:rPr>
                    <w:t>）</w:t>
                  </w:r>
                </w:p>
              </w:tc>
              <w:tc>
                <w:tcPr>
                  <w:tcW w:w="1073" w:type="pct"/>
                  <w:noWrap w:val="0"/>
                  <w:vAlign w:val="center"/>
                </w:tcPr>
                <w:p w14:paraId="79EAF2FF">
                  <w:pPr>
                    <w:contextualSpacing/>
                    <w:jc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rPr>
                    <w:t>C</w:t>
                  </w:r>
                  <w:r>
                    <w:rPr>
                      <w:rFonts w:hint="default" w:ascii="Times New Roman" w:hAnsi="Times New Roman" w:cs="Times New Roman"/>
                      <w:b/>
                      <w:bCs/>
                      <w:color w:val="auto"/>
                      <w:sz w:val="18"/>
                      <w:szCs w:val="18"/>
                      <w:highlight w:val="none"/>
                      <w:vertAlign w:val="subscript"/>
                    </w:rPr>
                    <w:t>max</w:t>
                  </w:r>
                </w:p>
                <w:p w14:paraId="39BF859F">
                  <w:pPr>
                    <w:contextualSpacing/>
                    <w:jc w:val="center"/>
                    <w:rPr>
                      <w:rFonts w:hint="default" w:ascii="Times New Roman" w:hAnsi="Times New Roman" w:cs="Times New Roman"/>
                      <w:b/>
                      <w:bCs/>
                      <w:color w:val="auto"/>
                      <w:sz w:val="18"/>
                      <w:szCs w:val="18"/>
                      <w:highlight w:val="yellow"/>
                    </w:rPr>
                  </w:pPr>
                  <w:r>
                    <w:rPr>
                      <w:rFonts w:hint="default" w:ascii="Times New Roman" w:hAnsi="Times New Roman" w:cs="Times New Roman"/>
                      <w:b/>
                      <w:bCs/>
                      <w:color w:val="auto"/>
                      <w:sz w:val="18"/>
                      <w:szCs w:val="18"/>
                      <w:highlight w:val="none"/>
                    </w:rPr>
                    <w:t>（mg/m</w:t>
                  </w:r>
                  <w:r>
                    <w:rPr>
                      <w:rFonts w:hint="default" w:ascii="Times New Roman" w:hAnsi="Times New Roman" w:cs="Times New Roman"/>
                      <w:b/>
                      <w:bCs/>
                      <w:color w:val="auto"/>
                      <w:sz w:val="18"/>
                      <w:szCs w:val="18"/>
                      <w:highlight w:val="none"/>
                      <w:vertAlign w:val="superscript"/>
                    </w:rPr>
                    <w:t>3</w:t>
                  </w:r>
                  <w:r>
                    <w:rPr>
                      <w:rFonts w:hint="default" w:ascii="Times New Roman" w:hAnsi="Times New Roman" w:cs="Times New Roman"/>
                      <w:b/>
                      <w:bCs/>
                      <w:color w:val="auto"/>
                      <w:sz w:val="18"/>
                      <w:szCs w:val="18"/>
                      <w:highlight w:val="none"/>
                    </w:rPr>
                    <w:t>）</w:t>
                  </w:r>
                </w:p>
              </w:tc>
            </w:tr>
            <w:tr w14:paraId="60B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0" w:type="pct"/>
                  <w:noWrap w:val="0"/>
                  <w:vAlign w:val="center"/>
                </w:tcPr>
                <w:p w14:paraId="411BD78C">
                  <w:pPr>
                    <w:snapToGrid w:val="0"/>
                    <w:jc w:val="center"/>
                    <w:rPr>
                      <w:rFonts w:hint="default" w:ascii="Times New Roman" w:hAnsi="Times New Roman" w:cs="Times New Roman"/>
                      <w:color w:val="auto"/>
                      <w:kern w:val="0"/>
                      <w:sz w:val="18"/>
                      <w:szCs w:val="18"/>
                      <w:highlight w:val="none"/>
                    </w:rPr>
                  </w:pPr>
                  <w:r>
                    <w:rPr>
                      <w:rFonts w:hint="eastAsia" w:cs="Times New Roman"/>
                      <w:color w:val="auto"/>
                      <w:kern w:val="0"/>
                      <w:sz w:val="18"/>
                      <w:szCs w:val="18"/>
                      <w:highlight w:val="none"/>
                      <w:lang w:val="en-US" w:eastAsia="zh-CN"/>
                    </w:rPr>
                    <w:t>2#生产</w:t>
                  </w:r>
                  <w:r>
                    <w:rPr>
                      <w:rFonts w:hint="default" w:ascii="Times New Roman" w:hAnsi="Times New Roman" w:cs="Times New Roman"/>
                      <w:color w:val="auto"/>
                      <w:kern w:val="0"/>
                      <w:sz w:val="18"/>
                      <w:szCs w:val="18"/>
                      <w:highlight w:val="none"/>
                      <w:lang w:val="en-US" w:eastAsia="zh-CN"/>
                    </w:rPr>
                    <w:t>车间</w:t>
                  </w:r>
                </w:p>
              </w:tc>
              <w:tc>
                <w:tcPr>
                  <w:tcW w:w="888" w:type="pct"/>
                  <w:noWrap w:val="0"/>
                  <w:vAlign w:val="center"/>
                </w:tcPr>
                <w:p w14:paraId="195449E5">
                  <w:pPr>
                    <w:snapToGrid w:val="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sz w:val="18"/>
                      <w:szCs w:val="18"/>
                      <w:highlight w:val="none"/>
                    </w:rPr>
                    <w:t>PM</w:t>
                  </w:r>
                  <w:r>
                    <w:rPr>
                      <w:rFonts w:hint="default" w:ascii="Times New Roman" w:hAnsi="Times New Roman" w:cs="Times New Roman"/>
                      <w:color w:val="auto"/>
                      <w:sz w:val="18"/>
                      <w:szCs w:val="18"/>
                      <w:highlight w:val="none"/>
                      <w:vertAlign w:val="subscript"/>
                    </w:rPr>
                    <w:t>10</w:t>
                  </w:r>
                </w:p>
              </w:tc>
              <w:tc>
                <w:tcPr>
                  <w:tcW w:w="1057" w:type="pct"/>
                  <w:noWrap w:val="0"/>
                  <w:vAlign w:val="center"/>
                </w:tcPr>
                <w:p w14:paraId="3D66F0B5">
                  <w:pPr>
                    <w:contextualSpacing/>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0.9</w:t>
                  </w:r>
                </w:p>
              </w:tc>
              <w:tc>
                <w:tcPr>
                  <w:tcW w:w="1073" w:type="pct"/>
                  <w:noWrap w:val="0"/>
                  <w:vAlign w:val="center"/>
                </w:tcPr>
                <w:p w14:paraId="2E1C557E">
                  <w:pPr>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w:t>
                  </w:r>
                  <w:r>
                    <w:rPr>
                      <w:rFonts w:hint="eastAsia" w:cs="Times New Roman"/>
                      <w:color w:val="auto"/>
                      <w:sz w:val="18"/>
                      <w:szCs w:val="18"/>
                      <w:highlight w:val="none"/>
                      <w:lang w:val="en-US" w:eastAsia="zh-CN"/>
                    </w:rPr>
                    <w:t>00137</w:t>
                  </w:r>
                </w:p>
              </w:tc>
            </w:tr>
          </w:tbl>
          <w:p w14:paraId="1CC7E66E">
            <w:pPr>
              <w:adjustRightInd w:val="0"/>
              <w:snapToGrid w:val="0"/>
              <w:spacing w:line="360" w:lineRule="auto"/>
              <w:ind w:firstLine="422" w:firstLineChars="20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lang w:val="en-US" w:eastAsia="zh-CN"/>
              </w:rPr>
              <w:t>6</w:t>
            </w:r>
            <w:r>
              <w:rPr>
                <w:rFonts w:hint="default" w:ascii="Times New Roman" w:hAnsi="Times New Roman" w:cs="Times New Roman"/>
                <w:b/>
                <w:bCs/>
                <w:color w:val="auto"/>
                <w:highlight w:val="none"/>
              </w:rPr>
              <w:t>、结论</w:t>
            </w:r>
          </w:p>
          <w:p w14:paraId="2874FCB2">
            <w:pPr>
              <w:pStyle w:val="378"/>
              <w:ind w:firstLine="420"/>
              <w:rPr>
                <w:rFonts w:hint="default" w:ascii="Times New Roman" w:hAnsi="Times New Roman" w:cs="Times New Roman"/>
                <w:color w:val="auto"/>
                <w:sz w:val="21"/>
                <w:highlight w:val="none"/>
              </w:rPr>
            </w:pPr>
            <w:r>
              <w:rPr>
                <w:rFonts w:hint="default" w:ascii="Times New Roman" w:hAnsi="Times New Roman" w:cs="Times New Roman"/>
                <w:color w:val="auto"/>
                <w:kern w:val="24"/>
                <w:sz w:val="21"/>
                <w:lang w:bidi="ar"/>
              </w:rPr>
              <w:t>该项目所在淄川区属于不达标区域。</w:t>
            </w:r>
            <w:r>
              <w:rPr>
                <w:rFonts w:hint="default" w:ascii="Times New Roman" w:hAnsi="Times New Roman" w:cs="Times New Roman"/>
                <w:color w:val="auto"/>
                <w:sz w:val="21"/>
              </w:rPr>
              <w:t>经AERSCREEN模式</w:t>
            </w:r>
            <w:r>
              <w:rPr>
                <w:rFonts w:hint="default" w:ascii="Times New Roman" w:hAnsi="Times New Roman" w:cs="Times New Roman"/>
                <w:color w:val="auto"/>
                <w:sz w:val="21"/>
                <w:lang w:val="en-US"/>
              </w:rPr>
              <w:t>估算</w:t>
            </w:r>
            <w:r>
              <w:rPr>
                <w:rFonts w:hint="default" w:ascii="Times New Roman" w:hAnsi="Times New Roman" w:cs="Times New Roman"/>
                <w:color w:val="auto"/>
                <w:sz w:val="21"/>
              </w:rPr>
              <w:t>可知，厂界颗粒物无组织排放浓度满足</w:t>
            </w:r>
            <w:r>
              <w:rPr>
                <w:rFonts w:hint="default" w:ascii="Times New Roman" w:hAnsi="Times New Roman" w:cs="Times New Roman"/>
                <w:color w:val="auto"/>
                <w:sz w:val="21"/>
                <w:szCs w:val="21"/>
              </w:rPr>
              <w:t>《建材工业大气污染物排放标准》（DB37/2373-2018）</w:t>
            </w:r>
            <w:r>
              <w:rPr>
                <w:rFonts w:hint="default" w:ascii="Times New Roman" w:hAnsi="Times New Roman" w:cs="Times New Roman" w:eastAsiaTheme="minorEastAsia"/>
                <w:color w:val="auto"/>
                <w:sz w:val="21"/>
                <w:szCs w:val="21"/>
              </w:rPr>
              <w:t>表3中建材工业大气污染物无组织</w:t>
            </w:r>
            <w:r>
              <w:rPr>
                <w:rFonts w:hint="default" w:ascii="Times New Roman" w:hAnsi="Times New Roman" w:cs="Times New Roman" w:eastAsiaTheme="minorEastAsia"/>
                <w:color w:val="auto"/>
                <w:sz w:val="21"/>
                <w:szCs w:val="21"/>
                <w:highlight w:val="none"/>
              </w:rPr>
              <w:t>排放限值“除水泥外的其他建材”标准要求</w:t>
            </w:r>
            <w:r>
              <w:rPr>
                <w:rFonts w:hint="default" w:ascii="Times New Roman" w:hAnsi="Times New Roman" w:cs="Times New Roman"/>
                <w:color w:val="auto"/>
                <w:sz w:val="21"/>
                <w:szCs w:val="21"/>
                <w:highlight w:val="none"/>
              </w:rPr>
              <w:t>（颗粒物：1.0</w:t>
            </w:r>
            <w:r>
              <w:rPr>
                <w:rFonts w:hint="default" w:ascii="Times New Roman" w:hAnsi="Times New Roman" w:cs="Times New Roman"/>
                <w:bCs/>
                <w:color w:val="auto"/>
                <w:sz w:val="21"/>
                <w:szCs w:val="21"/>
                <w:highlight w:val="none"/>
                <w:lang w:val="de-DE"/>
              </w:rPr>
              <w:t xml:space="preserve"> mg/m</w:t>
            </w:r>
            <w:r>
              <w:rPr>
                <w:rFonts w:hint="default" w:ascii="Times New Roman" w:hAnsi="Times New Roman" w:cs="Times New Roman"/>
                <w:bCs/>
                <w:color w:val="auto"/>
                <w:sz w:val="21"/>
                <w:szCs w:val="21"/>
                <w:highlight w:val="none"/>
                <w:vertAlign w:val="superscript"/>
                <w:lang w:val="de-DE"/>
              </w:rPr>
              <w:t>3</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highlight w:val="none"/>
              </w:rPr>
              <w:t>。</w:t>
            </w:r>
          </w:p>
          <w:p w14:paraId="6918A647">
            <w:pPr>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rPr>
              <w:t>经上文分析，本项目废气经过治理后有组织废气和无组织废气均能达标排放，污染物最大落地浓</w:t>
            </w:r>
            <w:r>
              <w:rPr>
                <w:rFonts w:hint="default" w:ascii="Times New Roman" w:hAnsi="Times New Roman" w:cs="Times New Roman"/>
                <w:color w:val="auto"/>
                <w:highlight w:val="none"/>
              </w:rPr>
              <w:t>度较小，均满足相应的环境质量标准，在落实污染物治理方案后和总量倍量替代后，对大气环境影响较小。</w:t>
            </w:r>
          </w:p>
          <w:p w14:paraId="69B4BCDE">
            <w:pPr>
              <w:adjustRightInd w:val="0"/>
              <w:snapToGrid w:val="0"/>
              <w:spacing w:line="360" w:lineRule="auto"/>
              <w:ind w:firstLine="422" w:firstLineChars="20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7、非正常工况分析</w:t>
            </w:r>
          </w:p>
          <w:p w14:paraId="07598DCB">
            <w:pPr>
              <w:adjustRightInd w:val="0"/>
              <w:snapToGrid w:val="0"/>
              <w:spacing w:line="360" w:lineRule="auto"/>
              <w:ind w:firstLine="420" w:firstLineChars="200"/>
              <w:rPr>
                <w:color w:val="auto"/>
                <w:szCs w:val="21"/>
                <w:highlight w:val="none"/>
              </w:rPr>
            </w:pPr>
            <w:r>
              <w:rPr>
                <w:color w:val="auto"/>
                <w:szCs w:val="21"/>
                <w:highlight w:val="none"/>
              </w:rPr>
              <w:t>非正常工况是指工艺运行中所有生产运行技术参数未达到设计范围的情况。包括生产运行阶段的开停车、检修，工艺设备的运转异常、污染物排放控制措施达不到应有的效率、一般性事故和泄漏，以及发生严重的环境事故等。</w:t>
            </w:r>
          </w:p>
          <w:p w14:paraId="79226D0F">
            <w:pPr>
              <w:adjustRightInd w:val="0"/>
              <w:snapToGrid w:val="0"/>
              <w:spacing w:line="360" w:lineRule="auto"/>
              <w:ind w:firstLine="420" w:firstLineChars="200"/>
              <w:rPr>
                <w:rFonts w:hint="default" w:ascii="Times New Roman" w:hAnsi="Times New Roman" w:cs="Times New Roman"/>
                <w:color w:val="auto"/>
              </w:rPr>
            </w:pPr>
            <w:r>
              <w:rPr>
                <w:color w:val="auto"/>
                <w:sz w:val="21"/>
                <w:szCs w:val="21"/>
                <w:highlight w:val="none"/>
              </w:rPr>
              <w:t>本项目非正常工况主要为</w:t>
            </w:r>
            <w:r>
              <w:rPr>
                <w:rFonts w:hint="eastAsia"/>
                <w:color w:val="auto"/>
                <w:sz w:val="21"/>
                <w:szCs w:val="21"/>
                <w:highlight w:val="none"/>
                <w:lang w:val="en-US" w:eastAsia="zh-CN"/>
              </w:rPr>
              <w:t>布袋除尘器</w:t>
            </w:r>
            <w:r>
              <w:rPr>
                <w:color w:val="auto"/>
                <w:sz w:val="21"/>
                <w:szCs w:val="21"/>
                <w:highlight w:val="none"/>
              </w:rPr>
              <w:t>运转失灵导致大气污染物直接排放</w:t>
            </w:r>
            <w:r>
              <w:rPr>
                <w:rFonts w:hint="eastAsia"/>
                <w:color w:val="auto"/>
                <w:sz w:val="21"/>
                <w:szCs w:val="21"/>
                <w:highlight w:val="none"/>
              </w:rPr>
              <w:t>，</w:t>
            </w:r>
            <w:r>
              <w:rPr>
                <w:rFonts w:hint="eastAsia"/>
                <w:color w:val="auto"/>
                <w:sz w:val="21"/>
                <w:szCs w:val="21"/>
                <w:highlight w:val="none"/>
                <w:lang w:val="en-US" w:eastAsia="zh-CN"/>
              </w:rPr>
              <w:t>布袋除尘器</w:t>
            </w:r>
            <w:r>
              <w:rPr>
                <w:rFonts w:hint="eastAsia"/>
                <w:color w:val="auto"/>
                <w:sz w:val="21"/>
                <w:szCs w:val="21"/>
                <w:highlight w:val="none"/>
                <w:lang w:val="en-US"/>
              </w:rPr>
              <w:t>发生故障后，处理效率为0，则粉尘无组织排放速率为0.</w:t>
            </w:r>
            <w:r>
              <w:rPr>
                <w:rFonts w:hint="eastAsia"/>
                <w:color w:val="auto"/>
                <w:sz w:val="21"/>
                <w:szCs w:val="21"/>
                <w:highlight w:val="none"/>
                <w:lang w:val="en-US" w:eastAsia="zh-CN"/>
              </w:rPr>
              <w:t>01</w:t>
            </w:r>
            <w:r>
              <w:rPr>
                <w:rFonts w:hint="eastAsia"/>
                <w:color w:val="auto"/>
                <w:sz w:val="21"/>
                <w:szCs w:val="21"/>
                <w:highlight w:val="none"/>
                <w:lang w:val="en-US"/>
              </w:rPr>
              <w:t>kg/h，</w:t>
            </w:r>
            <w:r>
              <w:rPr>
                <w:color w:val="auto"/>
                <w:sz w:val="21"/>
                <w:szCs w:val="21"/>
                <w:highlight w:val="none"/>
              </w:rPr>
              <w:t>经AERSCREEN模式</w:t>
            </w:r>
            <w:r>
              <w:rPr>
                <w:color w:val="auto"/>
                <w:sz w:val="21"/>
                <w:szCs w:val="21"/>
                <w:highlight w:val="none"/>
                <w:lang w:val="en-US"/>
              </w:rPr>
              <w:t>估算</w:t>
            </w:r>
            <w:r>
              <w:rPr>
                <w:color w:val="auto"/>
                <w:sz w:val="21"/>
                <w:szCs w:val="21"/>
                <w:highlight w:val="none"/>
              </w:rPr>
              <w:t>可知，</w:t>
            </w:r>
            <w:r>
              <w:rPr>
                <w:rFonts w:hint="eastAsia"/>
                <w:color w:val="auto"/>
                <w:sz w:val="21"/>
                <w:szCs w:val="21"/>
                <w:highlight w:val="none"/>
                <w:lang w:val="en-US"/>
              </w:rPr>
              <w:t>颗粒物最大落地浓度为0.</w:t>
            </w:r>
            <w:r>
              <w:rPr>
                <w:rFonts w:hint="eastAsia"/>
                <w:color w:val="auto"/>
                <w:sz w:val="21"/>
                <w:szCs w:val="21"/>
                <w:highlight w:val="none"/>
                <w:lang w:val="en-US" w:eastAsia="zh-CN"/>
              </w:rPr>
              <w:t>00415</w:t>
            </w:r>
            <w:r>
              <w:rPr>
                <w:rFonts w:hint="eastAsia"/>
                <w:color w:val="auto"/>
                <w:sz w:val="21"/>
                <w:szCs w:val="21"/>
                <w:highlight w:val="none"/>
                <w:lang w:val="en-US"/>
              </w:rPr>
              <w:t>mg/m</w:t>
            </w:r>
            <w:r>
              <w:rPr>
                <w:rFonts w:hint="eastAsia"/>
                <w:color w:val="auto"/>
                <w:sz w:val="21"/>
                <w:szCs w:val="21"/>
                <w:highlight w:val="none"/>
                <w:vertAlign w:val="superscript"/>
                <w:lang w:val="en-US"/>
              </w:rPr>
              <w:t>3</w:t>
            </w:r>
            <w:r>
              <w:rPr>
                <w:rFonts w:hint="eastAsia"/>
                <w:color w:val="auto"/>
                <w:sz w:val="21"/>
                <w:szCs w:val="21"/>
                <w:highlight w:val="none"/>
                <w:lang w:val="en-US"/>
              </w:rPr>
              <w:t>，</w:t>
            </w:r>
            <w:r>
              <w:rPr>
                <w:color w:val="auto"/>
                <w:sz w:val="21"/>
                <w:szCs w:val="21"/>
                <w:highlight w:val="none"/>
                <w:lang w:val="en-US"/>
              </w:rPr>
              <w:t>颗粒物</w:t>
            </w:r>
            <w:r>
              <w:rPr>
                <w:rFonts w:hint="eastAsia"/>
                <w:color w:val="auto"/>
                <w:sz w:val="21"/>
                <w:szCs w:val="21"/>
                <w:highlight w:val="none"/>
                <w:lang w:val="en-US"/>
              </w:rPr>
              <w:t>排放</w:t>
            </w:r>
            <w:r>
              <w:rPr>
                <w:color w:val="auto"/>
                <w:sz w:val="21"/>
                <w:szCs w:val="21"/>
                <w:highlight w:val="none"/>
                <w:lang w:val="en-US"/>
              </w:rPr>
              <w:t>浓度</w:t>
            </w:r>
            <w:r>
              <w:rPr>
                <w:rFonts w:hint="eastAsia"/>
                <w:color w:val="auto"/>
                <w:sz w:val="21"/>
                <w:szCs w:val="21"/>
                <w:highlight w:val="none"/>
                <w:lang w:val="en-US"/>
              </w:rPr>
              <w:t>增高</w:t>
            </w:r>
            <w:r>
              <w:rPr>
                <w:color w:val="auto"/>
                <w:sz w:val="21"/>
                <w:szCs w:val="21"/>
                <w:highlight w:val="none"/>
                <w:lang w:val="en-US"/>
              </w:rPr>
              <w:t>，且该项目非正常工况排放次数极少，排放时间较</w:t>
            </w:r>
            <w:r>
              <w:rPr>
                <w:color w:val="000000" w:themeColor="text1"/>
                <w:sz w:val="21"/>
                <w:szCs w:val="21"/>
                <w:lang w:val="en-US"/>
                <w14:textFill>
                  <w14:solidFill>
                    <w14:schemeClr w14:val="tx1"/>
                  </w14:solidFill>
                </w14:textFill>
              </w:rPr>
              <w:t>短，不会对周围大气造成长期影响，因此本次评价不做主要分析</w:t>
            </w:r>
            <w:r>
              <w:rPr>
                <w:rFonts w:hint="default" w:ascii="Times New Roman" w:hAnsi="Times New Roman" w:cs="Times New Roman"/>
                <w:color w:val="FF0000"/>
              </w:rPr>
              <w:t>。</w:t>
            </w:r>
          </w:p>
          <w:p w14:paraId="20207A92">
            <w:pPr>
              <w:spacing w:line="360" w:lineRule="auto"/>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8</w:t>
            </w:r>
            <w:r>
              <w:rPr>
                <w:rFonts w:hint="default" w:ascii="Times New Roman" w:hAnsi="Times New Roman" w:cs="Times New Roman"/>
                <w:b/>
                <w:bCs/>
                <w:color w:val="auto"/>
                <w:lang w:val="zh-CN"/>
              </w:rPr>
              <w:t>、监测要求</w:t>
            </w:r>
          </w:p>
          <w:p w14:paraId="5B490897">
            <w:pPr>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根据《淄博市污染源自</w:t>
            </w:r>
            <w:r>
              <w:rPr>
                <w:rFonts w:hint="default" w:ascii="Times New Roman" w:hAnsi="Times New Roman" w:cs="Times New Roman"/>
                <w:color w:val="auto"/>
                <w:highlight w:val="none"/>
              </w:rPr>
              <w:t>动监控条例》、《关于开展全市纳入排污许可管理企业自动监控设施安装工作的通知》（淄环委办函[2021]45号），本项目</w:t>
            </w:r>
            <w:r>
              <w:rPr>
                <w:rFonts w:hint="eastAsia" w:cs="Times New Roman"/>
                <w:color w:val="auto"/>
                <w:highlight w:val="none"/>
                <w:lang w:val="en-US" w:eastAsia="zh-CN"/>
              </w:rPr>
              <w:t>不涉及排气筒，</w:t>
            </w:r>
            <w:r>
              <w:rPr>
                <w:rFonts w:hint="default" w:ascii="Times New Roman" w:hAnsi="Times New Roman" w:cs="Times New Roman"/>
                <w:color w:val="auto"/>
                <w:highlight w:val="none"/>
              </w:rPr>
              <w:t>本项目无</w:t>
            </w:r>
            <w:r>
              <w:rPr>
                <w:rFonts w:hint="default" w:ascii="Times New Roman" w:hAnsi="Times New Roman" w:cs="Times New Roman"/>
                <w:color w:val="auto"/>
              </w:rPr>
              <w:t>需进行自动监控设施的安装。</w:t>
            </w:r>
          </w:p>
          <w:p w14:paraId="279D1627">
            <w:pPr>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依据《排污单位自行监测技术指南 总则》（HJ819-2017）</w:t>
            </w:r>
            <w:r>
              <w:rPr>
                <w:rFonts w:hint="eastAsia" w:cs="Times New Roman"/>
                <w:color w:val="auto"/>
                <w:lang w:eastAsia="zh-CN"/>
              </w:rPr>
              <w:t>、《排污许可证申请与核发技术规范 石墨及其他非金属矿物制品制造》（HJ1119—2020）</w:t>
            </w:r>
            <w:r>
              <w:rPr>
                <w:rFonts w:hint="default" w:ascii="Times New Roman" w:hAnsi="Times New Roman" w:cs="Times New Roman"/>
                <w:color w:val="auto"/>
              </w:rPr>
              <w:t>要求，</w:t>
            </w:r>
            <w:r>
              <w:rPr>
                <w:rFonts w:hint="eastAsia" w:cs="Times New Roman"/>
                <w:color w:val="auto"/>
                <w:lang w:val="en-US" w:eastAsia="zh-CN"/>
              </w:rPr>
              <w:t>本</w:t>
            </w:r>
            <w:r>
              <w:rPr>
                <w:rFonts w:hint="default" w:ascii="Times New Roman" w:hAnsi="Times New Roman" w:cs="Times New Roman"/>
                <w:color w:val="auto"/>
              </w:rPr>
              <w:t>项目</w:t>
            </w:r>
            <w:r>
              <w:rPr>
                <w:rFonts w:hint="eastAsia" w:cs="Times New Roman"/>
                <w:color w:val="auto"/>
                <w:lang w:val="en-US" w:eastAsia="zh-CN"/>
              </w:rPr>
              <w:t>排污许可为简化管理，</w:t>
            </w:r>
            <w:r>
              <w:rPr>
                <w:rFonts w:hint="default" w:ascii="Times New Roman" w:hAnsi="Times New Roman" w:cs="Times New Roman"/>
                <w:color w:val="auto"/>
              </w:rPr>
              <w:t>废气自行监测方案如下：</w:t>
            </w:r>
          </w:p>
          <w:p w14:paraId="52DC805D">
            <w:pPr>
              <w:pStyle w:val="1385"/>
              <w:adjustRightInd w:val="0"/>
              <w:snapToGrid w:val="0"/>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表4-</w:t>
            </w:r>
            <w:r>
              <w:rPr>
                <w:rFonts w:hint="eastAsia"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本项目废气自行监测方案</w:t>
            </w:r>
          </w:p>
          <w:tbl>
            <w:tblPr>
              <w:tblStyle w:val="8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2405"/>
              <w:gridCol w:w="2313"/>
              <w:gridCol w:w="2001"/>
            </w:tblGrid>
            <w:tr w14:paraId="096B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0" w:type="pct"/>
                  <w:noWrap w:val="0"/>
                  <w:tcMar>
                    <w:top w:w="0" w:type="dxa"/>
                    <w:left w:w="0" w:type="dxa"/>
                    <w:bottom w:w="0" w:type="dxa"/>
                    <w:right w:w="0" w:type="dxa"/>
                  </w:tcMar>
                  <w:vAlign w:val="center"/>
                </w:tcPr>
                <w:p w14:paraId="4E02D36B">
                  <w:pPr>
                    <w:contextualSpacing/>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排放口编号</w:t>
                  </w:r>
                </w:p>
              </w:tc>
              <w:tc>
                <w:tcPr>
                  <w:tcW w:w="1435" w:type="pct"/>
                  <w:noWrap w:val="0"/>
                  <w:tcMar>
                    <w:top w:w="0" w:type="dxa"/>
                    <w:left w:w="0" w:type="dxa"/>
                    <w:bottom w:w="0" w:type="dxa"/>
                    <w:right w:w="0" w:type="dxa"/>
                  </w:tcMar>
                  <w:vAlign w:val="center"/>
                </w:tcPr>
                <w:p w14:paraId="2C9B0976">
                  <w:pPr>
                    <w:contextualSpacing/>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监测点位</w:t>
                  </w:r>
                </w:p>
              </w:tc>
              <w:tc>
                <w:tcPr>
                  <w:tcW w:w="1380" w:type="pct"/>
                  <w:noWrap w:val="0"/>
                  <w:tcMar>
                    <w:top w:w="0" w:type="dxa"/>
                    <w:left w:w="0" w:type="dxa"/>
                    <w:bottom w:w="0" w:type="dxa"/>
                    <w:right w:w="0" w:type="dxa"/>
                  </w:tcMar>
                  <w:vAlign w:val="center"/>
                </w:tcPr>
                <w:p w14:paraId="1B3C9313">
                  <w:pPr>
                    <w:contextualSpacing/>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监测因子</w:t>
                  </w:r>
                </w:p>
              </w:tc>
              <w:tc>
                <w:tcPr>
                  <w:tcW w:w="1194" w:type="pct"/>
                  <w:noWrap w:val="0"/>
                  <w:tcMar>
                    <w:top w:w="0" w:type="dxa"/>
                    <w:left w:w="0" w:type="dxa"/>
                    <w:bottom w:w="0" w:type="dxa"/>
                    <w:right w:w="0" w:type="dxa"/>
                  </w:tcMar>
                  <w:vAlign w:val="center"/>
                </w:tcPr>
                <w:p w14:paraId="61F7089E">
                  <w:pPr>
                    <w:contextualSpacing/>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监测频次</w:t>
                  </w:r>
                </w:p>
              </w:tc>
            </w:tr>
            <w:tr w14:paraId="358F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0" w:type="pct"/>
                  <w:tcBorders>
                    <w:left w:val="single" w:color="auto" w:sz="2" w:space="0"/>
                  </w:tcBorders>
                  <w:noWrap w:val="0"/>
                  <w:vAlign w:val="center"/>
                </w:tcPr>
                <w:p w14:paraId="6C5089CE">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无组织</w:t>
                  </w:r>
                </w:p>
              </w:tc>
              <w:tc>
                <w:tcPr>
                  <w:tcW w:w="1435" w:type="pct"/>
                  <w:noWrap w:val="0"/>
                  <w:tcMar>
                    <w:top w:w="0" w:type="dxa"/>
                    <w:left w:w="0" w:type="dxa"/>
                    <w:bottom w:w="0" w:type="dxa"/>
                    <w:right w:w="0" w:type="dxa"/>
                  </w:tcMar>
                  <w:vAlign w:val="center"/>
                </w:tcPr>
                <w:p w14:paraId="677C4DA0">
                  <w:pPr>
                    <w:adjustRightInd w:val="0"/>
                    <w:snapToGrid w:val="0"/>
                    <w:spacing w:line="30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厂界</w:t>
                  </w:r>
                </w:p>
              </w:tc>
              <w:tc>
                <w:tcPr>
                  <w:tcW w:w="1380" w:type="pct"/>
                  <w:noWrap w:val="0"/>
                  <w:tcMar>
                    <w:top w:w="0" w:type="dxa"/>
                    <w:left w:w="0" w:type="dxa"/>
                    <w:bottom w:w="0" w:type="dxa"/>
                    <w:right w:w="0" w:type="dxa"/>
                  </w:tcMar>
                  <w:vAlign w:val="center"/>
                </w:tcPr>
                <w:p w14:paraId="26542D21">
                  <w:pPr>
                    <w:tabs>
                      <w:tab w:val="left" w:pos="3600"/>
                    </w:tabs>
                    <w:adjustRightInd w:val="0"/>
                    <w:snapToGrid w:val="0"/>
                    <w:spacing w:line="30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sz w:val="18"/>
                      <w:szCs w:val="18"/>
                    </w:rPr>
                    <w:t>颗粒物</w:t>
                  </w:r>
                </w:p>
              </w:tc>
              <w:tc>
                <w:tcPr>
                  <w:tcW w:w="1194" w:type="pct"/>
                  <w:noWrap w:val="0"/>
                  <w:tcMar>
                    <w:top w:w="0" w:type="dxa"/>
                    <w:left w:w="0" w:type="dxa"/>
                    <w:bottom w:w="0" w:type="dxa"/>
                    <w:right w:w="0" w:type="dxa"/>
                  </w:tcMar>
                  <w:vAlign w:val="center"/>
                </w:tcPr>
                <w:p w14:paraId="097DF6A4">
                  <w:pPr>
                    <w:adjustRightInd w:val="0"/>
                    <w:snapToGrid w:val="0"/>
                    <w:spacing w:line="300" w:lineRule="exact"/>
                    <w:jc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sz w:val="18"/>
                      <w:szCs w:val="18"/>
                      <w:lang w:eastAsia="zh-CN"/>
                    </w:rPr>
                    <w:t>1次/年</w:t>
                  </w:r>
                </w:p>
              </w:tc>
            </w:tr>
          </w:tbl>
          <w:p w14:paraId="38D52855">
            <w:pPr>
              <w:spacing w:line="360" w:lineRule="auto"/>
              <w:ind w:firstLine="420" w:firstLineChars="20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二、废水：</w:t>
            </w:r>
          </w:p>
          <w:p w14:paraId="61F9D0EF">
            <w:pPr>
              <w:pStyle w:val="85"/>
              <w:spacing w:after="0" w:line="360" w:lineRule="auto"/>
              <w:ind w:left="0" w:leftChars="0"/>
              <w:jc w:val="left"/>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1、产排污环节、污染物治理设施及废气排放情况汇总</w:t>
            </w:r>
          </w:p>
          <w:p w14:paraId="7E9D77B6">
            <w:pPr>
              <w:pStyle w:val="1385"/>
              <w:adjustRightInd w:val="0"/>
              <w:snapToGrid w:val="0"/>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表4-</w:t>
            </w:r>
            <w:r>
              <w:rPr>
                <w:rFonts w:hint="eastAsia"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rPr>
              <w:t>类别、污染物及污染治理设施信息表</w:t>
            </w:r>
          </w:p>
          <w:tbl>
            <w:tblPr>
              <w:tblStyle w:val="8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1"/>
              <w:gridCol w:w="901"/>
              <w:gridCol w:w="472"/>
              <w:gridCol w:w="534"/>
              <w:gridCol w:w="507"/>
              <w:gridCol w:w="643"/>
              <w:gridCol w:w="690"/>
              <w:gridCol w:w="494"/>
              <w:gridCol w:w="601"/>
              <w:gridCol w:w="596"/>
              <w:gridCol w:w="586"/>
              <w:gridCol w:w="611"/>
              <w:gridCol w:w="656"/>
              <w:gridCol w:w="611"/>
            </w:tblGrid>
            <w:tr w14:paraId="7F3D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81" w:type="pct"/>
                  <w:vMerge w:val="restart"/>
                  <w:tcBorders>
                    <w:top w:val="single" w:color="auto" w:sz="4" w:space="0"/>
                    <w:left w:val="single" w:color="auto" w:sz="4" w:space="0"/>
                    <w:bottom w:val="single" w:color="auto" w:sz="4" w:space="0"/>
                    <w:right w:val="single" w:color="auto" w:sz="4" w:space="0"/>
                  </w:tcBorders>
                  <w:vAlign w:val="center"/>
                </w:tcPr>
                <w:p w14:paraId="16223428">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产污环节</w:t>
                  </w:r>
                </w:p>
              </w:tc>
              <w:tc>
                <w:tcPr>
                  <w:tcW w:w="538" w:type="pct"/>
                  <w:vMerge w:val="restart"/>
                  <w:tcBorders>
                    <w:top w:val="single" w:color="auto" w:sz="4" w:space="0"/>
                    <w:left w:val="single" w:color="auto" w:sz="4" w:space="0"/>
                    <w:bottom w:val="single" w:color="auto" w:sz="4" w:space="0"/>
                    <w:right w:val="single" w:color="auto" w:sz="4" w:space="0"/>
                  </w:tcBorders>
                  <w:vAlign w:val="center"/>
                </w:tcPr>
                <w:p w14:paraId="424EE3E4">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污染物</w:t>
                  </w:r>
                </w:p>
                <w:p w14:paraId="42395E43">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种类</w:t>
                  </w:r>
                </w:p>
              </w:tc>
              <w:tc>
                <w:tcPr>
                  <w:tcW w:w="282" w:type="pct"/>
                  <w:vMerge w:val="restart"/>
                  <w:tcBorders>
                    <w:top w:val="single" w:color="auto" w:sz="4" w:space="0"/>
                    <w:left w:val="single" w:color="auto" w:sz="4" w:space="0"/>
                    <w:bottom w:val="single" w:color="auto" w:sz="4" w:space="0"/>
                    <w:right w:val="single" w:color="auto" w:sz="4" w:space="0"/>
                  </w:tcBorders>
                  <w:vAlign w:val="center"/>
                </w:tcPr>
                <w:p w14:paraId="574A76DF">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废水类别</w:t>
                  </w:r>
                </w:p>
              </w:tc>
              <w:tc>
                <w:tcPr>
                  <w:tcW w:w="1713" w:type="pct"/>
                  <w:gridSpan w:val="5"/>
                  <w:tcBorders>
                    <w:top w:val="single" w:color="auto" w:sz="4" w:space="0"/>
                    <w:left w:val="single" w:color="auto" w:sz="4" w:space="0"/>
                    <w:bottom w:val="single" w:color="auto" w:sz="4" w:space="0"/>
                    <w:right w:val="single" w:color="auto" w:sz="4" w:space="0"/>
                  </w:tcBorders>
                  <w:vAlign w:val="center"/>
                </w:tcPr>
                <w:p w14:paraId="214856AF">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污染治理设施</w:t>
                  </w:r>
                </w:p>
              </w:tc>
              <w:tc>
                <w:tcPr>
                  <w:tcW w:w="359" w:type="pct"/>
                  <w:vMerge w:val="restart"/>
                  <w:tcBorders>
                    <w:top w:val="single" w:color="auto" w:sz="4" w:space="0"/>
                    <w:left w:val="single" w:color="auto" w:sz="4" w:space="0"/>
                    <w:bottom w:val="single" w:color="auto" w:sz="4" w:space="0"/>
                    <w:right w:val="single" w:color="auto" w:sz="4" w:space="0"/>
                  </w:tcBorders>
                  <w:vAlign w:val="center"/>
                </w:tcPr>
                <w:p w14:paraId="110D9DC4">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排放</w:t>
                  </w:r>
                </w:p>
                <w:p w14:paraId="1F9725B3">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去向</w:t>
                  </w:r>
                </w:p>
              </w:tc>
              <w:tc>
                <w:tcPr>
                  <w:tcW w:w="356" w:type="pct"/>
                  <w:vMerge w:val="restart"/>
                  <w:tcBorders>
                    <w:top w:val="single" w:color="auto" w:sz="4" w:space="0"/>
                    <w:left w:val="single" w:color="auto" w:sz="4" w:space="0"/>
                    <w:bottom w:val="single" w:color="auto" w:sz="4" w:space="0"/>
                    <w:right w:val="single" w:color="auto" w:sz="4" w:space="0"/>
                  </w:tcBorders>
                  <w:vAlign w:val="center"/>
                </w:tcPr>
                <w:p w14:paraId="07B9270D">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排放</w:t>
                  </w:r>
                </w:p>
                <w:p w14:paraId="1A8B6E52">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方式</w:t>
                  </w:r>
                </w:p>
              </w:tc>
              <w:tc>
                <w:tcPr>
                  <w:tcW w:w="350" w:type="pct"/>
                  <w:vMerge w:val="restart"/>
                  <w:tcBorders>
                    <w:top w:val="single" w:color="auto" w:sz="4" w:space="0"/>
                    <w:left w:val="single" w:color="auto" w:sz="4" w:space="0"/>
                    <w:bottom w:val="single" w:color="auto" w:sz="4" w:space="0"/>
                    <w:right w:val="single" w:color="auto" w:sz="4" w:space="0"/>
                  </w:tcBorders>
                  <w:vAlign w:val="center"/>
                </w:tcPr>
                <w:p w14:paraId="28FA3D30">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排放</w:t>
                  </w:r>
                </w:p>
                <w:p w14:paraId="6A25B089">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规律</w:t>
                  </w:r>
                </w:p>
              </w:tc>
              <w:tc>
                <w:tcPr>
                  <w:tcW w:w="365" w:type="pct"/>
                  <w:vMerge w:val="restart"/>
                  <w:tcBorders>
                    <w:top w:val="single" w:color="auto" w:sz="4" w:space="0"/>
                    <w:left w:val="single" w:color="auto" w:sz="4" w:space="0"/>
                    <w:bottom w:val="single" w:color="auto" w:sz="4" w:space="0"/>
                    <w:right w:val="single" w:color="auto" w:sz="4" w:space="0"/>
                  </w:tcBorders>
                  <w:vAlign w:val="center"/>
                </w:tcPr>
                <w:p w14:paraId="323418ED">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排放口编号</w:t>
                  </w:r>
                </w:p>
              </w:tc>
              <w:tc>
                <w:tcPr>
                  <w:tcW w:w="392" w:type="pct"/>
                  <w:vMerge w:val="restart"/>
                  <w:tcBorders>
                    <w:top w:val="single" w:color="auto" w:sz="4" w:space="0"/>
                    <w:left w:val="single" w:color="auto" w:sz="4" w:space="0"/>
                    <w:bottom w:val="single" w:color="auto" w:sz="4" w:space="0"/>
                    <w:right w:val="single" w:color="auto" w:sz="4" w:space="0"/>
                  </w:tcBorders>
                  <w:vAlign w:val="center"/>
                </w:tcPr>
                <w:p w14:paraId="395B91D4">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排放口名称</w:t>
                  </w:r>
                </w:p>
              </w:tc>
              <w:tc>
                <w:tcPr>
                  <w:tcW w:w="365" w:type="pct"/>
                  <w:vMerge w:val="restart"/>
                  <w:tcBorders>
                    <w:top w:val="single" w:color="auto" w:sz="4" w:space="0"/>
                    <w:left w:val="single" w:color="auto" w:sz="4" w:space="0"/>
                    <w:bottom w:val="single" w:color="auto" w:sz="4" w:space="0"/>
                    <w:right w:val="single" w:color="auto" w:sz="4" w:space="0"/>
                  </w:tcBorders>
                  <w:vAlign w:val="center"/>
                </w:tcPr>
                <w:p w14:paraId="6FC6485D">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排放口类型</w:t>
                  </w:r>
                </w:p>
              </w:tc>
            </w:tr>
            <w:tr w14:paraId="1D0B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81" w:type="pct"/>
                  <w:vMerge w:val="continue"/>
                  <w:tcBorders>
                    <w:top w:val="single" w:color="auto" w:sz="4" w:space="0"/>
                    <w:left w:val="single" w:color="auto" w:sz="4" w:space="0"/>
                    <w:bottom w:val="single" w:color="auto" w:sz="4" w:space="0"/>
                    <w:right w:val="single" w:color="auto" w:sz="4" w:space="0"/>
                  </w:tcBorders>
                  <w:vAlign w:val="center"/>
                </w:tcPr>
                <w:p w14:paraId="21992AE4">
                  <w:pPr>
                    <w:jc w:val="center"/>
                    <w:rPr>
                      <w:rFonts w:hint="default" w:ascii="Times New Roman" w:hAnsi="Times New Roman" w:cs="Times New Roman"/>
                      <w:color w:val="auto"/>
                      <w:sz w:val="18"/>
                      <w:szCs w:val="18"/>
                    </w:rPr>
                  </w:pPr>
                </w:p>
              </w:tc>
              <w:tc>
                <w:tcPr>
                  <w:tcW w:w="538" w:type="pct"/>
                  <w:vMerge w:val="continue"/>
                  <w:tcBorders>
                    <w:top w:val="single" w:color="auto" w:sz="4" w:space="0"/>
                    <w:left w:val="single" w:color="auto" w:sz="4" w:space="0"/>
                    <w:bottom w:val="single" w:color="auto" w:sz="4" w:space="0"/>
                    <w:right w:val="single" w:color="auto" w:sz="4" w:space="0"/>
                  </w:tcBorders>
                  <w:vAlign w:val="center"/>
                </w:tcPr>
                <w:p w14:paraId="60DA57DB">
                  <w:pPr>
                    <w:jc w:val="center"/>
                    <w:rPr>
                      <w:rFonts w:hint="default" w:ascii="Times New Roman" w:hAnsi="Times New Roman" w:cs="Times New Roman"/>
                      <w:color w:val="auto"/>
                      <w:sz w:val="18"/>
                      <w:szCs w:val="18"/>
                    </w:rPr>
                  </w:pPr>
                </w:p>
              </w:tc>
              <w:tc>
                <w:tcPr>
                  <w:tcW w:w="282" w:type="pct"/>
                  <w:vMerge w:val="continue"/>
                  <w:tcBorders>
                    <w:top w:val="single" w:color="auto" w:sz="4" w:space="0"/>
                    <w:left w:val="single" w:color="auto" w:sz="4" w:space="0"/>
                    <w:bottom w:val="single" w:color="auto" w:sz="4" w:space="0"/>
                    <w:right w:val="single" w:color="auto" w:sz="4" w:space="0"/>
                  </w:tcBorders>
                  <w:vAlign w:val="center"/>
                </w:tcPr>
                <w:p w14:paraId="71026F03">
                  <w:pPr>
                    <w:jc w:val="center"/>
                    <w:rPr>
                      <w:rFonts w:hint="default" w:ascii="Times New Roman" w:hAnsi="Times New Roman" w:cs="Times New Roman"/>
                      <w:color w:val="auto"/>
                      <w:sz w:val="18"/>
                      <w:szCs w:val="18"/>
                    </w:rPr>
                  </w:pPr>
                </w:p>
              </w:tc>
              <w:tc>
                <w:tcPr>
                  <w:tcW w:w="319" w:type="pct"/>
                  <w:tcBorders>
                    <w:top w:val="single" w:color="auto" w:sz="4" w:space="0"/>
                    <w:left w:val="single" w:color="auto" w:sz="4" w:space="0"/>
                    <w:bottom w:val="single" w:color="auto" w:sz="4" w:space="0"/>
                    <w:right w:val="single" w:color="auto" w:sz="4" w:space="0"/>
                  </w:tcBorders>
                  <w:vAlign w:val="center"/>
                </w:tcPr>
                <w:p w14:paraId="0BDF9D64">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设施类型</w:t>
                  </w:r>
                </w:p>
              </w:tc>
              <w:tc>
                <w:tcPr>
                  <w:tcW w:w="303" w:type="pct"/>
                  <w:tcBorders>
                    <w:top w:val="single" w:color="auto" w:sz="4" w:space="0"/>
                    <w:left w:val="single" w:color="auto" w:sz="4" w:space="0"/>
                    <w:bottom w:val="single" w:color="auto" w:sz="4" w:space="0"/>
                    <w:right w:val="single" w:color="auto" w:sz="4" w:space="0"/>
                  </w:tcBorders>
                  <w:vAlign w:val="center"/>
                </w:tcPr>
                <w:p w14:paraId="0647BC95">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处理</w:t>
                  </w:r>
                </w:p>
                <w:p w14:paraId="5F3754DD">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工艺</w:t>
                  </w:r>
                </w:p>
              </w:tc>
              <w:tc>
                <w:tcPr>
                  <w:tcW w:w="384" w:type="pct"/>
                  <w:tcBorders>
                    <w:top w:val="single" w:color="auto" w:sz="4" w:space="0"/>
                    <w:left w:val="single" w:color="auto" w:sz="4" w:space="0"/>
                    <w:bottom w:val="single" w:color="auto" w:sz="4" w:space="0"/>
                    <w:right w:val="single" w:color="auto" w:sz="4" w:space="0"/>
                  </w:tcBorders>
                  <w:vAlign w:val="center"/>
                </w:tcPr>
                <w:p w14:paraId="2A7A55C9">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处理</w:t>
                  </w:r>
                </w:p>
                <w:p w14:paraId="19B87951">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能力（t/h）</w:t>
                  </w:r>
                </w:p>
              </w:tc>
              <w:tc>
                <w:tcPr>
                  <w:tcW w:w="412" w:type="pct"/>
                  <w:tcBorders>
                    <w:top w:val="single" w:color="auto" w:sz="4" w:space="0"/>
                    <w:left w:val="single" w:color="auto" w:sz="4" w:space="0"/>
                    <w:bottom w:val="single" w:color="auto" w:sz="4" w:space="0"/>
                    <w:right w:val="single" w:color="auto" w:sz="4" w:space="0"/>
                  </w:tcBorders>
                  <w:vAlign w:val="center"/>
                </w:tcPr>
                <w:p w14:paraId="6108C493">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是否为可行技术</w:t>
                  </w:r>
                </w:p>
              </w:tc>
              <w:tc>
                <w:tcPr>
                  <w:tcW w:w="295" w:type="pct"/>
                  <w:tcBorders>
                    <w:top w:val="single" w:color="auto" w:sz="4" w:space="0"/>
                    <w:left w:val="single" w:color="auto" w:sz="4" w:space="0"/>
                    <w:bottom w:val="single" w:color="auto" w:sz="4" w:space="0"/>
                    <w:right w:val="single" w:color="auto" w:sz="4" w:space="0"/>
                  </w:tcBorders>
                  <w:vAlign w:val="center"/>
                </w:tcPr>
                <w:p w14:paraId="230F4E21">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设施名称</w:t>
                  </w:r>
                </w:p>
              </w:tc>
              <w:tc>
                <w:tcPr>
                  <w:tcW w:w="359" w:type="pct"/>
                  <w:vMerge w:val="continue"/>
                  <w:tcBorders>
                    <w:top w:val="single" w:color="auto" w:sz="4" w:space="0"/>
                    <w:left w:val="single" w:color="auto" w:sz="4" w:space="0"/>
                    <w:bottom w:val="single" w:color="auto" w:sz="4" w:space="0"/>
                    <w:right w:val="single" w:color="auto" w:sz="4" w:space="0"/>
                  </w:tcBorders>
                  <w:vAlign w:val="center"/>
                </w:tcPr>
                <w:p w14:paraId="13D3C321">
                  <w:pPr>
                    <w:jc w:val="center"/>
                    <w:rPr>
                      <w:rFonts w:hint="default" w:ascii="Times New Roman" w:hAnsi="Times New Roman" w:cs="Times New Roman"/>
                      <w:color w:val="auto"/>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14:paraId="15F9607B">
                  <w:pPr>
                    <w:jc w:val="center"/>
                    <w:rPr>
                      <w:rFonts w:hint="default" w:ascii="Times New Roman" w:hAnsi="Times New Roman" w:cs="Times New Roman"/>
                      <w:color w:val="auto"/>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5DBDDCE5">
                  <w:pPr>
                    <w:jc w:val="center"/>
                    <w:rPr>
                      <w:rFonts w:hint="default" w:ascii="Times New Roman" w:hAnsi="Times New Roman" w:cs="Times New Roman"/>
                      <w:color w:val="auto"/>
                      <w:sz w:val="18"/>
                      <w:szCs w:val="18"/>
                    </w:rPr>
                  </w:pPr>
                </w:p>
              </w:tc>
              <w:tc>
                <w:tcPr>
                  <w:tcW w:w="365" w:type="pct"/>
                  <w:vMerge w:val="continue"/>
                  <w:tcBorders>
                    <w:top w:val="single" w:color="auto" w:sz="4" w:space="0"/>
                    <w:left w:val="single" w:color="auto" w:sz="4" w:space="0"/>
                    <w:bottom w:val="single" w:color="auto" w:sz="4" w:space="0"/>
                    <w:right w:val="single" w:color="auto" w:sz="4" w:space="0"/>
                  </w:tcBorders>
                  <w:vAlign w:val="center"/>
                </w:tcPr>
                <w:p w14:paraId="2E77B46D">
                  <w:pPr>
                    <w:jc w:val="center"/>
                    <w:rPr>
                      <w:rFonts w:hint="default" w:ascii="Times New Roman" w:hAnsi="Times New Roman" w:cs="Times New Roman"/>
                      <w:color w:val="auto"/>
                      <w:sz w:val="18"/>
                      <w:szCs w:val="18"/>
                    </w:rPr>
                  </w:pPr>
                </w:p>
              </w:tc>
              <w:tc>
                <w:tcPr>
                  <w:tcW w:w="392" w:type="pct"/>
                  <w:vMerge w:val="continue"/>
                  <w:tcBorders>
                    <w:top w:val="single" w:color="auto" w:sz="4" w:space="0"/>
                    <w:left w:val="single" w:color="auto" w:sz="4" w:space="0"/>
                    <w:bottom w:val="single" w:color="auto" w:sz="4" w:space="0"/>
                    <w:right w:val="single" w:color="auto" w:sz="4" w:space="0"/>
                  </w:tcBorders>
                  <w:vAlign w:val="center"/>
                </w:tcPr>
                <w:p w14:paraId="62C7D45D">
                  <w:pPr>
                    <w:jc w:val="center"/>
                    <w:rPr>
                      <w:rFonts w:hint="default" w:ascii="Times New Roman" w:hAnsi="Times New Roman" w:cs="Times New Roman"/>
                      <w:color w:val="auto"/>
                      <w:sz w:val="18"/>
                      <w:szCs w:val="18"/>
                    </w:rPr>
                  </w:pPr>
                </w:p>
              </w:tc>
              <w:tc>
                <w:tcPr>
                  <w:tcW w:w="365" w:type="pct"/>
                  <w:vMerge w:val="continue"/>
                  <w:tcBorders>
                    <w:top w:val="single" w:color="auto" w:sz="4" w:space="0"/>
                    <w:left w:val="single" w:color="auto" w:sz="4" w:space="0"/>
                    <w:bottom w:val="single" w:color="auto" w:sz="4" w:space="0"/>
                    <w:right w:val="single" w:color="auto" w:sz="4" w:space="0"/>
                  </w:tcBorders>
                  <w:vAlign w:val="center"/>
                </w:tcPr>
                <w:p w14:paraId="1FCE8DD3">
                  <w:pPr>
                    <w:jc w:val="center"/>
                    <w:rPr>
                      <w:rFonts w:hint="default" w:ascii="Times New Roman" w:hAnsi="Times New Roman" w:cs="Times New Roman"/>
                      <w:color w:val="auto"/>
                      <w:sz w:val="18"/>
                      <w:szCs w:val="18"/>
                    </w:rPr>
                  </w:pPr>
                </w:p>
              </w:tc>
            </w:tr>
            <w:tr w14:paraId="09FE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81" w:type="pct"/>
                  <w:tcBorders>
                    <w:top w:val="single" w:color="auto" w:sz="4" w:space="0"/>
                    <w:left w:val="single" w:color="auto" w:sz="4" w:space="0"/>
                    <w:bottom w:val="single" w:color="auto" w:sz="4" w:space="0"/>
                    <w:right w:val="single" w:color="auto" w:sz="4" w:space="0"/>
                  </w:tcBorders>
                  <w:vAlign w:val="center"/>
                </w:tcPr>
                <w:p w14:paraId="39197EC0">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职工生活</w:t>
                  </w:r>
                </w:p>
              </w:tc>
              <w:tc>
                <w:tcPr>
                  <w:tcW w:w="538" w:type="pct"/>
                  <w:tcBorders>
                    <w:top w:val="single" w:color="auto" w:sz="4" w:space="0"/>
                    <w:left w:val="single" w:color="auto" w:sz="4" w:space="0"/>
                    <w:bottom w:val="single" w:color="auto" w:sz="4" w:space="0"/>
                    <w:right w:val="single" w:color="auto" w:sz="4" w:space="0"/>
                  </w:tcBorders>
                  <w:vAlign w:val="center"/>
                </w:tcPr>
                <w:p w14:paraId="0E258885">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pH、COD、氨氮、BOD</w:t>
                  </w:r>
                  <w:r>
                    <w:rPr>
                      <w:rFonts w:hint="default" w:ascii="Times New Roman" w:hAnsi="Times New Roman" w:cs="Times New Roman"/>
                      <w:color w:val="auto"/>
                      <w:sz w:val="18"/>
                      <w:szCs w:val="18"/>
                      <w:vertAlign w:val="subscript"/>
                    </w:rPr>
                    <w:t>5</w:t>
                  </w:r>
                  <w:r>
                    <w:rPr>
                      <w:rFonts w:hint="default" w:ascii="Times New Roman" w:hAnsi="Times New Roman" w:cs="Times New Roman"/>
                      <w:color w:val="auto"/>
                      <w:sz w:val="18"/>
                      <w:szCs w:val="18"/>
                    </w:rPr>
                    <w:t>、悬浮物、总磷</w:t>
                  </w:r>
                </w:p>
              </w:tc>
              <w:tc>
                <w:tcPr>
                  <w:tcW w:w="282" w:type="pct"/>
                  <w:tcBorders>
                    <w:top w:val="single" w:color="auto" w:sz="4" w:space="0"/>
                    <w:left w:val="single" w:color="auto" w:sz="4" w:space="0"/>
                    <w:bottom w:val="single" w:color="auto" w:sz="4" w:space="0"/>
                    <w:right w:val="single" w:color="auto" w:sz="4" w:space="0"/>
                  </w:tcBorders>
                  <w:vAlign w:val="center"/>
                </w:tcPr>
                <w:p w14:paraId="5FDF8CCC">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生活</w:t>
                  </w:r>
                  <w:r>
                    <w:rPr>
                      <w:rFonts w:hint="default" w:ascii="Times New Roman" w:hAnsi="Times New Roman" w:cs="Times New Roman"/>
                      <w:color w:val="auto"/>
                      <w:sz w:val="18"/>
                      <w:szCs w:val="18"/>
                      <w:lang w:val="en-US" w:eastAsia="zh-CN"/>
                    </w:rPr>
                    <w:t>污水</w:t>
                  </w:r>
                </w:p>
              </w:tc>
              <w:tc>
                <w:tcPr>
                  <w:tcW w:w="319" w:type="pct"/>
                  <w:tcBorders>
                    <w:top w:val="single" w:color="auto" w:sz="4" w:space="0"/>
                    <w:left w:val="single" w:color="auto" w:sz="4" w:space="0"/>
                    <w:right w:val="single" w:color="auto" w:sz="4" w:space="0"/>
                  </w:tcBorders>
                  <w:vAlign w:val="center"/>
                </w:tcPr>
                <w:p w14:paraId="5972C4AC">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预处理设施</w:t>
                  </w:r>
                </w:p>
              </w:tc>
              <w:tc>
                <w:tcPr>
                  <w:tcW w:w="303" w:type="pct"/>
                  <w:tcBorders>
                    <w:top w:val="single" w:color="auto" w:sz="4" w:space="0"/>
                    <w:left w:val="single" w:color="auto" w:sz="4" w:space="0"/>
                    <w:right w:val="single" w:color="auto" w:sz="4" w:space="0"/>
                  </w:tcBorders>
                  <w:vAlign w:val="center"/>
                </w:tcPr>
                <w:p w14:paraId="5EE074D6">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沉淀</w:t>
                  </w:r>
                </w:p>
              </w:tc>
              <w:tc>
                <w:tcPr>
                  <w:tcW w:w="384" w:type="pct"/>
                  <w:tcBorders>
                    <w:top w:val="single" w:color="auto" w:sz="4" w:space="0"/>
                    <w:left w:val="single" w:color="auto" w:sz="4" w:space="0"/>
                    <w:right w:val="single" w:color="auto" w:sz="4" w:space="0"/>
                  </w:tcBorders>
                  <w:vAlign w:val="center"/>
                </w:tcPr>
                <w:p w14:paraId="4B6B0E52">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0.2</w:t>
                  </w:r>
                </w:p>
              </w:tc>
              <w:tc>
                <w:tcPr>
                  <w:tcW w:w="412" w:type="pct"/>
                  <w:tcBorders>
                    <w:top w:val="single" w:color="auto" w:sz="4" w:space="0"/>
                    <w:left w:val="single" w:color="auto" w:sz="4" w:space="0"/>
                    <w:right w:val="single" w:color="auto" w:sz="4" w:space="0"/>
                  </w:tcBorders>
                  <w:vAlign w:val="center"/>
                </w:tcPr>
                <w:p w14:paraId="371A0656">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是</w:t>
                  </w:r>
                </w:p>
              </w:tc>
              <w:tc>
                <w:tcPr>
                  <w:tcW w:w="295" w:type="pct"/>
                  <w:tcBorders>
                    <w:top w:val="single" w:color="auto" w:sz="4" w:space="0"/>
                    <w:left w:val="single" w:color="auto" w:sz="4" w:space="0"/>
                    <w:right w:val="single" w:color="auto" w:sz="4" w:space="0"/>
                  </w:tcBorders>
                  <w:vAlign w:val="center"/>
                </w:tcPr>
                <w:p w14:paraId="4CD3231A">
                  <w:pPr>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化粪池</w:t>
                  </w:r>
                </w:p>
              </w:tc>
              <w:tc>
                <w:tcPr>
                  <w:tcW w:w="359" w:type="pct"/>
                  <w:tcBorders>
                    <w:top w:val="single" w:color="auto" w:sz="4" w:space="0"/>
                    <w:left w:val="single" w:color="auto" w:sz="4" w:space="0"/>
                    <w:right w:val="single" w:color="auto" w:sz="4" w:space="0"/>
                  </w:tcBorders>
                  <w:vAlign w:val="center"/>
                </w:tcPr>
                <w:p w14:paraId="21C2546A">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环卫清运不外排</w:t>
                  </w:r>
                </w:p>
              </w:tc>
              <w:tc>
                <w:tcPr>
                  <w:tcW w:w="356" w:type="pct"/>
                  <w:tcBorders>
                    <w:top w:val="single" w:color="auto" w:sz="4" w:space="0"/>
                    <w:left w:val="single" w:color="auto" w:sz="4" w:space="0"/>
                    <w:right w:val="single" w:color="auto" w:sz="4" w:space="0"/>
                  </w:tcBorders>
                  <w:vAlign w:val="center"/>
                </w:tcPr>
                <w:p w14:paraId="041850CF">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不外排</w:t>
                  </w:r>
                </w:p>
              </w:tc>
              <w:tc>
                <w:tcPr>
                  <w:tcW w:w="350" w:type="pct"/>
                  <w:tcBorders>
                    <w:top w:val="single" w:color="auto" w:sz="4" w:space="0"/>
                    <w:left w:val="single" w:color="auto" w:sz="4" w:space="0"/>
                    <w:right w:val="single" w:color="auto" w:sz="4" w:space="0"/>
                  </w:tcBorders>
                  <w:vAlign w:val="center"/>
                </w:tcPr>
                <w:p w14:paraId="1E2734FC">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365" w:type="pct"/>
                  <w:tcBorders>
                    <w:top w:val="single" w:color="auto" w:sz="4" w:space="0"/>
                    <w:left w:val="single" w:color="auto" w:sz="4" w:space="0"/>
                    <w:right w:val="single" w:color="auto" w:sz="4" w:space="0"/>
                  </w:tcBorders>
                  <w:vAlign w:val="center"/>
                </w:tcPr>
                <w:p w14:paraId="612AD1BE">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392" w:type="pct"/>
                  <w:tcBorders>
                    <w:top w:val="single" w:color="auto" w:sz="4" w:space="0"/>
                    <w:left w:val="single" w:color="auto" w:sz="4" w:space="0"/>
                    <w:right w:val="single" w:color="auto" w:sz="4" w:space="0"/>
                  </w:tcBorders>
                  <w:vAlign w:val="center"/>
                </w:tcPr>
                <w:p w14:paraId="21B0FA30">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365" w:type="pct"/>
                  <w:tcBorders>
                    <w:top w:val="single" w:color="auto" w:sz="4" w:space="0"/>
                    <w:left w:val="single" w:color="auto" w:sz="4" w:space="0"/>
                    <w:right w:val="single" w:color="auto" w:sz="4" w:space="0"/>
                  </w:tcBorders>
                  <w:vAlign w:val="center"/>
                </w:tcPr>
                <w:p w14:paraId="4E555A7C">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bl>
          <w:p w14:paraId="2BF5FAD6">
            <w:pPr>
              <w:pStyle w:val="85"/>
              <w:spacing w:after="0" w:line="360" w:lineRule="auto"/>
              <w:ind w:left="0" w:leftChars="0"/>
              <w:jc w:val="left"/>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2、源强分析</w:t>
            </w:r>
          </w:p>
          <w:p w14:paraId="674B0BE3">
            <w:pPr>
              <w:tabs>
                <w:tab w:val="left" w:pos="1800"/>
              </w:tabs>
              <w:adjustRightInd w:val="0"/>
              <w:snapToGrid w:val="0"/>
              <w:spacing w:line="360" w:lineRule="auto"/>
              <w:ind w:firstLine="420" w:firstLineChars="200"/>
              <w:rPr>
                <w:rFonts w:hint="default" w:ascii="Times New Roman" w:hAnsi="Times New Roman" w:cs="Times New Roman" w:eastAsiaTheme="minorEastAsia"/>
                <w:color w:val="auto"/>
                <w:kern w:val="24"/>
                <w:szCs w:val="21"/>
              </w:rPr>
            </w:pPr>
            <w:r>
              <w:rPr>
                <w:rFonts w:hint="eastAsia" w:cs="Times New Roman" w:eastAsiaTheme="minorEastAsia"/>
                <w:color w:val="auto"/>
                <w:szCs w:val="21"/>
                <w:lang w:eastAsia="zh-CN"/>
              </w:rPr>
              <w:t>本项目</w:t>
            </w:r>
            <w:r>
              <w:rPr>
                <w:rFonts w:hint="default" w:ascii="Times New Roman" w:hAnsi="Times New Roman" w:cs="Times New Roman" w:eastAsiaTheme="minorEastAsia"/>
                <w:color w:val="auto"/>
                <w:szCs w:val="21"/>
              </w:rPr>
              <w:t>生活污水产生量为</w:t>
            </w:r>
            <w:r>
              <w:rPr>
                <w:rFonts w:hint="eastAsia" w:cs="Times New Roman" w:eastAsiaTheme="minorEastAsia"/>
                <w:color w:val="auto"/>
                <w:szCs w:val="21"/>
                <w:lang w:val="en-US" w:eastAsia="zh-CN"/>
              </w:rPr>
              <w:t>76.8</w:t>
            </w:r>
            <w:r>
              <w:rPr>
                <w:rFonts w:hint="default" w:ascii="Times New Roman" w:hAnsi="Times New Roman" w:cs="Times New Roman" w:eastAsiaTheme="minorEastAsia"/>
                <w:color w:val="auto"/>
                <w:szCs w:val="21"/>
              </w:rPr>
              <w:t>m</w:t>
            </w:r>
            <w:r>
              <w:rPr>
                <w:rFonts w:hint="default" w:ascii="Times New Roman" w:hAnsi="Times New Roman" w:cs="Times New Roman" w:eastAsiaTheme="minorEastAsia"/>
                <w:color w:val="auto"/>
                <w:szCs w:val="21"/>
                <w:vertAlign w:val="superscript"/>
              </w:rPr>
              <w:t>3</w:t>
            </w:r>
            <w:r>
              <w:rPr>
                <w:rFonts w:hint="default" w:ascii="Times New Roman" w:hAnsi="Times New Roman" w:cs="Times New Roman" w:eastAsiaTheme="minorEastAsia"/>
                <w:color w:val="auto"/>
                <w:szCs w:val="21"/>
              </w:rPr>
              <w:t>/a，核算因子为pH、</w:t>
            </w:r>
            <w:r>
              <w:rPr>
                <w:rFonts w:hint="default" w:ascii="Times New Roman" w:hAnsi="Times New Roman" w:cs="Times New Roman" w:eastAsiaTheme="minorEastAsia"/>
                <w:color w:val="auto"/>
                <w:kern w:val="24"/>
                <w:szCs w:val="21"/>
              </w:rPr>
              <w:t>COD、BOD</w:t>
            </w:r>
            <w:r>
              <w:rPr>
                <w:rFonts w:hint="default" w:ascii="Times New Roman" w:hAnsi="Times New Roman" w:cs="Times New Roman" w:eastAsiaTheme="minorEastAsia"/>
                <w:color w:val="auto"/>
                <w:kern w:val="24"/>
                <w:szCs w:val="21"/>
                <w:vertAlign w:val="subscript"/>
              </w:rPr>
              <w:t>5</w:t>
            </w:r>
            <w:r>
              <w:rPr>
                <w:rFonts w:hint="default" w:ascii="Times New Roman" w:hAnsi="Times New Roman" w:cs="Times New Roman" w:eastAsiaTheme="minorEastAsia"/>
                <w:color w:val="auto"/>
                <w:kern w:val="24"/>
                <w:szCs w:val="21"/>
              </w:rPr>
              <w:t>、氨氮、SS、总磷；参照《排放源统计调查产排污核算方法和系数手册附表生活源产排污核算系数手册》和类比相关行业废水源强，生活污水产生源强见表4-</w:t>
            </w:r>
            <w:r>
              <w:rPr>
                <w:rFonts w:hint="eastAsia" w:cs="Times New Roman" w:eastAsiaTheme="minorEastAsia"/>
                <w:color w:val="auto"/>
                <w:kern w:val="24"/>
                <w:szCs w:val="21"/>
                <w:lang w:val="en-US" w:eastAsia="zh-CN"/>
              </w:rPr>
              <w:t>8</w:t>
            </w:r>
            <w:r>
              <w:rPr>
                <w:rFonts w:hint="default" w:ascii="Times New Roman" w:hAnsi="Times New Roman" w:cs="Times New Roman" w:eastAsiaTheme="minorEastAsia"/>
                <w:color w:val="auto"/>
                <w:kern w:val="24"/>
                <w:szCs w:val="21"/>
              </w:rPr>
              <w:t>。</w:t>
            </w:r>
          </w:p>
          <w:p w14:paraId="31B011B6">
            <w:pPr>
              <w:pStyle w:val="1385"/>
              <w:adjustRightInd w:val="0"/>
              <w:snapToGrid w:val="0"/>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表4-</w:t>
            </w:r>
            <w:r>
              <w:rPr>
                <w:rFonts w:hint="eastAsia" w:ascii="Times New Roman" w:hAnsi="Times New Roman" w:cs="Times New Roman"/>
                <w:color w:val="auto"/>
                <w:sz w:val="21"/>
                <w:szCs w:val="21"/>
                <w:lang w:val="en-US" w:eastAsia="zh-CN"/>
              </w:rPr>
              <w:t>8</w:t>
            </w:r>
            <w:r>
              <w:rPr>
                <w:rFonts w:hint="default" w:ascii="Times New Roman" w:hAnsi="Times New Roman" w:cs="Times New Roman"/>
                <w:color w:val="auto"/>
                <w:sz w:val="21"/>
                <w:szCs w:val="21"/>
              </w:rPr>
              <w:t>本项目外排废水水质情况一览表</w:t>
            </w:r>
          </w:p>
          <w:tbl>
            <w:tblPr>
              <w:tblStyle w:val="86"/>
              <w:tblW w:w="49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8"/>
              <w:gridCol w:w="789"/>
              <w:gridCol w:w="1047"/>
              <w:gridCol w:w="1272"/>
              <w:gridCol w:w="1698"/>
              <w:gridCol w:w="1272"/>
              <w:gridCol w:w="1328"/>
            </w:tblGrid>
            <w:tr w14:paraId="63FE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492" w:type="pct"/>
                  <w:vMerge w:val="restart"/>
                  <w:tcBorders>
                    <w:top w:val="single" w:color="auto" w:sz="4" w:space="0"/>
                    <w:left w:val="single" w:color="auto" w:sz="4" w:space="0"/>
                    <w:bottom w:val="single" w:color="auto" w:sz="4" w:space="0"/>
                    <w:right w:val="single" w:color="auto" w:sz="4" w:space="0"/>
                  </w:tcBorders>
                  <w:vAlign w:val="center"/>
                </w:tcPr>
                <w:p w14:paraId="62ED7A00">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废水来源</w:t>
                  </w:r>
                </w:p>
              </w:tc>
              <w:tc>
                <w:tcPr>
                  <w:tcW w:w="480" w:type="pct"/>
                  <w:vMerge w:val="restart"/>
                  <w:tcBorders>
                    <w:top w:val="single" w:color="auto" w:sz="4" w:space="0"/>
                    <w:left w:val="single" w:color="auto" w:sz="4" w:space="0"/>
                    <w:bottom w:val="single" w:color="auto" w:sz="4" w:space="0"/>
                    <w:right w:val="single" w:color="auto" w:sz="4" w:space="0"/>
                  </w:tcBorders>
                  <w:vAlign w:val="center"/>
                </w:tcPr>
                <w:p w14:paraId="53CA082B">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废水排放量m</w:t>
                  </w:r>
                  <w:r>
                    <w:rPr>
                      <w:rFonts w:hint="default" w:ascii="Times New Roman" w:hAnsi="Times New Roman" w:cs="Times New Roman"/>
                      <w:b/>
                      <w:bCs/>
                      <w:color w:val="auto"/>
                      <w:sz w:val="18"/>
                      <w:szCs w:val="18"/>
                      <w:vertAlign w:val="superscript"/>
                    </w:rPr>
                    <w:t>3</w:t>
                  </w:r>
                  <w:r>
                    <w:rPr>
                      <w:rFonts w:hint="default" w:ascii="Times New Roman" w:hAnsi="Times New Roman" w:cs="Times New Roman"/>
                      <w:b/>
                      <w:bCs/>
                      <w:color w:val="auto"/>
                      <w:sz w:val="18"/>
                      <w:szCs w:val="18"/>
                    </w:rPr>
                    <w:t>/a</w:t>
                  </w:r>
                </w:p>
              </w:tc>
              <w:tc>
                <w:tcPr>
                  <w:tcW w:w="637" w:type="pct"/>
                  <w:vMerge w:val="restart"/>
                  <w:tcBorders>
                    <w:top w:val="single" w:color="auto" w:sz="4" w:space="0"/>
                    <w:left w:val="single" w:color="auto" w:sz="4" w:space="0"/>
                    <w:bottom w:val="single" w:color="auto" w:sz="4" w:space="0"/>
                    <w:right w:val="single" w:color="auto" w:sz="4" w:space="0"/>
                  </w:tcBorders>
                  <w:vAlign w:val="center"/>
                </w:tcPr>
                <w:p w14:paraId="4C35669E">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污染因子</w:t>
                  </w:r>
                </w:p>
              </w:tc>
              <w:tc>
                <w:tcPr>
                  <w:tcW w:w="1807" w:type="pct"/>
                  <w:gridSpan w:val="2"/>
                  <w:tcBorders>
                    <w:top w:val="single" w:color="auto" w:sz="4" w:space="0"/>
                    <w:left w:val="single" w:color="auto" w:sz="4" w:space="0"/>
                    <w:bottom w:val="single" w:color="auto" w:sz="4" w:space="0"/>
                    <w:right w:val="single" w:color="auto" w:sz="4" w:space="0"/>
                  </w:tcBorders>
                  <w:vAlign w:val="center"/>
                </w:tcPr>
                <w:p w14:paraId="162DBDAB">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产生情况</w:t>
                  </w:r>
                </w:p>
              </w:tc>
              <w:tc>
                <w:tcPr>
                  <w:tcW w:w="1582" w:type="pct"/>
                  <w:gridSpan w:val="2"/>
                  <w:tcBorders>
                    <w:top w:val="single" w:color="auto" w:sz="4" w:space="0"/>
                    <w:left w:val="single" w:color="auto" w:sz="4" w:space="0"/>
                    <w:bottom w:val="single" w:color="auto" w:sz="4" w:space="0"/>
                    <w:right w:val="single" w:color="auto" w:sz="4" w:space="0"/>
                  </w:tcBorders>
                  <w:vAlign w:val="center"/>
                </w:tcPr>
                <w:p w14:paraId="12991AA5">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排放情况</w:t>
                  </w:r>
                </w:p>
              </w:tc>
            </w:tr>
            <w:tr w14:paraId="756A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 w:hRule="atLeast"/>
                <w:jc w:val="center"/>
              </w:trPr>
              <w:tc>
                <w:tcPr>
                  <w:tcW w:w="492" w:type="pct"/>
                  <w:vMerge w:val="continue"/>
                  <w:tcBorders>
                    <w:top w:val="single" w:color="auto" w:sz="4" w:space="0"/>
                    <w:left w:val="single" w:color="auto" w:sz="4" w:space="0"/>
                    <w:bottom w:val="single" w:color="auto" w:sz="4" w:space="0"/>
                    <w:right w:val="single" w:color="auto" w:sz="4" w:space="0"/>
                  </w:tcBorders>
                  <w:vAlign w:val="center"/>
                </w:tcPr>
                <w:p w14:paraId="1DE65101">
                  <w:pPr>
                    <w:jc w:val="center"/>
                    <w:rPr>
                      <w:rFonts w:hint="default" w:ascii="Times New Roman" w:hAnsi="Times New Roman" w:cs="Times New Roman"/>
                      <w:b/>
                      <w:bCs/>
                      <w:color w:val="auto"/>
                      <w:sz w:val="18"/>
                      <w:szCs w:val="18"/>
                    </w:rPr>
                  </w:pPr>
                </w:p>
              </w:tc>
              <w:tc>
                <w:tcPr>
                  <w:tcW w:w="480" w:type="pct"/>
                  <w:vMerge w:val="continue"/>
                  <w:tcBorders>
                    <w:top w:val="single" w:color="auto" w:sz="4" w:space="0"/>
                    <w:left w:val="single" w:color="auto" w:sz="4" w:space="0"/>
                    <w:bottom w:val="single" w:color="auto" w:sz="4" w:space="0"/>
                    <w:right w:val="single" w:color="auto" w:sz="4" w:space="0"/>
                  </w:tcBorders>
                  <w:vAlign w:val="center"/>
                </w:tcPr>
                <w:p w14:paraId="5DE8A46D">
                  <w:pPr>
                    <w:jc w:val="center"/>
                    <w:rPr>
                      <w:rFonts w:hint="default" w:ascii="Times New Roman" w:hAnsi="Times New Roman" w:cs="Times New Roman"/>
                      <w:b/>
                      <w:bCs/>
                      <w:color w:val="auto"/>
                      <w:sz w:val="18"/>
                      <w:szCs w:val="18"/>
                    </w:rPr>
                  </w:pPr>
                </w:p>
              </w:tc>
              <w:tc>
                <w:tcPr>
                  <w:tcW w:w="637" w:type="pct"/>
                  <w:vMerge w:val="continue"/>
                  <w:tcBorders>
                    <w:top w:val="single" w:color="auto" w:sz="4" w:space="0"/>
                    <w:left w:val="single" w:color="auto" w:sz="4" w:space="0"/>
                    <w:bottom w:val="single" w:color="auto" w:sz="4" w:space="0"/>
                    <w:right w:val="single" w:color="auto" w:sz="4" w:space="0"/>
                  </w:tcBorders>
                  <w:vAlign w:val="center"/>
                </w:tcPr>
                <w:p w14:paraId="061C34D3">
                  <w:pPr>
                    <w:jc w:val="center"/>
                    <w:rPr>
                      <w:rFonts w:hint="default" w:ascii="Times New Roman" w:hAnsi="Times New Roman" w:cs="Times New Roman"/>
                      <w:b/>
                      <w:bCs/>
                      <w:color w:val="auto"/>
                      <w:sz w:val="18"/>
                      <w:szCs w:val="18"/>
                    </w:rPr>
                  </w:pPr>
                </w:p>
              </w:tc>
              <w:tc>
                <w:tcPr>
                  <w:tcW w:w="774" w:type="pct"/>
                  <w:tcBorders>
                    <w:top w:val="single" w:color="auto" w:sz="4" w:space="0"/>
                    <w:left w:val="single" w:color="auto" w:sz="4" w:space="0"/>
                    <w:bottom w:val="single" w:color="auto" w:sz="4" w:space="0"/>
                    <w:right w:val="single" w:color="auto" w:sz="4" w:space="0"/>
                  </w:tcBorders>
                  <w:vAlign w:val="center"/>
                </w:tcPr>
                <w:p w14:paraId="4A66D1BB">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产生浓度</w:t>
                  </w:r>
                </w:p>
                <w:p w14:paraId="0CBB027C">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（mg/L）</w:t>
                  </w:r>
                </w:p>
              </w:tc>
              <w:tc>
                <w:tcPr>
                  <w:tcW w:w="1033" w:type="pct"/>
                  <w:tcBorders>
                    <w:top w:val="single" w:color="auto" w:sz="4" w:space="0"/>
                    <w:left w:val="single" w:color="auto" w:sz="4" w:space="0"/>
                    <w:bottom w:val="single" w:color="auto" w:sz="4" w:space="0"/>
                    <w:right w:val="single" w:color="auto" w:sz="4" w:space="0"/>
                  </w:tcBorders>
                  <w:vAlign w:val="center"/>
                </w:tcPr>
                <w:p w14:paraId="603349BD">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产生量</w:t>
                  </w:r>
                </w:p>
                <w:p w14:paraId="34B0C893">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（t/a）</w:t>
                  </w:r>
                </w:p>
              </w:tc>
              <w:tc>
                <w:tcPr>
                  <w:tcW w:w="774" w:type="pct"/>
                  <w:tcBorders>
                    <w:top w:val="single" w:color="auto" w:sz="4" w:space="0"/>
                    <w:left w:val="single" w:color="auto" w:sz="4" w:space="0"/>
                    <w:bottom w:val="single" w:color="auto" w:sz="4" w:space="0"/>
                    <w:right w:val="single" w:color="auto" w:sz="4" w:space="0"/>
                  </w:tcBorders>
                  <w:vAlign w:val="center"/>
                </w:tcPr>
                <w:p w14:paraId="74CAB7A8">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排放浓度</w:t>
                  </w:r>
                </w:p>
                <w:p w14:paraId="59E99E2E">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（mg/L）</w:t>
                  </w:r>
                </w:p>
              </w:tc>
              <w:tc>
                <w:tcPr>
                  <w:tcW w:w="808" w:type="pct"/>
                  <w:tcBorders>
                    <w:top w:val="single" w:color="auto" w:sz="4" w:space="0"/>
                    <w:left w:val="single" w:color="auto" w:sz="4" w:space="0"/>
                    <w:bottom w:val="single" w:color="auto" w:sz="4" w:space="0"/>
                    <w:right w:val="single" w:color="auto" w:sz="4" w:space="0"/>
                  </w:tcBorders>
                  <w:vAlign w:val="center"/>
                </w:tcPr>
                <w:p w14:paraId="29942FBB">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排放量</w:t>
                  </w:r>
                </w:p>
                <w:p w14:paraId="5BB6D851">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（t/a）</w:t>
                  </w:r>
                </w:p>
              </w:tc>
            </w:tr>
            <w:tr w14:paraId="6F39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492" w:type="pct"/>
                  <w:vMerge w:val="restart"/>
                  <w:tcBorders>
                    <w:top w:val="single" w:color="auto" w:sz="4" w:space="0"/>
                    <w:left w:val="single" w:color="auto" w:sz="4" w:space="0"/>
                    <w:right w:val="single" w:color="auto" w:sz="4" w:space="0"/>
                  </w:tcBorders>
                  <w:vAlign w:val="center"/>
                </w:tcPr>
                <w:p w14:paraId="5B814FEB">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生活</w:t>
                  </w:r>
                  <w:r>
                    <w:rPr>
                      <w:rFonts w:hint="default" w:ascii="Times New Roman" w:hAnsi="Times New Roman" w:cs="Times New Roman"/>
                      <w:color w:val="auto"/>
                      <w:sz w:val="18"/>
                      <w:szCs w:val="18"/>
                      <w:lang w:val="en-US" w:eastAsia="zh-CN"/>
                    </w:rPr>
                    <w:t>污水</w:t>
                  </w:r>
                </w:p>
              </w:tc>
              <w:tc>
                <w:tcPr>
                  <w:tcW w:w="480" w:type="pct"/>
                  <w:vMerge w:val="restart"/>
                  <w:tcBorders>
                    <w:top w:val="single" w:color="auto" w:sz="4" w:space="0"/>
                    <w:left w:val="single" w:color="auto" w:sz="4" w:space="0"/>
                    <w:right w:val="single" w:color="auto" w:sz="4" w:space="0"/>
                  </w:tcBorders>
                  <w:vAlign w:val="center"/>
                </w:tcPr>
                <w:p w14:paraId="598024C8">
                  <w:pPr>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76.8</w:t>
                  </w:r>
                </w:p>
              </w:tc>
              <w:tc>
                <w:tcPr>
                  <w:tcW w:w="637" w:type="pct"/>
                  <w:tcBorders>
                    <w:top w:val="single" w:color="auto" w:sz="4" w:space="0"/>
                    <w:left w:val="single" w:color="auto" w:sz="4" w:space="0"/>
                    <w:bottom w:val="single" w:color="auto" w:sz="4" w:space="0"/>
                    <w:right w:val="single" w:color="auto" w:sz="4" w:space="0"/>
                  </w:tcBorders>
                  <w:vAlign w:val="center"/>
                </w:tcPr>
                <w:p w14:paraId="508E21CC">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pH</w:t>
                  </w:r>
                </w:p>
              </w:tc>
              <w:tc>
                <w:tcPr>
                  <w:tcW w:w="774" w:type="pct"/>
                  <w:tcBorders>
                    <w:top w:val="single" w:color="auto" w:sz="4" w:space="0"/>
                    <w:left w:val="single" w:color="auto" w:sz="4" w:space="0"/>
                    <w:bottom w:val="single" w:color="auto" w:sz="4" w:space="0"/>
                    <w:right w:val="single" w:color="auto" w:sz="4" w:space="0"/>
                  </w:tcBorders>
                  <w:vAlign w:val="center"/>
                </w:tcPr>
                <w:p w14:paraId="6E5AD0C8">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6.5-7.5</w:t>
                  </w:r>
                </w:p>
              </w:tc>
              <w:tc>
                <w:tcPr>
                  <w:tcW w:w="1033" w:type="pct"/>
                  <w:tcBorders>
                    <w:top w:val="single" w:color="auto" w:sz="4" w:space="0"/>
                    <w:left w:val="single" w:color="auto" w:sz="4" w:space="0"/>
                    <w:bottom w:val="single" w:color="auto" w:sz="4" w:space="0"/>
                    <w:right w:val="single" w:color="auto" w:sz="4" w:space="0"/>
                  </w:tcBorders>
                  <w:vAlign w:val="center"/>
                </w:tcPr>
                <w:p w14:paraId="2586D989">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1582" w:type="pct"/>
                  <w:gridSpan w:val="2"/>
                  <w:vMerge w:val="restart"/>
                  <w:tcBorders>
                    <w:top w:val="single" w:color="auto" w:sz="4" w:space="0"/>
                    <w:left w:val="single" w:color="auto" w:sz="4" w:space="0"/>
                    <w:right w:val="single" w:color="auto" w:sz="4" w:space="0"/>
                  </w:tcBorders>
                  <w:vAlign w:val="center"/>
                </w:tcPr>
                <w:p w14:paraId="0C8F8E91">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环卫部门清运不外排</w:t>
                  </w:r>
                </w:p>
              </w:tc>
            </w:tr>
            <w:tr w14:paraId="1F8A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pct"/>
                  <w:vMerge w:val="continue"/>
                  <w:tcBorders>
                    <w:left w:val="single" w:color="auto" w:sz="4" w:space="0"/>
                    <w:right w:val="single" w:color="auto" w:sz="4" w:space="0"/>
                  </w:tcBorders>
                  <w:vAlign w:val="center"/>
                </w:tcPr>
                <w:p w14:paraId="05665F47">
                  <w:pPr>
                    <w:jc w:val="center"/>
                    <w:rPr>
                      <w:rFonts w:hint="default" w:ascii="Times New Roman" w:hAnsi="Times New Roman" w:cs="Times New Roman"/>
                      <w:color w:val="auto"/>
                      <w:sz w:val="18"/>
                      <w:szCs w:val="18"/>
                    </w:rPr>
                  </w:pPr>
                </w:p>
              </w:tc>
              <w:tc>
                <w:tcPr>
                  <w:tcW w:w="480" w:type="pct"/>
                  <w:vMerge w:val="continue"/>
                  <w:tcBorders>
                    <w:left w:val="single" w:color="auto" w:sz="4" w:space="0"/>
                    <w:right w:val="single" w:color="auto" w:sz="4" w:space="0"/>
                  </w:tcBorders>
                  <w:vAlign w:val="center"/>
                </w:tcPr>
                <w:p w14:paraId="78F4F170">
                  <w:pPr>
                    <w:jc w:val="center"/>
                    <w:rPr>
                      <w:rFonts w:hint="default" w:ascii="Times New Roman" w:hAnsi="Times New Roman" w:cs="Times New Roman"/>
                      <w:color w:val="auto"/>
                      <w:sz w:val="18"/>
                      <w:szCs w:val="18"/>
                    </w:rPr>
                  </w:pPr>
                </w:p>
              </w:tc>
              <w:tc>
                <w:tcPr>
                  <w:tcW w:w="637" w:type="pct"/>
                  <w:tcBorders>
                    <w:top w:val="single" w:color="auto" w:sz="4" w:space="0"/>
                    <w:left w:val="single" w:color="auto" w:sz="4" w:space="0"/>
                    <w:bottom w:val="single" w:color="auto" w:sz="4" w:space="0"/>
                    <w:right w:val="single" w:color="auto" w:sz="4" w:space="0"/>
                  </w:tcBorders>
                  <w:vAlign w:val="center"/>
                </w:tcPr>
                <w:p w14:paraId="3AA099BD">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COD</w:t>
                  </w:r>
                </w:p>
              </w:tc>
              <w:tc>
                <w:tcPr>
                  <w:tcW w:w="774" w:type="pct"/>
                  <w:tcBorders>
                    <w:top w:val="single" w:color="auto" w:sz="4" w:space="0"/>
                    <w:left w:val="single" w:color="auto" w:sz="4" w:space="0"/>
                    <w:bottom w:val="single" w:color="auto" w:sz="4" w:space="0"/>
                    <w:right w:val="single" w:color="auto" w:sz="4" w:space="0"/>
                  </w:tcBorders>
                  <w:vAlign w:val="center"/>
                </w:tcPr>
                <w:p w14:paraId="2EF954BA">
                  <w:pPr>
                    <w:widowControl/>
                    <w:jc w:val="center"/>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465</w:t>
                  </w:r>
                </w:p>
              </w:tc>
              <w:tc>
                <w:tcPr>
                  <w:tcW w:w="1033" w:type="pct"/>
                  <w:tcBorders>
                    <w:top w:val="single" w:color="auto" w:sz="4" w:space="0"/>
                    <w:left w:val="single" w:color="auto" w:sz="4" w:space="0"/>
                    <w:bottom w:val="single" w:color="auto" w:sz="4" w:space="0"/>
                    <w:right w:val="single" w:color="auto" w:sz="4" w:space="0"/>
                  </w:tcBorders>
                  <w:vAlign w:val="center"/>
                </w:tcPr>
                <w:p w14:paraId="08257FBC">
                  <w:pPr>
                    <w:widowControl/>
                    <w:jc w:val="center"/>
                    <w:textAlignment w:val="bottom"/>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18"/>
                      <w:szCs w:val="18"/>
                      <w:lang w:val="en-US" w:eastAsia="zh-CN"/>
                    </w:rPr>
                    <w:t>0.0</w:t>
                  </w:r>
                  <w:r>
                    <w:rPr>
                      <w:rFonts w:hint="eastAsia" w:cs="Times New Roman"/>
                      <w:color w:val="auto"/>
                      <w:sz w:val="18"/>
                      <w:szCs w:val="18"/>
                      <w:lang w:val="en-US" w:eastAsia="zh-CN"/>
                    </w:rPr>
                    <w:t>36</w:t>
                  </w:r>
                </w:p>
              </w:tc>
              <w:tc>
                <w:tcPr>
                  <w:tcW w:w="1582" w:type="pct"/>
                  <w:gridSpan w:val="2"/>
                  <w:vMerge w:val="continue"/>
                  <w:tcBorders>
                    <w:left w:val="single" w:color="auto" w:sz="4" w:space="0"/>
                    <w:right w:val="single" w:color="auto" w:sz="4" w:space="0"/>
                  </w:tcBorders>
                  <w:vAlign w:val="center"/>
                </w:tcPr>
                <w:p w14:paraId="1C5CFDA1">
                  <w:pPr>
                    <w:widowControl/>
                    <w:jc w:val="center"/>
                    <w:textAlignment w:val="center"/>
                    <w:rPr>
                      <w:rFonts w:hint="default" w:ascii="Times New Roman" w:hAnsi="Times New Roman" w:cs="Times New Roman"/>
                      <w:color w:val="auto"/>
                      <w:sz w:val="18"/>
                      <w:szCs w:val="18"/>
                    </w:rPr>
                  </w:pPr>
                </w:p>
              </w:tc>
            </w:tr>
            <w:tr w14:paraId="3C30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pct"/>
                  <w:vMerge w:val="continue"/>
                  <w:tcBorders>
                    <w:left w:val="single" w:color="auto" w:sz="4" w:space="0"/>
                    <w:right w:val="single" w:color="auto" w:sz="4" w:space="0"/>
                  </w:tcBorders>
                  <w:vAlign w:val="center"/>
                </w:tcPr>
                <w:p w14:paraId="7195CF28">
                  <w:pPr>
                    <w:jc w:val="center"/>
                    <w:rPr>
                      <w:rFonts w:hint="default" w:ascii="Times New Roman" w:hAnsi="Times New Roman" w:cs="Times New Roman"/>
                      <w:color w:val="auto"/>
                      <w:sz w:val="18"/>
                      <w:szCs w:val="18"/>
                    </w:rPr>
                  </w:pPr>
                </w:p>
              </w:tc>
              <w:tc>
                <w:tcPr>
                  <w:tcW w:w="480" w:type="pct"/>
                  <w:vMerge w:val="continue"/>
                  <w:tcBorders>
                    <w:left w:val="single" w:color="auto" w:sz="4" w:space="0"/>
                    <w:right w:val="single" w:color="auto" w:sz="4" w:space="0"/>
                  </w:tcBorders>
                  <w:vAlign w:val="center"/>
                </w:tcPr>
                <w:p w14:paraId="0997D73C">
                  <w:pPr>
                    <w:jc w:val="center"/>
                    <w:rPr>
                      <w:rFonts w:hint="default" w:ascii="Times New Roman" w:hAnsi="Times New Roman" w:cs="Times New Roman"/>
                      <w:color w:val="auto"/>
                      <w:sz w:val="18"/>
                      <w:szCs w:val="18"/>
                    </w:rPr>
                  </w:pPr>
                </w:p>
              </w:tc>
              <w:tc>
                <w:tcPr>
                  <w:tcW w:w="637" w:type="pct"/>
                  <w:tcBorders>
                    <w:top w:val="single" w:color="auto" w:sz="4" w:space="0"/>
                    <w:left w:val="single" w:color="auto" w:sz="4" w:space="0"/>
                    <w:bottom w:val="single" w:color="auto" w:sz="4" w:space="0"/>
                    <w:right w:val="single" w:color="auto" w:sz="4" w:space="0"/>
                  </w:tcBorders>
                  <w:vAlign w:val="center"/>
                </w:tcPr>
                <w:p w14:paraId="177E11CC">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BOD</w:t>
                  </w:r>
                  <w:r>
                    <w:rPr>
                      <w:rFonts w:hint="default" w:ascii="Times New Roman" w:hAnsi="Times New Roman" w:cs="Times New Roman"/>
                      <w:color w:val="auto"/>
                      <w:sz w:val="18"/>
                      <w:szCs w:val="18"/>
                      <w:vertAlign w:val="subscript"/>
                    </w:rPr>
                    <w:t>5</w:t>
                  </w:r>
                </w:p>
              </w:tc>
              <w:tc>
                <w:tcPr>
                  <w:tcW w:w="774" w:type="pct"/>
                  <w:tcBorders>
                    <w:top w:val="single" w:color="auto" w:sz="4" w:space="0"/>
                    <w:left w:val="single" w:color="auto" w:sz="4" w:space="0"/>
                    <w:bottom w:val="single" w:color="auto" w:sz="4" w:space="0"/>
                    <w:right w:val="single" w:color="auto" w:sz="4" w:space="0"/>
                  </w:tcBorders>
                  <w:vAlign w:val="center"/>
                </w:tcPr>
                <w:p w14:paraId="3D684877">
                  <w:pPr>
                    <w:widowControl/>
                    <w:jc w:val="center"/>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150</w:t>
                  </w:r>
                </w:p>
              </w:tc>
              <w:tc>
                <w:tcPr>
                  <w:tcW w:w="1033" w:type="pct"/>
                  <w:tcBorders>
                    <w:top w:val="single" w:color="auto" w:sz="4" w:space="0"/>
                    <w:left w:val="single" w:color="auto" w:sz="4" w:space="0"/>
                    <w:bottom w:val="single" w:color="auto" w:sz="4" w:space="0"/>
                    <w:right w:val="single" w:color="auto" w:sz="4" w:space="0"/>
                  </w:tcBorders>
                  <w:vAlign w:val="center"/>
                </w:tcPr>
                <w:p w14:paraId="6C6A003D">
                  <w:pPr>
                    <w:widowControl/>
                    <w:jc w:val="center"/>
                    <w:textAlignment w:val="bottom"/>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18"/>
                      <w:szCs w:val="18"/>
                      <w:lang w:val="en-US" w:eastAsia="zh-CN"/>
                    </w:rPr>
                    <w:t>0.0</w:t>
                  </w:r>
                  <w:r>
                    <w:rPr>
                      <w:rFonts w:hint="eastAsia" w:cs="Times New Roman"/>
                      <w:color w:val="auto"/>
                      <w:sz w:val="18"/>
                      <w:szCs w:val="18"/>
                      <w:lang w:val="en-US" w:eastAsia="zh-CN"/>
                    </w:rPr>
                    <w:t>115</w:t>
                  </w:r>
                </w:p>
              </w:tc>
              <w:tc>
                <w:tcPr>
                  <w:tcW w:w="1582" w:type="pct"/>
                  <w:gridSpan w:val="2"/>
                  <w:vMerge w:val="continue"/>
                  <w:tcBorders>
                    <w:left w:val="single" w:color="auto" w:sz="4" w:space="0"/>
                    <w:right w:val="single" w:color="auto" w:sz="4" w:space="0"/>
                  </w:tcBorders>
                  <w:vAlign w:val="center"/>
                </w:tcPr>
                <w:p w14:paraId="74AE00BC">
                  <w:pPr>
                    <w:widowControl/>
                    <w:jc w:val="center"/>
                    <w:textAlignment w:val="center"/>
                    <w:rPr>
                      <w:rFonts w:hint="default" w:ascii="Times New Roman" w:hAnsi="Times New Roman" w:cs="Times New Roman"/>
                      <w:color w:val="auto"/>
                      <w:sz w:val="18"/>
                      <w:szCs w:val="18"/>
                    </w:rPr>
                  </w:pPr>
                </w:p>
              </w:tc>
            </w:tr>
            <w:tr w14:paraId="31BF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pct"/>
                  <w:vMerge w:val="continue"/>
                  <w:tcBorders>
                    <w:left w:val="single" w:color="auto" w:sz="4" w:space="0"/>
                    <w:right w:val="single" w:color="auto" w:sz="4" w:space="0"/>
                  </w:tcBorders>
                  <w:vAlign w:val="center"/>
                </w:tcPr>
                <w:p w14:paraId="7958FB2C">
                  <w:pPr>
                    <w:jc w:val="center"/>
                    <w:rPr>
                      <w:rFonts w:hint="default" w:ascii="Times New Roman" w:hAnsi="Times New Roman" w:cs="Times New Roman"/>
                      <w:color w:val="auto"/>
                      <w:sz w:val="18"/>
                      <w:szCs w:val="18"/>
                    </w:rPr>
                  </w:pPr>
                </w:p>
              </w:tc>
              <w:tc>
                <w:tcPr>
                  <w:tcW w:w="480" w:type="pct"/>
                  <w:vMerge w:val="continue"/>
                  <w:tcBorders>
                    <w:left w:val="single" w:color="auto" w:sz="4" w:space="0"/>
                    <w:right w:val="single" w:color="auto" w:sz="4" w:space="0"/>
                  </w:tcBorders>
                  <w:vAlign w:val="center"/>
                </w:tcPr>
                <w:p w14:paraId="5B00E65B">
                  <w:pPr>
                    <w:jc w:val="center"/>
                    <w:rPr>
                      <w:rFonts w:hint="default" w:ascii="Times New Roman" w:hAnsi="Times New Roman" w:cs="Times New Roman"/>
                      <w:color w:val="auto"/>
                      <w:sz w:val="18"/>
                      <w:szCs w:val="18"/>
                    </w:rPr>
                  </w:pPr>
                </w:p>
              </w:tc>
              <w:tc>
                <w:tcPr>
                  <w:tcW w:w="637" w:type="pct"/>
                  <w:tcBorders>
                    <w:top w:val="single" w:color="auto" w:sz="4" w:space="0"/>
                    <w:left w:val="single" w:color="auto" w:sz="4" w:space="0"/>
                    <w:bottom w:val="single" w:color="auto" w:sz="4" w:space="0"/>
                    <w:right w:val="single" w:color="auto" w:sz="4" w:space="0"/>
                  </w:tcBorders>
                  <w:vAlign w:val="center"/>
                </w:tcPr>
                <w:p w14:paraId="36DEA6BD">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SS</w:t>
                  </w:r>
                </w:p>
              </w:tc>
              <w:tc>
                <w:tcPr>
                  <w:tcW w:w="774" w:type="pct"/>
                  <w:tcBorders>
                    <w:top w:val="single" w:color="auto" w:sz="4" w:space="0"/>
                    <w:left w:val="single" w:color="auto" w:sz="4" w:space="0"/>
                    <w:bottom w:val="single" w:color="auto" w:sz="4" w:space="0"/>
                    <w:right w:val="single" w:color="auto" w:sz="4" w:space="0"/>
                  </w:tcBorders>
                  <w:vAlign w:val="center"/>
                </w:tcPr>
                <w:p w14:paraId="639BC361">
                  <w:pPr>
                    <w:widowControl/>
                    <w:jc w:val="center"/>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300</w:t>
                  </w:r>
                </w:p>
              </w:tc>
              <w:tc>
                <w:tcPr>
                  <w:tcW w:w="1033" w:type="pct"/>
                  <w:tcBorders>
                    <w:top w:val="single" w:color="auto" w:sz="4" w:space="0"/>
                    <w:left w:val="single" w:color="auto" w:sz="4" w:space="0"/>
                    <w:bottom w:val="single" w:color="auto" w:sz="4" w:space="0"/>
                    <w:right w:val="single" w:color="auto" w:sz="4" w:space="0"/>
                  </w:tcBorders>
                  <w:vAlign w:val="center"/>
                </w:tcPr>
                <w:p w14:paraId="23DD12D5">
                  <w:pPr>
                    <w:widowControl/>
                    <w:jc w:val="center"/>
                    <w:textAlignment w:val="bottom"/>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18"/>
                      <w:szCs w:val="18"/>
                      <w:lang w:val="en-US" w:eastAsia="zh-CN"/>
                    </w:rPr>
                    <w:t>0.0</w:t>
                  </w:r>
                  <w:r>
                    <w:rPr>
                      <w:rFonts w:hint="eastAsia" w:cs="Times New Roman"/>
                      <w:color w:val="auto"/>
                      <w:sz w:val="18"/>
                      <w:szCs w:val="18"/>
                      <w:lang w:val="en-US" w:eastAsia="zh-CN"/>
                    </w:rPr>
                    <w:t>23</w:t>
                  </w:r>
                </w:p>
              </w:tc>
              <w:tc>
                <w:tcPr>
                  <w:tcW w:w="1582" w:type="pct"/>
                  <w:gridSpan w:val="2"/>
                  <w:vMerge w:val="continue"/>
                  <w:tcBorders>
                    <w:left w:val="single" w:color="auto" w:sz="4" w:space="0"/>
                    <w:right w:val="single" w:color="auto" w:sz="4" w:space="0"/>
                  </w:tcBorders>
                  <w:vAlign w:val="center"/>
                </w:tcPr>
                <w:p w14:paraId="7D5B3A42">
                  <w:pPr>
                    <w:widowControl/>
                    <w:jc w:val="center"/>
                    <w:textAlignment w:val="center"/>
                    <w:rPr>
                      <w:rFonts w:hint="default" w:ascii="Times New Roman" w:hAnsi="Times New Roman" w:cs="Times New Roman"/>
                      <w:color w:val="auto"/>
                      <w:sz w:val="18"/>
                      <w:szCs w:val="18"/>
                    </w:rPr>
                  </w:pPr>
                </w:p>
              </w:tc>
            </w:tr>
            <w:tr w14:paraId="5916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pct"/>
                  <w:vMerge w:val="continue"/>
                  <w:tcBorders>
                    <w:left w:val="single" w:color="auto" w:sz="4" w:space="0"/>
                    <w:right w:val="single" w:color="auto" w:sz="4" w:space="0"/>
                  </w:tcBorders>
                  <w:vAlign w:val="center"/>
                </w:tcPr>
                <w:p w14:paraId="09E95D1B">
                  <w:pPr>
                    <w:jc w:val="center"/>
                    <w:rPr>
                      <w:rFonts w:hint="default" w:ascii="Times New Roman" w:hAnsi="Times New Roman" w:cs="Times New Roman"/>
                      <w:color w:val="auto"/>
                      <w:sz w:val="18"/>
                      <w:szCs w:val="18"/>
                    </w:rPr>
                  </w:pPr>
                </w:p>
              </w:tc>
              <w:tc>
                <w:tcPr>
                  <w:tcW w:w="480" w:type="pct"/>
                  <w:vMerge w:val="continue"/>
                  <w:tcBorders>
                    <w:left w:val="single" w:color="auto" w:sz="4" w:space="0"/>
                    <w:right w:val="single" w:color="auto" w:sz="4" w:space="0"/>
                  </w:tcBorders>
                  <w:vAlign w:val="center"/>
                </w:tcPr>
                <w:p w14:paraId="6B44C1DF">
                  <w:pPr>
                    <w:jc w:val="center"/>
                    <w:rPr>
                      <w:rFonts w:hint="default" w:ascii="Times New Roman" w:hAnsi="Times New Roman" w:cs="Times New Roman"/>
                      <w:color w:val="auto"/>
                      <w:sz w:val="18"/>
                      <w:szCs w:val="18"/>
                    </w:rPr>
                  </w:pPr>
                </w:p>
              </w:tc>
              <w:tc>
                <w:tcPr>
                  <w:tcW w:w="637" w:type="pct"/>
                  <w:tcBorders>
                    <w:top w:val="single" w:color="auto" w:sz="4" w:space="0"/>
                    <w:left w:val="single" w:color="auto" w:sz="4" w:space="0"/>
                    <w:bottom w:val="single" w:color="auto" w:sz="4" w:space="0"/>
                    <w:right w:val="single" w:color="auto" w:sz="4" w:space="0"/>
                  </w:tcBorders>
                  <w:vAlign w:val="center"/>
                </w:tcPr>
                <w:p w14:paraId="57016174">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氨氮</w:t>
                  </w:r>
                </w:p>
              </w:tc>
              <w:tc>
                <w:tcPr>
                  <w:tcW w:w="774" w:type="pct"/>
                  <w:tcBorders>
                    <w:top w:val="single" w:color="auto" w:sz="4" w:space="0"/>
                    <w:left w:val="single" w:color="auto" w:sz="4" w:space="0"/>
                    <w:bottom w:val="single" w:color="auto" w:sz="4" w:space="0"/>
                    <w:right w:val="single" w:color="auto" w:sz="4" w:space="0"/>
                  </w:tcBorders>
                  <w:vAlign w:val="center"/>
                </w:tcPr>
                <w:p w14:paraId="1A3446E2">
                  <w:pPr>
                    <w:widowControl/>
                    <w:jc w:val="center"/>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53.2</w:t>
                  </w:r>
                </w:p>
              </w:tc>
              <w:tc>
                <w:tcPr>
                  <w:tcW w:w="1033" w:type="pct"/>
                  <w:tcBorders>
                    <w:top w:val="single" w:color="auto" w:sz="4" w:space="0"/>
                    <w:left w:val="single" w:color="auto" w:sz="4" w:space="0"/>
                    <w:bottom w:val="single" w:color="auto" w:sz="4" w:space="0"/>
                    <w:right w:val="single" w:color="auto" w:sz="4" w:space="0"/>
                  </w:tcBorders>
                  <w:vAlign w:val="center"/>
                </w:tcPr>
                <w:p w14:paraId="07D077E5">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0.00</w:t>
                  </w:r>
                  <w:r>
                    <w:rPr>
                      <w:rFonts w:hint="eastAsia" w:cs="Times New Roman"/>
                      <w:color w:val="auto"/>
                      <w:sz w:val="18"/>
                      <w:szCs w:val="18"/>
                      <w:lang w:val="en-US" w:eastAsia="zh-CN"/>
                    </w:rPr>
                    <w:t>41</w:t>
                  </w:r>
                  <w:r>
                    <w:rPr>
                      <w:rFonts w:hint="default" w:ascii="Times New Roman" w:hAnsi="Times New Roman" w:eastAsia="宋体" w:cs="Times New Roman"/>
                      <w:color w:val="auto"/>
                      <w:sz w:val="18"/>
                      <w:szCs w:val="18"/>
                      <w:lang w:val="en-US" w:eastAsia="zh-CN"/>
                    </w:rPr>
                    <w:t xml:space="preserve"> </w:t>
                  </w:r>
                </w:p>
              </w:tc>
              <w:tc>
                <w:tcPr>
                  <w:tcW w:w="1582" w:type="pct"/>
                  <w:gridSpan w:val="2"/>
                  <w:vMerge w:val="continue"/>
                  <w:tcBorders>
                    <w:left w:val="single" w:color="auto" w:sz="4" w:space="0"/>
                    <w:right w:val="single" w:color="auto" w:sz="4" w:space="0"/>
                  </w:tcBorders>
                  <w:vAlign w:val="center"/>
                </w:tcPr>
                <w:p w14:paraId="0457E227">
                  <w:pPr>
                    <w:widowControl/>
                    <w:jc w:val="center"/>
                    <w:textAlignment w:val="center"/>
                    <w:rPr>
                      <w:rFonts w:hint="default" w:ascii="Times New Roman" w:hAnsi="Times New Roman" w:cs="Times New Roman"/>
                      <w:color w:val="auto"/>
                      <w:sz w:val="18"/>
                      <w:szCs w:val="18"/>
                    </w:rPr>
                  </w:pPr>
                </w:p>
              </w:tc>
            </w:tr>
            <w:tr w14:paraId="7891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pct"/>
                  <w:vMerge w:val="continue"/>
                  <w:tcBorders>
                    <w:left w:val="single" w:color="auto" w:sz="4" w:space="0"/>
                    <w:right w:val="single" w:color="auto" w:sz="4" w:space="0"/>
                  </w:tcBorders>
                  <w:vAlign w:val="center"/>
                </w:tcPr>
                <w:p w14:paraId="47A86B0B">
                  <w:pPr>
                    <w:jc w:val="center"/>
                    <w:rPr>
                      <w:rFonts w:hint="default" w:ascii="Times New Roman" w:hAnsi="Times New Roman" w:cs="Times New Roman"/>
                      <w:color w:val="auto"/>
                      <w:sz w:val="18"/>
                      <w:szCs w:val="18"/>
                    </w:rPr>
                  </w:pPr>
                </w:p>
              </w:tc>
              <w:tc>
                <w:tcPr>
                  <w:tcW w:w="480" w:type="pct"/>
                  <w:vMerge w:val="continue"/>
                  <w:tcBorders>
                    <w:left w:val="single" w:color="auto" w:sz="4" w:space="0"/>
                    <w:right w:val="single" w:color="auto" w:sz="4" w:space="0"/>
                  </w:tcBorders>
                  <w:vAlign w:val="center"/>
                </w:tcPr>
                <w:p w14:paraId="7CE16C02">
                  <w:pPr>
                    <w:jc w:val="center"/>
                    <w:rPr>
                      <w:rFonts w:hint="default" w:ascii="Times New Roman" w:hAnsi="Times New Roman" w:cs="Times New Roman"/>
                      <w:color w:val="auto"/>
                      <w:sz w:val="18"/>
                      <w:szCs w:val="18"/>
                    </w:rPr>
                  </w:pPr>
                </w:p>
              </w:tc>
              <w:tc>
                <w:tcPr>
                  <w:tcW w:w="637" w:type="pct"/>
                  <w:tcBorders>
                    <w:top w:val="single" w:color="auto" w:sz="4" w:space="0"/>
                    <w:left w:val="single" w:color="auto" w:sz="4" w:space="0"/>
                    <w:bottom w:val="single" w:color="auto" w:sz="4" w:space="0"/>
                    <w:right w:val="single" w:color="auto" w:sz="4" w:space="0"/>
                  </w:tcBorders>
                  <w:vAlign w:val="center"/>
                </w:tcPr>
                <w:p w14:paraId="251003E1">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rPr>
                    <w:t>总磷</w:t>
                  </w:r>
                </w:p>
              </w:tc>
              <w:tc>
                <w:tcPr>
                  <w:tcW w:w="774" w:type="pct"/>
                  <w:tcBorders>
                    <w:top w:val="single" w:color="auto" w:sz="4" w:space="0"/>
                    <w:left w:val="single" w:color="auto" w:sz="4" w:space="0"/>
                    <w:bottom w:val="single" w:color="auto" w:sz="4" w:space="0"/>
                    <w:right w:val="single" w:color="auto" w:sz="4" w:space="0"/>
                  </w:tcBorders>
                  <w:vAlign w:val="center"/>
                </w:tcPr>
                <w:p w14:paraId="0DC5987D">
                  <w:pPr>
                    <w:widowControl/>
                    <w:jc w:val="center"/>
                    <w:textAlignment w:val="bottom"/>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rPr>
                    <w:t>5.76</w:t>
                  </w:r>
                </w:p>
              </w:tc>
              <w:tc>
                <w:tcPr>
                  <w:tcW w:w="1033" w:type="pct"/>
                  <w:tcBorders>
                    <w:top w:val="single" w:color="auto" w:sz="4" w:space="0"/>
                    <w:left w:val="single" w:color="auto" w:sz="4" w:space="0"/>
                    <w:bottom w:val="single" w:color="auto" w:sz="4" w:space="0"/>
                    <w:right w:val="single" w:color="auto" w:sz="4" w:space="0"/>
                  </w:tcBorders>
                  <w:vAlign w:val="center"/>
                </w:tcPr>
                <w:p w14:paraId="27578FA2">
                  <w:pPr>
                    <w:widowControl/>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0.000</w:t>
                  </w:r>
                  <w:r>
                    <w:rPr>
                      <w:rFonts w:hint="eastAsia" w:cs="Times New Roman"/>
                      <w:color w:val="auto"/>
                      <w:sz w:val="18"/>
                      <w:szCs w:val="18"/>
                      <w:lang w:val="en-US" w:eastAsia="zh-CN"/>
                    </w:rPr>
                    <w:t>4</w:t>
                  </w:r>
                </w:p>
              </w:tc>
              <w:tc>
                <w:tcPr>
                  <w:tcW w:w="1582" w:type="pct"/>
                  <w:gridSpan w:val="2"/>
                  <w:vMerge w:val="continue"/>
                  <w:tcBorders>
                    <w:left w:val="single" w:color="auto" w:sz="4" w:space="0"/>
                    <w:bottom w:val="single" w:color="auto" w:sz="4" w:space="0"/>
                    <w:right w:val="single" w:color="auto" w:sz="4" w:space="0"/>
                  </w:tcBorders>
                  <w:vAlign w:val="center"/>
                </w:tcPr>
                <w:p w14:paraId="0EDC022A">
                  <w:pPr>
                    <w:widowControl/>
                    <w:jc w:val="center"/>
                    <w:textAlignment w:val="center"/>
                    <w:rPr>
                      <w:rFonts w:hint="default" w:ascii="Times New Roman" w:hAnsi="Times New Roman" w:cs="Times New Roman"/>
                      <w:color w:val="auto"/>
                      <w:sz w:val="18"/>
                      <w:szCs w:val="18"/>
                    </w:rPr>
                  </w:pPr>
                </w:p>
              </w:tc>
            </w:tr>
          </w:tbl>
          <w:p w14:paraId="365EFBC2">
            <w:pPr>
              <w:pStyle w:val="85"/>
              <w:spacing w:after="0" w:line="360" w:lineRule="auto"/>
              <w:ind w:left="0" w:leftChars="0"/>
              <w:jc w:val="left"/>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4、影响分析</w:t>
            </w:r>
          </w:p>
          <w:p w14:paraId="17E7F775">
            <w:pPr>
              <w:pStyle w:val="637"/>
              <w:snapToGrid w:val="0"/>
              <w:spacing w:line="360" w:lineRule="auto"/>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eastAsiaTheme="minorEastAsia"/>
                <w:color w:val="auto"/>
                <w:sz w:val="21"/>
                <w:szCs w:val="21"/>
              </w:rPr>
              <w:t>本项目外排的废水主要污染物为pH、COD、BOD</w:t>
            </w:r>
            <w:r>
              <w:rPr>
                <w:rFonts w:hint="default" w:ascii="Times New Roman" w:hAnsi="Times New Roman" w:cs="Times New Roman" w:eastAsiaTheme="minorEastAsia"/>
                <w:color w:val="auto"/>
                <w:sz w:val="21"/>
                <w:szCs w:val="21"/>
                <w:vertAlign w:val="subscript"/>
              </w:rPr>
              <w:t>5</w:t>
            </w:r>
            <w:r>
              <w:rPr>
                <w:rFonts w:hint="default" w:ascii="Times New Roman" w:hAnsi="Times New Roman" w:cs="Times New Roman" w:eastAsiaTheme="minorEastAsia"/>
                <w:color w:val="auto"/>
                <w:sz w:val="21"/>
                <w:szCs w:val="21"/>
              </w:rPr>
              <w:t>、SS、总磷、氨氮等常规因子，</w:t>
            </w:r>
            <w:r>
              <w:rPr>
                <w:rFonts w:hint="default" w:ascii="Times New Roman" w:hAnsi="Times New Roman" w:cs="Times New Roman"/>
                <w:color w:val="auto"/>
                <w:sz w:val="21"/>
                <w:szCs w:val="21"/>
              </w:rPr>
              <w:t>本项目废水</w:t>
            </w:r>
            <w:r>
              <w:rPr>
                <w:rFonts w:hint="default" w:ascii="Times New Roman" w:hAnsi="Times New Roman" w:cs="Times New Roman" w:eastAsiaTheme="minorEastAsia"/>
                <w:color w:val="auto"/>
                <w:sz w:val="21"/>
                <w:szCs w:val="21"/>
              </w:rPr>
              <w:t>为员工生活产生的生活污水</w:t>
            </w:r>
            <w:r>
              <w:rPr>
                <w:rFonts w:hint="eastAsia" w:cs="Times New Roman" w:eastAsiaTheme="minorEastAsia"/>
                <w:color w:val="auto"/>
                <w:sz w:val="21"/>
                <w:szCs w:val="21"/>
                <w:lang w:eastAsia="zh-CN"/>
              </w:rPr>
              <w:t>，</w:t>
            </w:r>
            <w:r>
              <w:rPr>
                <w:rFonts w:hint="eastAsia" w:cs="Times New Roman" w:eastAsiaTheme="minorEastAsia"/>
                <w:color w:val="auto"/>
                <w:sz w:val="21"/>
                <w:szCs w:val="21"/>
                <w:lang w:val="en-US" w:eastAsia="zh-CN"/>
              </w:rPr>
              <w:t>经</w:t>
            </w:r>
            <w:r>
              <w:rPr>
                <w:rFonts w:hint="default" w:ascii="Times New Roman" w:hAnsi="Times New Roman" w:cs="Times New Roman" w:eastAsiaTheme="minorEastAsia"/>
                <w:color w:val="auto"/>
                <w:sz w:val="21"/>
                <w:szCs w:val="21"/>
              </w:rPr>
              <w:t>化粪池预处理后由环卫部门定期清运。因此，在采取分类收集、分区防渗等环保措施下，本项目废水不会对周边地表水环境造成影响。</w:t>
            </w:r>
          </w:p>
          <w:p w14:paraId="16CC1006">
            <w:pPr>
              <w:pStyle w:val="85"/>
              <w:spacing w:after="0" w:line="360" w:lineRule="auto"/>
              <w:ind w:left="0" w:leftChars="0"/>
              <w:jc w:val="left"/>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5、自行监测方案</w:t>
            </w:r>
          </w:p>
          <w:p w14:paraId="1A104CEB">
            <w:pPr>
              <w:pStyle w:val="637"/>
              <w:snapToGrid w:val="0"/>
              <w:spacing w:line="360" w:lineRule="auto"/>
              <w:ind w:firstLine="420" w:firstLineChars="200"/>
              <w:jc w:val="both"/>
              <w:rPr>
                <w:rFonts w:hint="default" w:ascii="Times New Roman" w:hAnsi="Times New Roman" w:cs="Times New Roman" w:eastAsiaTheme="minorEastAsia"/>
                <w:color w:val="auto"/>
                <w:sz w:val="21"/>
                <w:szCs w:val="21"/>
              </w:rPr>
            </w:pPr>
            <w:r>
              <w:rPr>
                <w:rFonts w:hint="eastAsia" w:cs="Times New Roman" w:eastAsiaTheme="minorEastAsia"/>
                <w:color w:val="auto"/>
                <w:sz w:val="21"/>
                <w:szCs w:val="21"/>
                <w:lang w:eastAsia="zh-CN"/>
              </w:rPr>
              <w:t>本项目</w:t>
            </w:r>
            <w:r>
              <w:rPr>
                <w:rFonts w:hint="default" w:ascii="Times New Roman" w:hAnsi="Times New Roman" w:cs="Times New Roman" w:eastAsiaTheme="minorEastAsia"/>
                <w:color w:val="auto"/>
                <w:sz w:val="21"/>
                <w:szCs w:val="21"/>
                <w:lang w:eastAsia="zh-CN"/>
              </w:rPr>
              <w:t>不涉及</w:t>
            </w:r>
            <w:r>
              <w:rPr>
                <w:rFonts w:hint="default" w:ascii="Times New Roman" w:hAnsi="Times New Roman" w:cs="Times New Roman" w:eastAsiaTheme="minorEastAsia"/>
                <w:color w:val="auto"/>
                <w:sz w:val="21"/>
                <w:szCs w:val="21"/>
              </w:rPr>
              <w:t>废水排放口，无需进行废水自行监测。</w:t>
            </w:r>
          </w:p>
          <w:p w14:paraId="3CE902EB">
            <w:pPr>
              <w:spacing w:line="360" w:lineRule="auto"/>
              <w:ind w:firstLine="420" w:firstLineChars="200"/>
              <w:jc w:val="left"/>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三、噪声：</w:t>
            </w:r>
          </w:p>
          <w:p w14:paraId="3161AF61">
            <w:pPr>
              <w:spacing w:line="360" w:lineRule="auto"/>
              <w:ind w:firstLine="420" w:firstLineChars="200"/>
              <w:rPr>
                <w:rFonts w:hint="default" w:ascii="Times New Roman" w:hAnsi="Times New Roman" w:eastAsia="黑体" w:cs="Times New Roman"/>
                <w:color w:val="auto"/>
                <w:lang w:val="de-DE"/>
              </w:rPr>
            </w:pPr>
            <w:r>
              <w:rPr>
                <w:rFonts w:hint="default" w:ascii="Times New Roman" w:hAnsi="Times New Roman" w:eastAsia="黑体" w:cs="Times New Roman"/>
                <w:color w:val="auto"/>
                <w:lang w:val="de-DE"/>
              </w:rPr>
              <w:t>1、噪声源描述</w:t>
            </w:r>
          </w:p>
          <w:p w14:paraId="2BEB00B1">
            <w:pPr>
              <w:spacing w:line="360" w:lineRule="auto"/>
              <w:ind w:firstLine="420" w:firstLineChars="200"/>
              <w:rPr>
                <w:rFonts w:hint="default" w:ascii="Times New Roman" w:hAnsi="Times New Roman" w:cs="Times New Roman" w:eastAsiaTheme="minorEastAsia"/>
                <w:color w:val="auto"/>
                <w:lang w:val="de-DE"/>
              </w:rPr>
            </w:pPr>
            <w:r>
              <w:rPr>
                <w:rFonts w:hint="default" w:ascii="Times New Roman" w:hAnsi="Times New Roman" w:cs="Times New Roman" w:eastAsiaTheme="minorEastAsia"/>
                <w:color w:val="auto"/>
                <w:lang w:val="de-DE"/>
              </w:rPr>
              <w:t>本项目噪声主要为</w:t>
            </w:r>
            <w:r>
              <w:rPr>
                <w:rFonts w:hint="eastAsia" w:cs="Times New Roman" w:eastAsiaTheme="minorEastAsia"/>
                <w:color w:val="auto"/>
                <w:lang w:val="de-DE" w:eastAsia="zh-CN"/>
              </w:rPr>
              <w:t>打浆机、高浓除渣器、全自动成型机、真空泵、辊压机、砂光机</w:t>
            </w:r>
            <w:r>
              <w:rPr>
                <w:rFonts w:hint="default" w:ascii="Times New Roman" w:hAnsi="Times New Roman" w:cs="Times New Roman" w:eastAsiaTheme="minorEastAsia"/>
                <w:color w:val="auto"/>
                <w:lang w:val="de-DE"/>
              </w:rPr>
              <w:t>等设备运行产生的噪声，其噪声级在</w:t>
            </w:r>
            <w:r>
              <w:rPr>
                <w:rFonts w:hint="eastAsia" w:cs="Times New Roman" w:eastAsiaTheme="minorEastAsia"/>
                <w:color w:val="auto"/>
                <w:lang w:val="de-DE" w:eastAsia="zh-CN"/>
              </w:rPr>
              <w:t>70~85</w:t>
            </w:r>
            <w:r>
              <w:rPr>
                <w:rFonts w:hint="default" w:ascii="Times New Roman" w:hAnsi="Times New Roman" w:cs="Times New Roman" w:eastAsiaTheme="minorEastAsia"/>
                <w:color w:val="auto"/>
                <w:lang w:val="de-DE"/>
              </w:rPr>
              <w:t>dB(A)之间。</w:t>
            </w:r>
          </w:p>
          <w:p w14:paraId="6C830C64">
            <w:pPr>
              <w:spacing w:line="360" w:lineRule="auto"/>
              <w:ind w:firstLine="420" w:firstLineChars="200"/>
              <w:rPr>
                <w:rFonts w:hint="default" w:ascii="Times New Roman" w:hAnsi="Times New Roman" w:eastAsia="黑体" w:cs="Times New Roman"/>
                <w:color w:val="auto"/>
                <w:lang w:val="de-DE"/>
              </w:rPr>
            </w:pPr>
            <w:r>
              <w:rPr>
                <w:rFonts w:hint="default" w:ascii="Times New Roman" w:hAnsi="Times New Roman" w:eastAsia="黑体" w:cs="Times New Roman"/>
                <w:color w:val="auto"/>
                <w:lang w:val="de-DE"/>
              </w:rPr>
              <w:t>2、降噪措施</w:t>
            </w:r>
          </w:p>
          <w:p w14:paraId="2C037821">
            <w:pPr>
              <w:spacing w:line="360" w:lineRule="auto"/>
              <w:ind w:firstLine="420" w:firstLineChars="200"/>
              <w:rPr>
                <w:rFonts w:hint="default" w:ascii="Times New Roman" w:hAnsi="Times New Roman" w:cs="Times New Roman"/>
                <w:color w:val="auto"/>
                <w:lang w:val="de-DE"/>
              </w:rPr>
            </w:pPr>
            <w:r>
              <w:rPr>
                <w:rFonts w:hint="default" w:ascii="Times New Roman" w:hAnsi="Times New Roman" w:cs="Times New Roman"/>
                <w:color w:val="auto"/>
                <w:lang w:val="de-DE"/>
              </w:rPr>
              <w:t>①在满足功能要求的前提下，尽量选择低噪声且符合国家噪声标准的环保型设备。设备安装时加装减振垫，生产时加强对各类机械设备的维护保养，把对环境的影响降到最低限度。</w:t>
            </w:r>
          </w:p>
          <w:p w14:paraId="16299CF8">
            <w:pPr>
              <w:spacing w:line="360" w:lineRule="auto"/>
              <w:ind w:firstLine="420" w:firstLineChars="200"/>
              <w:rPr>
                <w:rFonts w:hint="default" w:ascii="Times New Roman" w:hAnsi="Times New Roman" w:cs="Times New Roman"/>
                <w:color w:val="auto"/>
                <w:lang w:val="de-DE"/>
              </w:rPr>
            </w:pPr>
            <w:r>
              <w:rPr>
                <w:rFonts w:hint="default" w:ascii="Times New Roman" w:hAnsi="Times New Roman" w:cs="Times New Roman"/>
                <w:color w:val="auto"/>
                <w:lang w:val="de-DE"/>
              </w:rPr>
              <w:t>②对于空气动力性噪声的机械设备，如风机等进出风口加装消声器。</w:t>
            </w:r>
          </w:p>
          <w:p w14:paraId="2FC5F5F4">
            <w:pPr>
              <w:spacing w:line="360" w:lineRule="auto"/>
              <w:ind w:firstLine="420" w:firstLineChars="200"/>
              <w:rPr>
                <w:rFonts w:hint="default" w:ascii="Times New Roman" w:hAnsi="Times New Roman" w:cs="Times New Roman"/>
                <w:color w:val="auto"/>
                <w:lang w:val="de-DE"/>
              </w:rPr>
            </w:pPr>
            <w:r>
              <w:rPr>
                <w:rFonts w:hint="default" w:ascii="Times New Roman" w:hAnsi="Times New Roman" w:cs="Times New Roman"/>
                <w:color w:val="auto"/>
                <w:lang w:val="de-DE"/>
              </w:rPr>
              <w:t>③厂房内装隔声门窗。</w:t>
            </w:r>
          </w:p>
          <w:p w14:paraId="1573599C">
            <w:pPr>
              <w:spacing w:line="360" w:lineRule="auto"/>
              <w:ind w:firstLine="420" w:firstLineChars="200"/>
              <w:rPr>
                <w:rFonts w:hint="default" w:ascii="Times New Roman" w:hAnsi="Times New Roman" w:cs="Times New Roman"/>
                <w:color w:val="auto"/>
                <w:lang w:val="de-DE"/>
              </w:rPr>
            </w:pPr>
            <w:r>
              <w:rPr>
                <w:rFonts w:hint="default" w:ascii="Times New Roman" w:hAnsi="Times New Roman" w:cs="Times New Roman"/>
                <w:color w:val="auto"/>
                <w:lang w:val="de-DE"/>
              </w:rPr>
              <w:t>④严格规定生产时间，尽量不安排夜间进行生产。产品及原料运输应安排在白天进行，尽量不安排在夜间进行运输作业，避免噪声扰民。</w:t>
            </w:r>
          </w:p>
          <w:p w14:paraId="494F8500">
            <w:pPr>
              <w:spacing w:line="360" w:lineRule="auto"/>
              <w:ind w:firstLine="420" w:firstLineChars="200"/>
              <w:rPr>
                <w:rFonts w:hint="default" w:ascii="Times New Roman" w:hAnsi="Times New Roman" w:cs="Times New Roman"/>
                <w:color w:val="auto"/>
                <w:lang w:val="de-DE"/>
              </w:rPr>
            </w:pPr>
            <w:r>
              <w:rPr>
                <w:rFonts w:hint="default" w:ascii="Times New Roman" w:hAnsi="Times New Roman" w:cs="Times New Roman"/>
                <w:color w:val="auto"/>
                <w:lang w:val="de-DE"/>
              </w:rPr>
              <w:t>⑤加强职工环保意识教育，提倡文明生产，防止人为噪声；强化行车管理制度，设置降噪标准，严禁鸣号，进入厂区低速行驶，最大限度减少流动噪声源。</w:t>
            </w:r>
          </w:p>
          <w:p w14:paraId="0DABCF25">
            <w:pPr>
              <w:spacing w:line="360" w:lineRule="auto"/>
              <w:ind w:firstLine="420" w:firstLineChars="200"/>
              <w:rPr>
                <w:rFonts w:hint="default" w:ascii="Times New Roman" w:hAnsi="Times New Roman" w:eastAsia="黑体" w:cs="Times New Roman"/>
                <w:color w:val="auto"/>
                <w:lang w:val="de-DE"/>
              </w:rPr>
            </w:pPr>
            <w:r>
              <w:rPr>
                <w:rFonts w:hint="default" w:ascii="Times New Roman" w:hAnsi="Times New Roman" w:eastAsia="黑体" w:cs="Times New Roman"/>
                <w:color w:val="auto"/>
                <w:lang w:val="de-DE"/>
              </w:rPr>
              <w:t>3、声环境保护目标调查</w:t>
            </w:r>
          </w:p>
          <w:p w14:paraId="1F12D97D">
            <w:pPr>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de-DE"/>
              </w:rPr>
              <w:t>本厂区</w:t>
            </w:r>
            <w:r>
              <w:rPr>
                <w:rFonts w:hint="default" w:ascii="Times New Roman" w:hAnsi="Times New Roman" w:cs="Times New Roman" w:eastAsiaTheme="minorEastAsia"/>
                <w:color w:val="auto"/>
                <w:lang w:val="de-DE"/>
              </w:rPr>
              <w:t>50</w:t>
            </w:r>
            <w:r>
              <w:rPr>
                <w:rFonts w:hint="default" w:ascii="Times New Roman" w:hAnsi="Times New Roman" w:cs="Times New Roman"/>
                <w:color w:val="auto"/>
                <w:lang w:val="de-DE"/>
              </w:rPr>
              <w:t>米范围内</w:t>
            </w:r>
            <w:r>
              <w:rPr>
                <w:rFonts w:hint="default" w:ascii="Times New Roman" w:hAnsi="Times New Roman" w:cs="Times New Roman"/>
                <w:color w:val="auto"/>
              </w:rPr>
              <w:t>无</w:t>
            </w:r>
            <w:r>
              <w:rPr>
                <w:rFonts w:hint="default" w:ascii="Times New Roman" w:hAnsi="Times New Roman" w:cs="Times New Roman"/>
                <w:color w:val="auto"/>
                <w:lang w:val="de-DE"/>
              </w:rPr>
              <w:t>声环境保护目标</w:t>
            </w:r>
            <w:r>
              <w:rPr>
                <w:rFonts w:hint="default" w:ascii="Times New Roman" w:hAnsi="Times New Roman" w:cs="Times New Roman"/>
                <w:color w:val="auto"/>
              </w:rPr>
              <w:t>。</w:t>
            </w:r>
          </w:p>
          <w:p w14:paraId="66390FBE">
            <w:pPr>
              <w:spacing w:line="360" w:lineRule="auto"/>
              <w:ind w:firstLine="420" w:firstLineChars="200"/>
              <w:rPr>
                <w:rFonts w:hint="default" w:ascii="Times New Roman" w:hAnsi="Times New Roman" w:eastAsia="黑体" w:cs="Times New Roman"/>
                <w:color w:val="auto"/>
                <w:lang w:val="de-DE"/>
              </w:rPr>
            </w:pPr>
            <w:r>
              <w:rPr>
                <w:rFonts w:hint="default" w:ascii="Times New Roman" w:hAnsi="Times New Roman" w:eastAsia="黑体" w:cs="Times New Roman"/>
                <w:color w:val="auto"/>
                <w:lang w:val="de-DE"/>
              </w:rPr>
              <w:t>4、噪声源调查与分析</w:t>
            </w:r>
          </w:p>
          <w:p w14:paraId="165381AC">
            <w:pPr>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de-DE"/>
              </w:rPr>
              <w:t>类比相关行业设备的噪声源强，本项目噪声源强调查清单如下</w:t>
            </w:r>
            <w:r>
              <w:rPr>
                <w:rFonts w:hint="default" w:ascii="Times New Roman" w:hAnsi="Times New Roman" w:cs="Times New Roman"/>
                <w:color w:val="auto"/>
              </w:rPr>
              <w:t>。</w:t>
            </w:r>
          </w:p>
          <w:p w14:paraId="559E4720">
            <w:pPr>
              <w:pStyle w:val="1385"/>
              <w:adjustRightInd w:val="0"/>
              <w:snapToGrid w:val="0"/>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表4-</w:t>
            </w:r>
            <w:r>
              <w:rPr>
                <w:rFonts w:hint="eastAsia" w:ascii="Times New Roman" w:hAnsi="Times New Roman" w:cs="Times New Roman"/>
                <w:color w:val="auto"/>
                <w:sz w:val="21"/>
                <w:szCs w:val="21"/>
                <w:lang w:val="en-US" w:eastAsia="zh-CN"/>
              </w:rPr>
              <w:t>9</w:t>
            </w:r>
            <w:r>
              <w:rPr>
                <w:rFonts w:hint="default" w:ascii="Times New Roman" w:hAnsi="Times New Roman" w:cs="Times New Roman"/>
                <w:color w:val="auto"/>
                <w:sz w:val="21"/>
                <w:szCs w:val="21"/>
              </w:rPr>
              <w:t xml:space="preserve">   </w:t>
            </w:r>
            <w:r>
              <w:rPr>
                <w:rFonts w:hint="eastAsia" w:ascii="Times New Roman" w:hAnsi="Times New Roman" w:cs="Times New Roman"/>
                <w:color w:val="auto"/>
                <w:sz w:val="21"/>
                <w:szCs w:val="21"/>
                <w:lang w:eastAsia="zh-CN"/>
              </w:rPr>
              <w:t>本项目</w:t>
            </w:r>
            <w:r>
              <w:rPr>
                <w:rFonts w:hint="default" w:ascii="Times New Roman" w:hAnsi="Times New Roman" w:cs="Times New Roman"/>
                <w:color w:val="auto"/>
                <w:sz w:val="21"/>
                <w:szCs w:val="21"/>
              </w:rPr>
              <w:t>工业企业噪声源强调查清单（室内设备）</w:t>
            </w:r>
          </w:p>
          <w:tbl>
            <w:tblPr>
              <w:tblStyle w:val="139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3"/>
              <w:gridCol w:w="330"/>
              <w:gridCol w:w="975"/>
              <w:gridCol w:w="372"/>
              <w:gridCol w:w="588"/>
              <w:gridCol w:w="667"/>
              <w:gridCol w:w="359"/>
              <w:gridCol w:w="454"/>
              <w:gridCol w:w="359"/>
              <w:gridCol w:w="848"/>
              <w:gridCol w:w="801"/>
              <w:gridCol w:w="590"/>
              <w:gridCol w:w="531"/>
              <w:gridCol w:w="791"/>
              <w:gridCol w:w="505"/>
            </w:tblGrid>
            <w:tr w14:paraId="2856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1" w:type="pct"/>
                  <w:vMerge w:val="restart"/>
                  <w:noWrap w:val="0"/>
                  <w:vAlign w:val="center"/>
                </w:tcPr>
                <w:p w14:paraId="6C742C4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p w14:paraId="7B7EE28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r>
                    <w:rPr>
                      <w:rFonts w:hint="default" w:ascii="Times New Roman" w:hAnsi="Times New Roman" w:eastAsia="宋体" w:cs="Times New Roman"/>
                      <w:snapToGrid w:val="0"/>
                      <w:color w:val="auto"/>
                      <w:spacing w:val="0"/>
                      <w:kern w:val="0"/>
                      <w:sz w:val="18"/>
                      <w:szCs w:val="18"/>
                      <w:highlight w:val="none"/>
                    </w:rPr>
                    <w:t>序号</w:t>
                  </w:r>
                </w:p>
              </w:tc>
              <w:tc>
                <w:tcPr>
                  <w:tcW w:w="197" w:type="pct"/>
                  <w:vMerge w:val="restart"/>
                  <w:noWrap w:val="0"/>
                  <w:vAlign w:val="center"/>
                </w:tcPr>
                <w:p w14:paraId="2150CC3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p w14:paraId="1B8D9EF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r>
                    <w:rPr>
                      <w:rFonts w:hint="default" w:ascii="Times New Roman" w:hAnsi="Times New Roman" w:eastAsia="宋体" w:cs="Times New Roman"/>
                      <w:snapToGrid w:val="0"/>
                      <w:color w:val="auto"/>
                      <w:spacing w:val="0"/>
                      <w:kern w:val="0"/>
                      <w:sz w:val="18"/>
                      <w:szCs w:val="18"/>
                      <w:highlight w:val="none"/>
                    </w:rPr>
                    <w:t>建筑物 名称</w:t>
                  </w:r>
                </w:p>
              </w:tc>
              <w:tc>
                <w:tcPr>
                  <w:tcW w:w="582" w:type="pct"/>
                  <w:vMerge w:val="restart"/>
                  <w:noWrap w:val="0"/>
                  <w:vAlign w:val="center"/>
                </w:tcPr>
                <w:p w14:paraId="228B578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p w14:paraId="0A78BA0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r>
                    <w:rPr>
                      <w:rFonts w:hint="default" w:ascii="Times New Roman" w:hAnsi="Times New Roman" w:eastAsia="宋体" w:cs="Times New Roman"/>
                      <w:snapToGrid w:val="0"/>
                      <w:color w:val="auto"/>
                      <w:spacing w:val="0"/>
                      <w:kern w:val="0"/>
                      <w:sz w:val="18"/>
                      <w:szCs w:val="18"/>
                      <w:highlight w:val="none"/>
                    </w:rPr>
                    <w:t>声源名称</w:t>
                  </w:r>
                </w:p>
              </w:tc>
              <w:tc>
                <w:tcPr>
                  <w:tcW w:w="222" w:type="pct"/>
                  <w:vMerge w:val="restart"/>
                  <w:noWrap w:val="0"/>
                  <w:vAlign w:val="center"/>
                </w:tcPr>
                <w:p w14:paraId="73C5DEF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p w14:paraId="525015D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r>
                    <w:rPr>
                      <w:rFonts w:hint="default" w:ascii="Times New Roman" w:hAnsi="Times New Roman" w:eastAsia="宋体" w:cs="Times New Roman"/>
                      <w:snapToGrid w:val="0"/>
                      <w:color w:val="auto"/>
                      <w:spacing w:val="0"/>
                      <w:kern w:val="0"/>
                      <w:sz w:val="18"/>
                      <w:szCs w:val="18"/>
                      <w:highlight w:val="none"/>
                    </w:rPr>
                    <w:t>型号</w:t>
                  </w:r>
                </w:p>
              </w:tc>
              <w:tc>
                <w:tcPr>
                  <w:tcW w:w="351" w:type="pct"/>
                  <w:noWrap w:val="0"/>
                  <w:vAlign w:val="center"/>
                </w:tcPr>
                <w:p w14:paraId="6D32E25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r>
                    <w:rPr>
                      <w:rFonts w:hint="default" w:ascii="Times New Roman" w:hAnsi="Times New Roman" w:eastAsia="宋体" w:cs="Times New Roman"/>
                      <w:snapToGrid w:val="0"/>
                      <w:color w:val="auto"/>
                      <w:spacing w:val="0"/>
                      <w:kern w:val="0"/>
                      <w:sz w:val="18"/>
                      <w:szCs w:val="18"/>
                      <w:highlight w:val="none"/>
                    </w:rPr>
                    <w:t>声源源强</w:t>
                  </w:r>
                </w:p>
              </w:tc>
              <w:tc>
                <w:tcPr>
                  <w:tcW w:w="398" w:type="pct"/>
                  <w:vMerge w:val="restart"/>
                  <w:noWrap w:val="0"/>
                  <w:vAlign w:val="center"/>
                </w:tcPr>
                <w:p w14:paraId="2C0844F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p w14:paraId="0FE19C7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r>
                    <w:rPr>
                      <w:rFonts w:hint="default" w:ascii="Times New Roman" w:hAnsi="Times New Roman" w:eastAsia="宋体" w:cs="Times New Roman"/>
                      <w:snapToGrid w:val="0"/>
                      <w:color w:val="auto"/>
                      <w:spacing w:val="0"/>
                      <w:kern w:val="0"/>
                      <w:sz w:val="18"/>
                      <w:szCs w:val="18"/>
                      <w:highlight w:val="none"/>
                    </w:rPr>
                    <w:t>声源控制措施</w:t>
                  </w:r>
                </w:p>
              </w:tc>
              <w:tc>
                <w:tcPr>
                  <w:tcW w:w="699" w:type="pct"/>
                  <w:gridSpan w:val="3"/>
                  <w:noWrap w:val="0"/>
                  <w:vAlign w:val="center"/>
                </w:tcPr>
                <w:p w14:paraId="5FD1C48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snapToGrid w:val="0"/>
                      <w:color w:val="auto"/>
                      <w:spacing w:val="0"/>
                      <w:kern w:val="0"/>
                      <w:sz w:val="18"/>
                      <w:szCs w:val="18"/>
                      <w:highlight w:val="none"/>
                    </w:rPr>
                  </w:pPr>
                  <w:r>
                    <w:rPr>
                      <w:rFonts w:hint="default" w:ascii="Times New Roman" w:hAnsi="Times New Roman" w:eastAsia="宋体" w:cs="Times New Roman"/>
                      <w:snapToGrid w:val="0"/>
                      <w:color w:val="auto"/>
                      <w:spacing w:val="0"/>
                      <w:kern w:val="0"/>
                      <w:sz w:val="18"/>
                      <w:szCs w:val="18"/>
                      <w:highlight w:val="none"/>
                    </w:rPr>
                    <w:t>空间相对位置</w:t>
                  </w:r>
                  <w:r>
                    <w:rPr>
                      <w:rFonts w:hint="default" w:ascii="Times New Roman" w:hAnsi="Times New Roman" w:eastAsia="Times New Roman" w:cs="Times New Roman"/>
                      <w:b/>
                      <w:bCs/>
                      <w:snapToGrid w:val="0"/>
                      <w:color w:val="auto"/>
                      <w:spacing w:val="0"/>
                      <w:kern w:val="0"/>
                      <w:sz w:val="18"/>
                      <w:szCs w:val="18"/>
                      <w:highlight w:val="none"/>
                    </w:rPr>
                    <w:t>/m</w:t>
                  </w:r>
                </w:p>
              </w:tc>
              <w:tc>
                <w:tcPr>
                  <w:tcW w:w="506" w:type="pct"/>
                  <w:vMerge w:val="restart"/>
                  <w:noWrap w:val="0"/>
                  <w:vAlign w:val="center"/>
                </w:tcPr>
                <w:p w14:paraId="65ECF86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r>
                    <w:rPr>
                      <w:rFonts w:hint="default" w:ascii="Times New Roman" w:hAnsi="Times New Roman" w:eastAsia="宋体" w:cs="Times New Roman"/>
                      <w:snapToGrid w:val="0"/>
                      <w:color w:val="auto"/>
                      <w:spacing w:val="0"/>
                      <w:kern w:val="0"/>
                      <w:sz w:val="18"/>
                      <w:szCs w:val="18"/>
                      <w:highlight w:val="none"/>
                    </w:rPr>
                    <w:t>距室内</w:t>
                  </w:r>
                </w:p>
                <w:p w14:paraId="08611AC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r>
                    <w:rPr>
                      <w:rFonts w:hint="default" w:ascii="Times New Roman" w:hAnsi="Times New Roman" w:eastAsia="宋体" w:cs="Times New Roman"/>
                      <w:snapToGrid w:val="0"/>
                      <w:color w:val="auto"/>
                      <w:spacing w:val="0"/>
                      <w:kern w:val="0"/>
                      <w:sz w:val="18"/>
                      <w:szCs w:val="18"/>
                      <w:highlight w:val="none"/>
                    </w:rPr>
                    <w:t>边界距</w:t>
                  </w:r>
                </w:p>
                <w:p w14:paraId="7D3A30E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snapToGrid w:val="0"/>
                      <w:color w:val="auto"/>
                      <w:spacing w:val="0"/>
                      <w:kern w:val="0"/>
                      <w:sz w:val="18"/>
                      <w:szCs w:val="18"/>
                      <w:highlight w:val="none"/>
                    </w:rPr>
                  </w:pPr>
                  <w:r>
                    <w:rPr>
                      <w:rFonts w:hint="default" w:ascii="Times New Roman" w:hAnsi="Times New Roman" w:eastAsia="宋体" w:cs="Times New Roman"/>
                      <w:snapToGrid w:val="0"/>
                      <w:color w:val="auto"/>
                      <w:spacing w:val="0"/>
                      <w:kern w:val="0"/>
                      <w:sz w:val="18"/>
                      <w:szCs w:val="18"/>
                      <w:highlight w:val="none"/>
                    </w:rPr>
                    <w:t>离</w:t>
                  </w:r>
                  <w:r>
                    <w:rPr>
                      <w:rFonts w:hint="default" w:ascii="Times New Roman" w:hAnsi="Times New Roman" w:eastAsia="Times New Roman" w:cs="Times New Roman"/>
                      <w:b/>
                      <w:bCs/>
                      <w:snapToGrid w:val="0"/>
                      <w:color w:val="auto"/>
                      <w:spacing w:val="0"/>
                      <w:kern w:val="0"/>
                      <w:sz w:val="18"/>
                      <w:szCs w:val="18"/>
                      <w:highlight w:val="none"/>
                    </w:rPr>
                    <w:t>/m</w:t>
                  </w:r>
                </w:p>
              </w:tc>
              <w:tc>
                <w:tcPr>
                  <w:tcW w:w="478" w:type="pct"/>
                  <w:vMerge w:val="restart"/>
                  <w:noWrap w:val="0"/>
                  <w:vAlign w:val="center"/>
                </w:tcPr>
                <w:p w14:paraId="1C6E4F9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snapToGrid w:val="0"/>
                      <w:color w:val="auto"/>
                      <w:spacing w:val="0"/>
                      <w:kern w:val="0"/>
                      <w:sz w:val="18"/>
                      <w:szCs w:val="18"/>
                      <w:highlight w:val="none"/>
                    </w:rPr>
                  </w:pPr>
                  <w:r>
                    <w:rPr>
                      <w:rFonts w:hint="default" w:ascii="Times New Roman" w:hAnsi="Times New Roman" w:eastAsia="宋体" w:cs="Times New Roman"/>
                      <w:snapToGrid w:val="0"/>
                      <w:color w:val="auto"/>
                      <w:spacing w:val="0"/>
                      <w:kern w:val="0"/>
                      <w:sz w:val="18"/>
                      <w:szCs w:val="18"/>
                      <w:highlight w:val="none"/>
                    </w:rPr>
                    <w:t xml:space="preserve">室内边 界声级 </w:t>
                  </w:r>
                  <w:r>
                    <w:rPr>
                      <w:rFonts w:hint="default" w:ascii="Times New Roman" w:hAnsi="Times New Roman" w:eastAsia="Times New Roman" w:cs="Times New Roman"/>
                      <w:b/>
                      <w:bCs/>
                      <w:snapToGrid w:val="0"/>
                      <w:color w:val="auto"/>
                      <w:spacing w:val="0"/>
                      <w:kern w:val="0"/>
                      <w:sz w:val="18"/>
                      <w:szCs w:val="18"/>
                      <w:highlight w:val="none"/>
                    </w:rPr>
                    <w:t>/dB(A)</w:t>
                  </w:r>
                </w:p>
              </w:tc>
              <w:tc>
                <w:tcPr>
                  <w:tcW w:w="352" w:type="pct"/>
                  <w:vMerge w:val="restart"/>
                  <w:noWrap w:val="0"/>
                  <w:vAlign w:val="center"/>
                </w:tcPr>
                <w:p w14:paraId="48EF83E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p w14:paraId="44AEFAA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r>
                    <w:rPr>
                      <w:rFonts w:hint="default" w:ascii="Times New Roman" w:hAnsi="Times New Roman" w:eastAsia="宋体" w:cs="Times New Roman"/>
                      <w:snapToGrid w:val="0"/>
                      <w:color w:val="auto"/>
                      <w:spacing w:val="0"/>
                      <w:kern w:val="0"/>
                      <w:sz w:val="18"/>
                      <w:szCs w:val="18"/>
                      <w:highlight w:val="none"/>
                    </w:rPr>
                    <w:t>运行时段</w:t>
                  </w:r>
                </w:p>
              </w:tc>
              <w:tc>
                <w:tcPr>
                  <w:tcW w:w="317" w:type="pct"/>
                  <w:vMerge w:val="restart"/>
                  <w:noWrap w:val="0"/>
                  <w:vAlign w:val="center"/>
                </w:tcPr>
                <w:p w14:paraId="4CB2F17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snapToGrid w:val="0"/>
                      <w:color w:val="auto"/>
                      <w:spacing w:val="0"/>
                      <w:kern w:val="0"/>
                      <w:sz w:val="18"/>
                      <w:szCs w:val="18"/>
                      <w:highlight w:val="none"/>
                    </w:rPr>
                  </w:pPr>
                  <w:r>
                    <w:rPr>
                      <w:rFonts w:hint="default" w:ascii="Times New Roman" w:hAnsi="Times New Roman" w:eastAsia="宋体" w:cs="Times New Roman"/>
                      <w:snapToGrid w:val="0"/>
                      <w:color w:val="auto"/>
                      <w:spacing w:val="0"/>
                      <w:kern w:val="0"/>
                      <w:sz w:val="18"/>
                      <w:szCs w:val="18"/>
                      <w:highlight w:val="none"/>
                    </w:rPr>
                    <w:t xml:space="preserve">建筑物插 入损失 </w:t>
                  </w:r>
                  <w:r>
                    <w:rPr>
                      <w:rFonts w:hint="default" w:ascii="Times New Roman" w:hAnsi="Times New Roman" w:eastAsia="Times New Roman" w:cs="Times New Roman"/>
                      <w:b/>
                      <w:bCs/>
                      <w:snapToGrid w:val="0"/>
                      <w:color w:val="auto"/>
                      <w:spacing w:val="0"/>
                      <w:kern w:val="0"/>
                      <w:sz w:val="18"/>
                      <w:szCs w:val="18"/>
                      <w:highlight w:val="none"/>
                    </w:rPr>
                    <w:t>/dB(A)</w:t>
                  </w:r>
                </w:p>
              </w:tc>
              <w:tc>
                <w:tcPr>
                  <w:tcW w:w="773" w:type="pct"/>
                  <w:gridSpan w:val="2"/>
                  <w:noWrap w:val="0"/>
                  <w:vAlign w:val="center"/>
                </w:tcPr>
                <w:p w14:paraId="565BE3B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r>
                    <w:rPr>
                      <w:rFonts w:hint="default" w:ascii="Times New Roman" w:hAnsi="Times New Roman" w:eastAsia="宋体" w:cs="Times New Roman"/>
                      <w:snapToGrid w:val="0"/>
                      <w:color w:val="auto"/>
                      <w:spacing w:val="0"/>
                      <w:kern w:val="0"/>
                      <w:sz w:val="18"/>
                      <w:szCs w:val="18"/>
                      <w:highlight w:val="none"/>
                    </w:rPr>
                    <w:t>建筑物外噪声</w:t>
                  </w:r>
                </w:p>
              </w:tc>
            </w:tr>
            <w:tr w14:paraId="0511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121" w:type="pct"/>
                  <w:vMerge w:val="continue"/>
                  <w:noWrap w:val="0"/>
                  <w:vAlign w:val="center"/>
                </w:tcPr>
                <w:p w14:paraId="5F0CA0C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tc>
              <w:tc>
                <w:tcPr>
                  <w:tcW w:w="197" w:type="pct"/>
                  <w:vMerge w:val="continue"/>
                  <w:noWrap w:val="0"/>
                  <w:vAlign w:val="center"/>
                </w:tcPr>
                <w:p w14:paraId="7FF6F6D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tc>
              <w:tc>
                <w:tcPr>
                  <w:tcW w:w="582" w:type="pct"/>
                  <w:vMerge w:val="continue"/>
                  <w:noWrap w:val="0"/>
                  <w:vAlign w:val="center"/>
                </w:tcPr>
                <w:p w14:paraId="0B105C7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tc>
              <w:tc>
                <w:tcPr>
                  <w:tcW w:w="222" w:type="pct"/>
                  <w:vMerge w:val="continue"/>
                  <w:noWrap w:val="0"/>
                  <w:vAlign w:val="center"/>
                </w:tcPr>
                <w:p w14:paraId="415D1F1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tc>
              <w:tc>
                <w:tcPr>
                  <w:tcW w:w="351" w:type="pct"/>
                  <w:noWrap w:val="0"/>
                  <w:vAlign w:val="center"/>
                </w:tcPr>
                <w:p w14:paraId="7F089FA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snapToGrid w:val="0"/>
                      <w:color w:val="auto"/>
                      <w:spacing w:val="0"/>
                      <w:kern w:val="0"/>
                      <w:sz w:val="18"/>
                      <w:szCs w:val="18"/>
                      <w:highlight w:val="none"/>
                    </w:rPr>
                  </w:pPr>
                  <w:r>
                    <w:rPr>
                      <w:rFonts w:hint="default" w:ascii="Times New Roman" w:hAnsi="Times New Roman" w:eastAsia="宋体" w:cs="Times New Roman"/>
                      <w:snapToGrid w:val="0"/>
                      <w:color w:val="auto"/>
                      <w:spacing w:val="0"/>
                      <w:kern w:val="0"/>
                      <w:sz w:val="18"/>
                      <w:szCs w:val="18"/>
                      <w:highlight w:val="none"/>
                    </w:rPr>
                    <w:t xml:space="preserve">声功率级 </w:t>
                  </w:r>
                  <w:r>
                    <w:rPr>
                      <w:rFonts w:hint="default" w:ascii="Times New Roman" w:hAnsi="Times New Roman" w:eastAsia="Times New Roman" w:cs="Times New Roman"/>
                      <w:b/>
                      <w:bCs/>
                      <w:snapToGrid w:val="0"/>
                      <w:color w:val="auto"/>
                      <w:spacing w:val="0"/>
                      <w:kern w:val="0"/>
                      <w:sz w:val="18"/>
                      <w:szCs w:val="18"/>
                      <w:highlight w:val="none"/>
                    </w:rPr>
                    <w:t>/dB(A)</w:t>
                  </w:r>
                </w:p>
              </w:tc>
              <w:tc>
                <w:tcPr>
                  <w:tcW w:w="398" w:type="pct"/>
                  <w:vMerge w:val="continue"/>
                  <w:noWrap w:val="0"/>
                  <w:vAlign w:val="center"/>
                </w:tcPr>
                <w:p w14:paraId="356B30B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tc>
              <w:tc>
                <w:tcPr>
                  <w:tcW w:w="214" w:type="pct"/>
                  <w:noWrap w:val="0"/>
                  <w:vAlign w:val="center"/>
                </w:tcPr>
                <w:p w14:paraId="49E59B0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snapToGrid w:val="0"/>
                      <w:color w:val="auto"/>
                      <w:spacing w:val="0"/>
                      <w:kern w:val="0"/>
                      <w:sz w:val="18"/>
                      <w:szCs w:val="18"/>
                      <w:highlight w:val="none"/>
                    </w:rPr>
                  </w:pPr>
                  <w:r>
                    <w:rPr>
                      <w:rFonts w:hint="default" w:ascii="Times New Roman" w:hAnsi="Times New Roman" w:eastAsia="Times New Roman" w:cs="Times New Roman"/>
                      <w:b/>
                      <w:bCs/>
                      <w:i/>
                      <w:iCs/>
                      <w:snapToGrid w:val="0"/>
                      <w:color w:val="auto"/>
                      <w:spacing w:val="0"/>
                      <w:kern w:val="0"/>
                      <w:sz w:val="18"/>
                      <w:szCs w:val="18"/>
                      <w:highlight w:val="none"/>
                    </w:rPr>
                    <w:t>X</w:t>
                  </w:r>
                </w:p>
              </w:tc>
              <w:tc>
                <w:tcPr>
                  <w:tcW w:w="271" w:type="pct"/>
                  <w:noWrap w:val="0"/>
                  <w:vAlign w:val="center"/>
                </w:tcPr>
                <w:p w14:paraId="21BF21A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snapToGrid w:val="0"/>
                      <w:color w:val="auto"/>
                      <w:spacing w:val="0"/>
                      <w:kern w:val="0"/>
                      <w:sz w:val="18"/>
                      <w:szCs w:val="18"/>
                      <w:highlight w:val="none"/>
                    </w:rPr>
                  </w:pPr>
                  <w:r>
                    <w:rPr>
                      <w:rFonts w:hint="default" w:ascii="Times New Roman" w:hAnsi="Times New Roman" w:eastAsia="Times New Roman" w:cs="Times New Roman"/>
                      <w:b/>
                      <w:bCs/>
                      <w:i/>
                      <w:iCs/>
                      <w:snapToGrid w:val="0"/>
                      <w:color w:val="auto"/>
                      <w:spacing w:val="0"/>
                      <w:kern w:val="0"/>
                      <w:sz w:val="18"/>
                      <w:szCs w:val="18"/>
                      <w:highlight w:val="none"/>
                    </w:rPr>
                    <w:t>Y</w:t>
                  </w:r>
                </w:p>
              </w:tc>
              <w:tc>
                <w:tcPr>
                  <w:tcW w:w="214" w:type="pct"/>
                  <w:noWrap w:val="0"/>
                  <w:vAlign w:val="center"/>
                </w:tcPr>
                <w:p w14:paraId="3F0C109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snapToGrid w:val="0"/>
                      <w:color w:val="auto"/>
                      <w:spacing w:val="0"/>
                      <w:kern w:val="0"/>
                      <w:sz w:val="18"/>
                      <w:szCs w:val="18"/>
                      <w:highlight w:val="none"/>
                    </w:rPr>
                  </w:pPr>
                  <w:r>
                    <w:rPr>
                      <w:rFonts w:hint="default" w:ascii="Times New Roman" w:hAnsi="Times New Roman" w:eastAsia="Times New Roman" w:cs="Times New Roman"/>
                      <w:b/>
                      <w:bCs/>
                      <w:i/>
                      <w:iCs/>
                      <w:snapToGrid w:val="0"/>
                      <w:color w:val="auto"/>
                      <w:spacing w:val="0"/>
                      <w:kern w:val="0"/>
                      <w:sz w:val="18"/>
                      <w:szCs w:val="18"/>
                      <w:highlight w:val="none"/>
                    </w:rPr>
                    <w:t>Z</w:t>
                  </w:r>
                </w:p>
              </w:tc>
              <w:tc>
                <w:tcPr>
                  <w:tcW w:w="506" w:type="pct"/>
                  <w:vMerge w:val="continue"/>
                  <w:noWrap w:val="0"/>
                  <w:vAlign w:val="center"/>
                </w:tcPr>
                <w:p w14:paraId="12EB99F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tc>
              <w:tc>
                <w:tcPr>
                  <w:tcW w:w="478" w:type="pct"/>
                  <w:vMerge w:val="continue"/>
                  <w:noWrap w:val="0"/>
                  <w:vAlign w:val="center"/>
                </w:tcPr>
                <w:p w14:paraId="021C96B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tc>
              <w:tc>
                <w:tcPr>
                  <w:tcW w:w="352" w:type="pct"/>
                  <w:vMerge w:val="continue"/>
                  <w:noWrap w:val="0"/>
                  <w:vAlign w:val="center"/>
                </w:tcPr>
                <w:p w14:paraId="7B67B98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tc>
              <w:tc>
                <w:tcPr>
                  <w:tcW w:w="317" w:type="pct"/>
                  <w:vMerge w:val="continue"/>
                  <w:noWrap w:val="0"/>
                  <w:vAlign w:val="center"/>
                </w:tcPr>
                <w:p w14:paraId="18BC80D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tc>
              <w:tc>
                <w:tcPr>
                  <w:tcW w:w="472" w:type="pct"/>
                  <w:noWrap w:val="0"/>
                  <w:vAlign w:val="center"/>
                </w:tcPr>
                <w:p w14:paraId="4713741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snapToGrid w:val="0"/>
                      <w:color w:val="auto"/>
                      <w:spacing w:val="0"/>
                      <w:kern w:val="0"/>
                      <w:sz w:val="18"/>
                      <w:szCs w:val="18"/>
                      <w:highlight w:val="none"/>
                    </w:rPr>
                  </w:pPr>
                  <w:r>
                    <w:rPr>
                      <w:rFonts w:hint="default" w:ascii="Times New Roman" w:hAnsi="Times New Roman" w:eastAsia="宋体" w:cs="Times New Roman"/>
                      <w:snapToGrid w:val="0"/>
                      <w:color w:val="auto"/>
                      <w:spacing w:val="0"/>
                      <w:kern w:val="0"/>
                      <w:sz w:val="18"/>
                      <w:szCs w:val="18"/>
                      <w:highlight w:val="none"/>
                    </w:rPr>
                    <w:t xml:space="preserve">声压级 </w:t>
                  </w:r>
                  <w:r>
                    <w:rPr>
                      <w:rFonts w:hint="default" w:ascii="Times New Roman" w:hAnsi="Times New Roman" w:eastAsia="Times New Roman" w:cs="Times New Roman"/>
                      <w:b/>
                      <w:bCs/>
                      <w:snapToGrid w:val="0"/>
                      <w:color w:val="auto"/>
                      <w:spacing w:val="0"/>
                      <w:kern w:val="0"/>
                      <w:sz w:val="18"/>
                      <w:szCs w:val="18"/>
                      <w:highlight w:val="none"/>
                    </w:rPr>
                    <w:t>/dB(A)</w:t>
                  </w:r>
                </w:p>
              </w:tc>
              <w:tc>
                <w:tcPr>
                  <w:tcW w:w="301" w:type="pct"/>
                  <w:noWrap w:val="0"/>
                  <w:vAlign w:val="center"/>
                </w:tcPr>
                <w:p w14:paraId="20C0EFB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r>
                    <w:rPr>
                      <w:rFonts w:hint="default" w:ascii="Times New Roman" w:hAnsi="Times New Roman" w:eastAsia="宋体" w:cs="Times New Roman"/>
                      <w:snapToGrid w:val="0"/>
                      <w:color w:val="auto"/>
                      <w:spacing w:val="0"/>
                      <w:kern w:val="0"/>
                      <w:sz w:val="18"/>
                      <w:szCs w:val="18"/>
                      <w:highlight w:val="none"/>
                    </w:rPr>
                    <w:t>建筑物 外距离</w:t>
                  </w:r>
                </w:p>
              </w:tc>
            </w:tr>
            <w:tr w14:paraId="78DA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1" w:type="pct"/>
                  <w:noWrap w:val="0"/>
                  <w:vAlign w:val="center"/>
                </w:tcPr>
                <w:p w14:paraId="785D3AA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snapToGrid w:val="0"/>
                      <w:color w:val="auto"/>
                      <w:spacing w:val="0"/>
                      <w:kern w:val="0"/>
                      <w:sz w:val="18"/>
                      <w:szCs w:val="18"/>
                      <w:highlight w:val="none"/>
                    </w:rPr>
                  </w:pPr>
                  <w:r>
                    <w:rPr>
                      <w:rFonts w:hint="default" w:ascii="Times New Roman" w:hAnsi="Times New Roman" w:eastAsia="Times New Roman" w:cs="Times New Roman"/>
                      <w:snapToGrid w:val="0"/>
                      <w:color w:val="auto"/>
                      <w:spacing w:val="0"/>
                      <w:kern w:val="0"/>
                      <w:sz w:val="18"/>
                      <w:szCs w:val="18"/>
                      <w:highlight w:val="none"/>
                    </w:rPr>
                    <w:t>1</w:t>
                  </w:r>
                </w:p>
              </w:tc>
              <w:tc>
                <w:tcPr>
                  <w:tcW w:w="197" w:type="pct"/>
                  <w:vMerge w:val="restart"/>
                  <w:noWrap w:val="0"/>
                  <w:vAlign w:val="center"/>
                </w:tcPr>
                <w:p w14:paraId="27493B3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2</w:t>
                  </w:r>
                  <w:r>
                    <w:rPr>
                      <w:rFonts w:hint="default" w:ascii="Times New Roman" w:hAnsi="Times New Roman" w:cs="Times New Roman"/>
                      <w:snapToGrid w:val="0"/>
                      <w:color w:val="auto"/>
                      <w:spacing w:val="0"/>
                      <w:kern w:val="0"/>
                      <w:sz w:val="18"/>
                      <w:szCs w:val="18"/>
                      <w:highlight w:val="none"/>
                      <w:lang w:val="en-US" w:eastAsia="zh-CN"/>
                    </w:rPr>
                    <w:t>#生产车间</w:t>
                  </w:r>
                </w:p>
              </w:tc>
              <w:tc>
                <w:tcPr>
                  <w:tcW w:w="582" w:type="pct"/>
                  <w:shd w:val="clear" w:color="auto" w:fill="auto"/>
                  <w:noWrap w:val="0"/>
                  <w:vAlign w:val="center"/>
                </w:tcPr>
                <w:p w14:paraId="5EADC9B2">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打浆机</w:t>
                  </w:r>
                </w:p>
              </w:tc>
              <w:tc>
                <w:tcPr>
                  <w:tcW w:w="222" w:type="pct"/>
                  <w:shd w:val="clear" w:color="auto" w:fill="auto"/>
                  <w:noWrap w:val="0"/>
                  <w:vAlign w:val="center"/>
                </w:tcPr>
                <w:p w14:paraId="1808A81C">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3m</w:t>
                  </w:r>
                  <w:r>
                    <w:rPr>
                      <w:rFonts w:hint="eastAsia" w:cs="Times New Roman"/>
                      <w:color w:val="auto"/>
                      <w:sz w:val="18"/>
                      <w:szCs w:val="18"/>
                      <w:highlight w:val="none"/>
                      <w:vertAlign w:val="superscript"/>
                      <w:lang w:val="en-US" w:eastAsia="zh-CN"/>
                    </w:rPr>
                    <w:t>3</w:t>
                  </w:r>
                </w:p>
              </w:tc>
              <w:tc>
                <w:tcPr>
                  <w:tcW w:w="351" w:type="pct"/>
                  <w:noWrap w:val="0"/>
                  <w:vAlign w:val="center"/>
                </w:tcPr>
                <w:p w14:paraId="4997907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70</w:t>
                  </w:r>
                </w:p>
              </w:tc>
              <w:tc>
                <w:tcPr>
                  <w:tcW w:w="398" w:type="pct"/>
                  <w:vMerge w:val="restart"/>
                  <w:noWrap w:val="0"/>
                  <w:vAlign w:val="center"/>
                </w:tcPr>
                <w:p w14:paraId="7BF60C7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r>
                    <w:rPr>
                      <w:rFonts w:hint="default" w:ascii="Times New Roman" w:hAnsi="Times New Roman" w:eastAsia="宋体" w:cs="Times New Roman"/>
                      <w:snapToGrid w:val="0"/>
                      <w:color w:val="auto"/>
                      <w:spacing w:val="0"/>
                      <w:kern w:val="0"/>
                      <w:sz w:val="18"/>
                      <w:szCs w:val="18"/>
                      <w:highlight w:val="none"/>
                    </w:rPr>
                    <w:t>选择低噪声设备，厂房隔声、隔声罩、基础减震、采用软接头</w:t>
                  </w:r>
                </w:p>
              </w:tc>
              <w:tc>
                <w:tcPr>
                  <w:tcW w:w="214" w:type="pct"/>
                  <w:noWrap w:val="0"/>
                  <w:vAlign w:val="center"/>
                </w:tcPr>
                <w:p w14:paraId="5DF546C9">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-10</w:t>
                  </w:r>
                </w:p>
              </w:tc>
              <w:tc>
                <w:tcPr>
                  <w:tcW w:w="271" w:type="pct"/>
                  <w:noWrap w:val="0"/>
                  <w:vAlign w:val="center"/>
                </w:tcPr>
                <w:p w14:paraId="6527E6BB">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-11</w:t>
                  </w:r>
                </w:p>
              </w:tc>
              <w:tc>
                <w:tcPr>
                  <w:tcW w:w="214" w:type="pct"/>
                  <w:noWrap w:val="0"/>
                  <w:vAlign w:val="center"/>
                </w:tcPr>
                <w:p w14:paraId="0453776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1.5</w:t>
                  </w:r>
                </w:p>
              </w:tc>
              <w:tc>
                <w:tcPr>
                  <w:tcW w:w="506" w:type="pct"/>
                  <w:noWrap w:val="0"/>
                  <w:vAlign w:val="center"/>
                </w:tcPr>
                <w:p w14:paraId="3884F53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2m</w:t>
                  </w:r>
                </w:p>
                <w:p w14:paraId="6B0E367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40</w:t>
                  </w:r>
                  <w:r>
                    <w:rPr>
                      <w:rFonts w:hint="default" w:ascii="Times New Roman" w:hAnsi="Times New Roman" w:eastAsia="宋体" w:cs="Times New Roman"/>
                      <w:snapToGrid w:val="0"/>
                      <w:color w:val="auto"/>
                      <w:spacing w:val="0"/>
                      <w:kern w:val="0"/>
                      <w:sz w:val="18"/>
                      <w:szCs w:val="18"/>
                      <w:highlight w:val="none"/>
                      <w:lang w:val="en-US" w:eastAsia="zh-CN"/>
                    </w:rPr>
                    <w:t>m</w:t>
                  </w:r>
                </w:p>
                <w:p w14:paraId="66A2ABC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18</w:t>
                  </w:r>
                  <w:r>
                    <w:rPr>
                      <w:rFonts w:hint="default" w:ascii="Times New Roman" w:hAnsi="Times New Roman" w:eastAsia="宋体" w:cs="Times New Roman"/>
                      <w:snapToGrid w:val="0"/>
                      <w:color w:val="auto"/>
                      <w:spacing w:val="0"/>
                      <w:kern w:val="0"/>
                      <w:sz w:val="18"/>
                      <w:szCs w:val="18"/>
                      <w:highlight w:val="none"/>
                      <w:lang w:val="en-US" w:eastAsia="zh-CN"/>
                    </w:rPr>
                    <w:t>m</w:t>
                  </w:r>
                </w:p>
                <w:p w14:paraId="7F43ABF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47</w:t>
                  </w:r>
                  <w:r>
                    <w:rPr>
                      <w:rFonts w:hint="default" w:ascii="Times New Roman" w:hAnsi="Times New Roman" w:eastAsia="宋体" w:cs="Times New Roman"/>
                      <w:snapToGrid w:val="0"/>
                      <w:color w:val="auto"/>
                      <w:spacing w:val="0"/>
                      <w:kern w:val="0"/>
                      <w:sz w:val="18"/>
                      <w:szCs w:val="18"/>
                      <w:highlight w:val="none"/>
                      <w:lang w:val="en-US" w:eastAsia="zh-CN"/>
                    </w:rPr>
                    <w:t>m</w:t>
                  </w:r>
                </w:p>
              </w:tc>
              <w:tc>
                <w:tcPr>
                  <w:tcW w:w="478" w:type="pct"/>
                  <w:noWrap w:val="0"/>
                  <w:vAlign w:val="center"/>
                </w:tcPr>
                <w:p w14:paraId="644651B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64.0</w:t>
                  </w:r>
                </w:p>
                <w:p w14:paraId="7583B31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38.0</w:t>
                  </w:r>
                </w:p>
                <w:p w14:paraId="4FAFD93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44.9</w:t>
                  </w:r>
                </w:p>
                <w:p w14:paraId="47BA7B5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36.6</w:t>
                  </w:r>
                </w:p>
              </w:tc>
              <w:tc>
                <w:tcPr>
                  <w:tcW w:w="352" w:type="pct"/>
                  <w:vMerge w:val="restart"/>
                  <w:noWrap w:val="0"/>
                  <w:vAlign w:val="center"/>
                </w:tcPr>
                <w:p w14:paraId="267698C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36</w:t>
                  </w:r>
                  <w:r>
                    <w:rPr>
                      <w:rFonts w:hint="default" w:ascii="Times New Roman" w:hAnsi="Times New Roman" w:cs="Times New Roman"/>
                      <w:snapToGrid w:val="0"/>
                      <w:color w:val="auto"/>
                      <w:spacing w:val="0"/>
                      <w:kern w:val="0"/>
                      <w:sz w:val="18"/>
                      <w:szCs w:val="18"/>
                      <w:highlight w:val="none"/>
                      <w:lang w:val="en-US" w:eastAsia="zh-CN"/>
                    </w:rPr>
                    <w:t>00h/a</w:t>
                  </w:r>
                </w:p>
              </w:tc>
              <w:tc>
                <w:tcPr>
                  <w:tcW w:w="317" w:type="pct"/>
                  <w:noWrap w:val="0"/>
                  <w:vAlign w:val="center"/>
                </w:tcPr>
                <w:p w14:paraId="02B8FA1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snapToGrid w:val="0"/>
                      <w:color w:val="auto"/>
                      <w:spacing w:val="0"/>
                      <w:kern w:val="0"/>
                      <w:sz w:val="18"/>
                      <w:szCs w:val="18"/>
                      <w:highlight w:val="none"/>
                      <w:lang w:val="en-US"/>
                    </w:rPr>
                  </w:pPr>
                  <w:r>
                    <w:rPr>
                      <w:rFonts w:hint="default" w:ascii="Times New Roman" w:hAnsi="Times New Roman" w:cs="Times New Roman"/>
                      <w:snapToGrid w:val="0"/>
                      <w:color w:val="auto"/>
                      <w:spacing w:val="0"/>
                      <w:kern w:val="0"/>
                      <w:sz w:val="18"/>
                      <w:szCs w:val="18"/>
                      <w:highlight w:val="none"/>
                      <w:lang w:val="en-US" w:eastAsia="zh-CN"/>
                    </w:rPr>
                    <w:t>20</w:t>
                  </w:r>
                </w:p>
              </w:tc>
              <w:tc>
                <w:tcPr>
                  <w:tcW w:w="472" w:type="pct"/>
                  <w:shd w:val="clear" w:color="auto" w:fill="auto"/>
                  <w:noWrap w:val="0"/>
                  <w:vAlign w:val="center"/>
                </w:tcPr>
                <w:p w14:paraId="37F7906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44.0</w:t>
                  </w:r>
                </w:p>
                <w:p w14:paraId="0DD9FD6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18.0</w:t>
                  </w:r>
                </w:p>
                <w:p w14:paraId="458647F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24.9</w:t>
                  </w:r>
                </w:p>
                <w:p w14:paraId="12A704C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16.6</w:t>
                  </w:r>
                </w:p>
              </w:tc>
              <w:tc>
                <w:tcPr>
                  <w:tcW w:w="301" w:type="pct"/>
                  <w:noWrap w:val="0"/>
                  <w:vAlign w:val="center"/>
                </w:tcPr>
                <w:p w14:paraId="07432C0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snapToGrid w:val="0"/>
                      <w:color w:val="auto"/>
                      <w:spacing w:val="0"/>
                      <w:kern w:val="0"/>
                      <w:sz w:val="18"/>
                      <w:szCs w:val="18"/>
                      <w:highlight w:val="none"/>
                    </w:rPr>
                  </w:pPr>
                  <w:r>
                    <w:rPr>
                      <w:rFonts w:hint="default" w:ascii="Times New Roman" w:hAnsi="Times New Roman" w:eastAsia="Times New Roman" w:cs="Times New Roman"/>
                      <w:snapToGrid w:val="0"/>
                      <w:color w:val="auto"/>
                      <w:spacing w:val="0"/>
                      <w:kern w:val="0"/>
                      <w:sz w:val="18"/>
                      <w:szCs w:val="18"/>
                      <w:highlight w:val="none"/>
                    </w:rPr>
                    <w:t>1</w:t>
                  </w:r>
                </w:p>
              </w:tc>
            </w:tr>
            <w:tr w14:paraId="797B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21" w:type="pct"/>
                  <w:noWrap w:val="0"/>
                  <w:vAlign w:val="center"/>
                </w:tcPr>
                <w:p w14:paraId="2632DDB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2</w:t>
                  </w:r>
                </w:p>
              </w:tc>
              <w:tc>
                <w:tcPr>
                  <w:tcW w:w="197" w:type="pct"/>
                  <w:vMerge w:val="continue"/>
                  <w:noWrap w:val="0"/>
                  <w:vAlign w:val="center"/>
                </w:tcPr>
                <w:p w14:paraId="6FB158D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tc>
              <w:tc>
                <w:tcPr>
                  <w:tcW w:w="582" w:type="pct"/>
                  <w:shd w:val="clear" w:color="auto" w:fill="auto"/>
                  <w:noWrap w:val="0"/>
                  <w:vAlign w:val="center"/>
                </w:tcPr>
                <w:p w14:paraId="547F73B3">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供浆泵</w:t>
                  </w:r>
                </w:p>
              </w:tc>
              <w:tc>
                <w:tcPr>
                  <w:tcW w:w="222" w:type="pct"/>
                  <w:shd w:val="clear" w:color="auto" w:fill="auto"/>
                  <w:noWrap w:val="0"/>
                  <w:vAlign w:val="center"/>
                </w:tcPr>
                <w:p w14:paraId="467290E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lang w:val="en-US" w:eastAsia="zh-CN" w:bidi="ar-SA"/>
                    </w:rPr>
                    <w:t>/</w:t>
                  </w:r>
                </w:p>
              </w:tc>
              <w:tc>
                <w:tcPr>
                  <w:tcW w:w="351" w:type="pct"/>
                  <w:noWrap w:val="0"/>
                  <w:vAlign w:val="center"/>
                </w:tcPr>
                <w:p w14:paraId="60CB495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85</w:t>
                  </w:r>
                </w:p>
              </w:tc>
              <w:tc>
                <w:tcPr>
                  <w:tcW w:w="398" w:type="pct"/>
                  <w:vMerge w:val="continue"/>
                  <w:noWrap w:val="0"/>
                  <w:vAlign w:val="center"/>
                </w:tcPr>
                <w:p w14:paraId="0358E17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p>
              </w:tc>
              <w:tc>
                <w:tcPr>
                  <w:tcW w:w="214" w:type="pct"/>
                  <w:noWrap w:val="0"/>
                  <w:vAlign w:val="center"/>
                </w:tcPr>
                <w:p w14:paraId="6917794B">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-10</w:t>
                  </w:r>
                </w:p>
              </w:tc>
              <w:tc>
                <w:tcPr>
                  <w:tcW w:w="271" w:type="pct"/>
                  <w:noWrap w:val="0"/>
                  <w:vAlign w:val="center"/>
                </w:tcPr>
                <w:p w14:paraId="043F9006">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-8</w:t>
                  </w:r>
                </w:p>
              </w:tc>
              <w:tc>
                <w:tcPr>
                  <w:tcW w:w="214" w:type="pct"/>
                  <w:noWrap w:val="0"/>
                  <w:vAlign w:val="center"/>
                </w:tcPr>
                <w:p w14:paraId="5E3E2AD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1.5</w:t>
                  </w:r>
                </w:p>
              </w:tc>
              <w:tc>
                <w:tcPr>
                  <w:tcW w:w="506" w:type="pct"/>
                  <w:noWrap w:val="0"/>
                  <w:vAlign w:val="center"/>
                </w:tcPr>
                <w:p w14:paraId="32AB6D0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2</w:t>
                  </w:r>
                  <w:r>
                    <w:rPr>
                      <w:rFonts w:hint="default" w:ascii="Times New Roman" w:hAnsi="Times New Roman" w:eastAsia="宋体" w:cs="Times New Roman"/>
                      <w:snapToGrid w:val="0"/>
                      <w:color w:val="auto"/>
                      <w:spacing w:val="0"/>
                      <w:kern w:val="0"/>
                      <w:sz w:val="18"/>
                      <w:szCs w:val="18"/>
                      <w:highlight w:val="none"/>
                      <w:lang w:val="en-US" w:eastAsia="zh-CN"/>
                    </w:rPr>
                    <w:t>m</w:t>
                  </w:r>
                </w:p>
                <w:p w14:paraId="0781341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42</w:t>
                  </w:r>
                  <w:r>
                    <w:rPr>
                      <w:rFonts w:hint="default" w:ascii="Times New Roman" w:hAnsi="Times New Roman" w:eastAsia="宋体" w:cs="Times New Roman"/>
                      <w:snapToGrid w:val="0"/>
                      <w:color w:val="auto"/>
                      <w:spacing w:val="0"/>
                      <w:kern w:val="0"/>
                      <w:sz w:val="18"/>
                      <w:szCs w:val="18"/>
                      <w:highlight w:val="none"/>
                      <w:lang w:val="en-US" w:eastAsia="zh-CN"/>
                    </w:rPr>
                    <w:t>m</w:t>
                  </w:r>
                </w:p>
                <w:p w14:paraId="0508A91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18</w:t>
                  </w:r>
                  <w:r>
                    <w:rPr>
                      <w:rFonts w:hint="default" w:ascii="Times New Roman" w:hAnsi="Times New Roman" w:eastAsia="宋体" w:cs="Times New Roman"/>
                      <w:snapToGrid w:val="0"/>
                      <w:color w:val="auto"/>
                      <w:spacing w:val="0"/>
                      <w:kern w:val="0"/>
                      <w:sz w:val="18"/>
                      <w:szCs w:val="18"/>
                      <w:highlight w:val="none"/>
                      <w:lang w:val="en-US" w:eastAsia="zh-CN"/>
                    </w:rPr>
                    <w:t>m</w:t>
                  </w:r>
                </w:p>
                <w:p w14:paraId="556F64F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45</w:t>
                  </w:r>
                  <w:r>
                    <w:rPr>
                      <w:rFonts w:hint="default" w:ascii="Times New Roman" w:hAnsi="Times New Roman" w:eastAsia="宋体" w:cs="Times New Roman"/>
                      <w:snapToGrid w:val="0"/>
                      <w:color w:val="auto"/>
                      <w:spacing w:val="0"/>
                      <w:kern w:val="0"/>
                      <w:sz w:val="18"/>
                      <w:szCs w:val="18"/>
                      <w:highlight w:val="none"/>
                      <w:lang w:val="en-US" w:eastAsia="zh-CN"/>
                    </w:rPr>
                    <w:t>m</w:t>
                  </w:r>
                </w:p>
              </w:tc>
              <w:tc>
                <w:tcPr>
                  <w:tcW w:w="478" w:type="pct"/>
                  <w:noWrap w:val="0"/>
                  <w:vAlign w:val="center"/>
                </w:tcPr>
                <w:p w14:paraId="1B5491F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79.0</w:t>
                  </w:r>
                </w:p>
                <w:p w14:paraId="1613CDE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52.5</w:t>
                  </w:r>
                </w:p>
                <w:p w14:paraId="2EB4D56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59.9</w:t>
                  </w:r>
                </w:p>
                <w:p w14:paraId="04F8347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51.9</w:t>
                  </w:r>
                </w:p>
              </w:tc>
              <w:tc>
                <w:tcPr>
                  <w:tcW w:w="352" w:type="pct"/>
                  <w:vMerge w:val="continue"/>
                  <w:noWrap w:val="0"/>
                  <w:vAlign w:val="center"/>
                </w:tcPr>
                <w:p w14:paraId="71F4064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Times New Roman" w:cs="Times New Roman"/>
                      <w:snapToGrid w:val="0"/>
                      <w:color w:val="auto"/>
                      <w:spacing w:val="0"/>
                      <w:kern w:val="0"/>
                      <w:sz w:val="18"/>
                      <w:szCs w:val="18"/>
                      <w:highlight w:val="none"/>
                    </w:rPr>
                  </w:pPr>
                </w:p>
              </w:tc>
              <w:tc>
                <w:tcPr>
                  <w:tcW w:w="317" w:type="pct"/>
                  <w:noWrap w:val="0"/>
                  <w:vAlign w:val="center"/>
                </w:tcPr>
                <w:p w14:paraId="524CDCA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cs="Times New Roman"/>
                      <w:snapToGrid w:val="0"/>
                      <w:color w:val="auto"/>
                      <w:spacing w:val="0"/>
                      <w:kern w:val="0"/>
                      <w:sz w:val="18"/>
                      <w:szCs w:val="18"/>
                      <w:highlight w:val="none"/>
                      <w:lang w:val="en-US" w:eastAsia="zh-CN"/>
                    </w:rPr>
                    <w:t>20</w:t>
                  </w:r>
                </w:p>
              </w:tc>
              <w:tc>
                <w:tcPr>
                  <w:tcW w:w="472" w:type="pct"/>
                  <w:shd w:val="clear" w:color="auto" w:fill="auto"/>
                  <w:noWrap w:val="0"/>
                  <w:vAlign w:val="center"/>
                </w:tcPr>
                <w:p w14:paraId="7750F76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59.0</w:t>
                  </w:r>
                </w:p>
                <w:p w14:paraId="4986A64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32.5</w:t>
                  </w:r>
                </w:p>
                <w:p w14:paraId="11AA9EA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39.9</w:t>
                  </w:r>
                </w:p>
                <w:p w14:paraId="7E9B29C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31.9</w:t>
                  </w:r>
                </w:p>
              </w:tc>
              <w:tc>
                <w:tcPr>
                  <w:tcW w:w="301" w:type="pct"/>
                  <w:noWrap w:val="0"/>
                  <w:vAlign w:val="center"/>
                </w:tcPr>
                <w:p w14:paraId="37C8386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snapToGrid w:val="0"/>
                      <w:color w:val="auto"/>
                      <w:spacing w:val="0"/>
                      <w:kern w:val="0"/>
                      <w:sz w:val="18"/>
                      <w:szCs w:val="18"/>
                      <w:highlight w:val="none"/>
                    </w:rPr>
                  </w:pPr>
                  <w:r>
                    <w:rPr>
                      <w:rFonts w:hint="default" w:ascii="Times New Roman" w:hAnsi="Times New Roman" w:eastAsia="Times New Roman" w:cs="Times New Roman"/>
                      <w:snapToGrid w:val="0"/>
                      <w:color w:val="auto"/>
                      <w:spacing w:val="0"/>
                      <w:kern w:val="0"/>
                      <w:sz w:val="18"/>
                      <w:szCs w:val="18"/>
                      <w:highlight w:val="none"/>
                    </w:rPr>
                    <w:t>1</w:t>
                  </w:r>
                </w:p>
              </w:tc>
            </w:tr>
            <w:tr w14:paraId="5A69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21" w:type="pct"/>
                  <w:noWrap w:val="0"/>
                  <w:vAlign w:val="center"/>
                </w:tcPr>
                <w:p w14:paraId="73E2D9D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cs="Times New Roman"/>
                      <w:snapToGrid w:val="0"/>
                      <w:color w:val="auto"/>
                      <w:spacing w:val="0"/>
                      <w:kern w:val="0"/>
                      <w:sz w:val="18"/>
                      <w:szCs w:val="18"/>
                      <w:highlight w:val="none"/>
                      <w:lang w:val="en-US" w:eastAsia="zh-CN"/>
                    </w:rPr>
                    <w:t>3</w:t>
                  </w:r>
                </w:p>
              </w:tc>
              <w:tc>
                <w:tcPr>
                  <w:tcW w:w="197" w:type="pct"/>
                  <w:vMerge w:val="continue"/>
                  <w:noWrap w:val="0"/>
                  <w:vAlign w:val="center"/>
                </w:tcPr>
                <w:p w14:paraId="68152BB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tc>
              <w:tc>
                <w:tcPr>
                  <w:tcW w:w="582" w:type="pct"/>
                  <w:shd w:val="clear" w:color="auto" w:fill="auto"/>
                  <w:noWrap w:val="0"/>
                  <w:vAlign w:val="center"/>
                </w:tcPr>
                <w:p w14:paraId="277579F2">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高浓除渣器</w:t>
                  </w:r>
                </w:p>
              </w:tc>
              <w:tc>
                <w:tcPr>
                  <w:tcW w:w="222" w:type="pct"/>
                  <w:shd w:val="clear" w:color="auto" w:fill="auto"/>
                  <w:noWrap w:val="0"/>
                  <w:vAlign w:val="center"/>
                </w:tcPr>
                <w:p w14:paraId="18CC5337">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lang w:val="en-US" w:eastAsia="zh-CN" w:bidi="ar-SA"/>
                    </w:rPr>
                    <w:t>/</w:t>
                  </w:r>
                </w:p>
              </w:tc>
              <w:tc>
                <w:tcPr>
                  <w:tcW w:w="351" w:type="pct"/>
                  <w:noWrap w:val="0"/>
                  <w:vAlign w:val="center"/>
                </w:tcPr>
                <w:p w14:paraId="58C03D8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70</w:t>
                  </w:r>
                </w:p>
              </w:tc>
              <w:tc>
                <w:tcPr>
                  <w:tcW w:w="398" w:type="pct"/>
                  <w:vMerge w:val="continue"/>
                  <w:noWrap w:val="0"/>
                  <w:vAlign w:val="center"/>
                </w:tcPr>
                <w:p w14:paraId="4734E1A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p>
              </w:tc>
              <w:tc>
                <w:tcPr>
                  <w:tcW w:w="214" w:type="pct"/>
                  <w:noWrap w:val="0"/>
                  <w:vAlign w:val="center"/>
                </w:tcPr>
                <w:p w14:paraId="598AEB91">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-10</w:t>
                  </w:r>
                </w:p>
              </w:tc>
              <w:tc>
                <w:tcPr>
                  <w:tcW w:w="271" w:type="pct"/>
                  <w:noWrap w:val="0"/>
                  <w:vAlign w:val="center"/>
                </w:tcPr>
                <w:p w14:paraId="2BA5E397">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-7</w:t>
                  </w:r>
                </w:p>
              </w:tc>
              <w:tc>
                <w:tcPr>
                  <w:tcW w:w="214" w:type="pct"/>
                  <w:noWrap w:val="0"/>
                  <w:vAlign w:val="center"/>
                </w:tcPr>
                <w:p w14:paraId="58F85D8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2</w:t>
                  </w:r>
                </w:p>
              </w:tc>
              <w:tc>
                <w:tcPr>
                  <w:tcW w:w="506" w:type="pct"/>
                  <w:noWrap w:val="0"/>
                  <w:vAlign w:val="center"/>
                </w:tcPr>
                <w:p w14:paraId="6BCB979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4</w:t>
                  </w:r>
                  <w:r>
                    <w:rPr>
                      <w:rFonts w:hint="default" w:ascii="Times New Roman" w:hAnsi="Times New Roman" w:eastAsia="宋体" w:cs="Times New Roman"/>
                      <w:snapToGrid w:val="0"/>
                      <w:color w:val="auto"/>
                      <w:spacing w:val="0"/>
                      <w:kern w:val="0"/>
                      <w:sz w:val="18"/>
                      <w:szCs w:val="18"/>
                      <w:highlight w:val="none"/>
                      <w:lang w:val="en-US" w:eastAsia="zh-CN"/>
                    </w:rPr>
                    <w:t>m</w:t>
                  </w:r>
                </w:p>
                <w:p w14:paraId="3EC7422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42</w:t>
                  </w:r>
                  <w:r>
                    <w:rPr>
                      <w:rFonts w:hint="default" w:ascii="Times New Roman" w:hAnsi="Times New Roman" w:eastAsia="宋体" w:cs="Times New Roman"/>
                      <w:snapToGrid w:val="0"/>
                      <w:color w:val="auto"/>
                      <w:spacing w:val="0"/>
                      <w:kern w:val="0"/>
                      <w:sz w:val="18"/>
                      <w:szCs w:val="18"/>
                      <w:highlight w:val="none"/>
                      <w:lang w:val="en-US" w:eastAsia="zh-CN"/>
                    </w:rPr>
                    <w:t>m</w:t>
                  </w:r>
                </w:p>
                <w:p w14:paraId="1176554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16</w:t>
                  </w:r>
                  <w:r>
                    <w:rPr>
                      <w:rFonts w:hint="default" w:ascii="Times New Roman" w:hAnsi="Times New Roman" w:eastAsia="宋体" w:cs="Times New Roman"/>
                      <w:snapToGrid w:val="0"/>
                      <w:color w:val="auto"/>
                      <w:spacing w:val="0"/>
                      <w:kern w:val="0"/>
                      <w:sz w:val="18"/>
                      <w:szCs w:val="18"/>
                      <w:highlight w:val="none"/>
                      <w:lang w:val="en-US" w:eastAsia="zh-CN"/>
                    </w:rPr>
                    <w:t>m</w:t>
                  </w:r>
                </w:p>
                <w:p w14:paraId="2DB732C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45</w:t>
                  </w:r>
                  <w:r>
                    <w:rPr>
                      <w:rFonts w:hint="default" w:ascii="Times New Roman" w:hAnsi="Times New Roman" w:eastAsia="宋体" w:cs="Times New Roman"/>
                      <w:snapToGrid w:val="0"/>
                      <w:color w:val="auto"/>
                      <w:spacing w:val="0"/>
                      <w:kern w:val="0"/>
                      <w:sz w:val="18"/>
                      <w:szCs w:val="18"/>
                      <w:highlight w:val="none"/>
                      <w:lang w:val="en-US" w:eastAsia="zh-CN"/>
                    </w:rPr>
                    <w:t>m</w:t>
                  </w:r>
                </w:p>
              </w:tc>
              <w:tc>
                <w:tcPr>
                  <w:tcW w:w="478" w:type="pct"/>
                  <w:noWrap w:val="0"/>
                  <w:vAlign w:val="center"/>
                </w:tcPr>
                <w:p w14:paraId="7B78B37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东：5</w:t>
                  </w:r>
                  <w:r>
                    <w:rPr>
                      <w:rFonts w:hint="eastAsia" w:cs="Times New Roman"/>
                      <w:snapToGrid w:val="0"/>
                      <w:color w:val="auto"/>
                      <w:spacing w:val="0"/>
                      <w:kern w:val="0"/>
                      <w:sz w:val="18"/>
                      <w:szCs w:val="18"/>
                      <w:highlight w:val="none"/>
                      <w:lang w:val="en-US" w:eastAsia="zh-CN"/>
                    </w:rPr>
                    <w:t>8.0</w:t>
                  </w:r>
                </w:p>
                <w:p w14:paraId="6210DEB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37.5</w:t>
                  </w:r>
                </w:p>
                <w:p w14:paraId="52A2D71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45.9</w:t>
                  </w:r>
                </w:p>
                <w:p w14:paraId="0C380D4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36.9</w:t>
                  </w:r>
                </w:p>
              </w:tc>
              <w:tc>
                <w:tcPr>
                  <w:tcW w:w="352" w:type="pct"/>
                  <w:vMerge w:val="continue"/>
                  <w:noWrap w:val="0"/>
                  <w:vAlign w:val="center"/>
                </w:tcPr>
                <w:p w14:paraId="54FDC0B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yellow"/>
                      <w:lang w:val="en-US" w:eastAsia="zh-CN"/>
                    </w:rPr>
                  </w:pPr>
                </w:p>
              </w:tc>
              <w:tc>
                <w:tcPr>
                  <w:tcW w:w="317" w:type="pct"/>
                  <w:noWrap w:val="0"/>
                  <w:vAlign w:val="center"/>
                </w:tcPr>
                <w:p w14:paraId="3A0921C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default" w:ascii="Times New Roman" w:hAnsi="Times New Roman" w:cs="Times New Roman"/>
                      <w:snapToGrid w:val="0"/>
                      <w:color w:val="auto"/>
                      <w:spacing w:val="0"/>
                      <w:kern w:val="0"/>
                      <w:sz w:val="18"/>
                      <w:szCs w:val="18"/>
                      <w:highlight w:val="none"/>
                      <w:lang w:val="en-US" w:eastAsia="zh-CN"/>
                    </w:rPr>
                    <w:t>20</w:t>
                  </w:r>
                </w:p>
              </w:tc>
              <w:tc>
                <w:tcPr>
                  <w:tcW w:w="472" w:type="pct"/>
                  <w:shd w:val="clear" w:color="auto" w:fill="auto"/>
                  <w:noWrap w:val="0"/>
                  <w:vAlign w:val="center"/>
                </w:tcPr>
                <w:p w14:paraId="3E33B73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38.0</w:t>
                  </w:r>
                </w:p>
                <w:p w14:paraId="435E2A4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17.5</w:t>
                  </w:r>
                </w:p>
                <w:p w14:paraId="1E471A9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25.9</w:t>
                  </w:r>
                </w:p>
                <w:p w14:paraId="48D13BE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16.9</w:t>
                  </w:r>
                </w:p>
              </w:tc>
              <w:tc>
                <w:tcPr>
                  <w:tcW w:w="301" w:type="pct"/>
                  <w:noWrap w:val="0"/>
                  <w:vAlign w:val="center"/>
                </w:tcPr>
                <w:p w14:paraId="7AE4CF9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snapToGrid w:val="0"/>
                      <w:color w:val="auto"/>
                      <w:spacing w:val="0"/>
                      <w:kern w:val="0"/>
                      <w:sz w:val="18"/>
                      <w:szCs w:val="18"/>
                      <w:highlight w:val="none"/>
                    </w:rPr>
                  </w:pPr>
                  <w:r>
                    <w:rPr>
                      <w:rFonts w:hint="default" w:ascii="Times New Roman" w:hAnsi="Times New Roman" w:eastAsia="Times New Roman" w:cs="Times New Roman"/>
                      <w:snapToGrid w:val="0"/>
                      <w:color w:val="auto"/>
                      <w:spacing w:val="0"/>
                      <w:kern w:val="0"/>
                      <w:sz w:val="18"/>
                      <w:szCs w:val="18"/>
                      <w:highlight w:val="none"/>
                    </w:rPr>
                    <w:t>1</w:t>
                  </w:r>
                </w:p>
              </w:tc>
            </w:tr>
            <w:tr w14:paraId="1126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21" w:type="pct"/>
                  <w:noWrap w:val="0"/>
                  <w:vAlign w:val="center"/>
                </w:tcPr>
                <w:p w14:paraId="55797D7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cs="Times New Roman"/>
                      <w:snapToGrid w:val="0"/>
                      <w:color w:val="auto"/>
                      <w:spacing w:val="0"/>
                      <w:kern w:val="0"/>
                      <w:sz w:val="18"/>
                      <w:szCs w:val="18"/>
                      <w:highlight w:val="none"/>
                      <w:lang w:val="en-US" w:eastAsia="zh-CN"/>
                    </w:rPr>
                    <w:t>4</w:t>
                  </w:r>
                </w:p>
              </w:tc>
              <w:tc>
                <w:tcPr>
                  <w:tcW w:w="197" w:type="pct"/>
                  <w:vMerge w:val="continue"/>
                  <w:noWrap w:val="0"/>
                  <w:vAlign w:val="center"/>
                </w:tcPr>
                <w:p w14:paraId="72E50AD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tc>
              <w:tc>
                <w:tcPr>
                  <w:tcW w:w="582" w:type="pct"/>
                  <w:shd w:val="clear" w:color="auto" w:fill="auto"/>
                  <w:noWrap w:val="0"/>
                  <w:vAlign w:val="center"/>
                </w:tcPr>
                <w:p w14:paraId="2BCEC44E">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全自动成型机</w:t>
                  </w:r>
                </w:p>
              </w:tc>
              <w:tc>
                <w:tcPr>
                  <w:tcW w:w="222" w:type="pct"/>
                  <w:noWrap w:val="0"/>
                  <w:vAlign w:val="center"/>
                </w:tcPr>
                <w:p w14:paraId="2DC8F15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Times New Roman" w:cs="Times New Roman"/>
                      <w:snapToGrid w:val="0"/>
                      <w:color w:val="auto"/>
                      <w:spacing w:val="0"/>
                      <w:kern w:val="0"/>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w:t>
                  </w:r>
                </w:p>
              </w:tc>
              <w:tc>
                <w:tcPr>
                  <w:tcW w:w="351" w:type="pct"/>
                  <w:noWrap w:val="0"/>
                  <w:vAlign w:val="center"/>
                </w:tcPr>
                <w:p w14:paraId="4B99B21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75</w:t>
                  </w:r>
                </w:p>
              </w:tc>
              <w:tc>
                <w:tcPr>
                  <w:tcW w:w="398" w:type="pct"/>
                  <w:vMerge w:val="continue"/>
                  <w:noWrap w:val="0"/>
                  <w:vAlign w:val="center"/>
                </w:tcPr>
                <w:p w14:paraId="3B1AA74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p>
              </w:tc>
              <w:tc>
                <w:tcPr>
                  <w:tcW w:w="214" w:type="pct"/>
                  <w:noWrap w:val="0"/>
                  <w:vAlign w:val="center"/>
                </w:tcPr>
                <w:p w14:paraId="72FA0037">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-12</w:t>
                  </w:r>
                </w:p>
              </w:tc>
              <w:tc>
                <w:tcPr>
                  <w:tcW w:w="271" w:type="pct"/>
                  <w:noWrap w:val="0"/>
                  <w:vAlign w:val="center"/>
                </w:tcPr>
                <w:p w14:paraId="41345573">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-6</w:t>
                  </w:r>
                </w:p>
              </w:tc>
              <w:tc>
                <w:tcPr>
                  <w:tcW w:w="214" w:type="pct"/>
                  <w:noWrap w:val="0"/>
                  <w:vAlign w:val="center"/>
                </w:tcPr>
                <w:p w14:paraId="59B2DE9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2</w:t>
                  </w:r>
                </w:p>
              </w:tc>
              <w:tc>
                <w:tcPr>
                  <w:tcW w:w="506" w:type="pct"/>
                  <w:noWrap w:val="0"/>
                  <w:vAlign w:val="center"/>
                </w:tcPr>
                <w:p w14:paraId="343E647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5</w:t>
                  </w:r>
                  <w:r>
                    <w:rPr>
                      <w:rFonts w:hint="default" w:ascii="Times New Roman" w:hAnsi="Times New Roman" w:eastAsia="宋体" w:cs="Times New Roman"/>
                      <w:snapToGrid w:val="0"/>
                      <w:color w:val="auto"/>
                      <w:spacing w:val="0"/>
                      <w:kern w:val="0"/>
                      <w:sz w:val="18"/>
                      <w:szCs w:val="18"/>
                      <w:highlight w:val="none"/>
                      <w:lang w:val="en-US" w:eastAsia="zh-CN"/>
                    </w:rPr>
                    <w:t>m</w:t>
                  </w:r>
                </w:p>
                <w:p w14:paraId="4DE4638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43</w:t>
                  </w:r>
                  <w:r>
                    <w:rPr>
                      <w:rFonts w:hint="default" w:ascii="Times New Roman" w:hAnsi="Times New Roman" w:eastAsia="宋体" w:cs="Times New Roman"/>
                      <w:snapToGrid w:val="0"/>
                      <w:color w:val="auto"/>
                      <w:spacing w:val="0"/>
                      <w:kern w:val="0"/>
                      <w:sz w:val="18"/>
                      <w:szCs w:val="18"/>
                      <w:highlight w:val="none"/>
                      <w:lang w:val="en-US" w:eastAsia="zh-CN"/>
                    </w:rPr>
                    <w:t>m</w:t>
                  </w:r>
                </w:p>
                <w:p w14:paraId="6EA3D78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15</w:t>
                  </w:r>
                  <w:r>
                    <w:rPr>
                      <w:rFonts w:hint="default" w:ascii="Times New Roman" w:hAnsi="Times New Roman" w:eastAsia="宋体" w:cs="Times New Roman"/>
                      <w:snapToGrid w:val="0"/>
                      <w:color w:val="auto"/>
                      <w:spacing w:val="0"/>
                      <w:kern w:val="0"/>
                      <w:sz w:val="18"/>
                      <w:szCs w:val="18"/>
                      <w:highlight w:val="none"/>
                      <w:lang w:val="en-US" w:eastAsia="zh-CN"/>
                    </w:rPr>
                    <w:t>m</w:t>
                  </w:r>
                </w:p>
                <w:p w14:paraId="7E4C20A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44</w:t>
                  </w:r>
                  <w:r>
                    <w:rPr>
                      <w:rFonts w:hint="default" w:ascii="Times New Roman" w:hAnsi="Times New Roman" w:eastAsia="宋体" w:cs="Times New Roman"/>
                      <w:snapToGrid w:val="0"/>
                      <w:color w:val="auto"/>
                      <w:spacing w:val="0"/>
                      <w:kern w:val="0"/>
                      <w:sz w:val="18"/>
                      <w:szCs w:val="18"/>
                      <w:highlight w:val="none"/>
                      <w:lang w:val="en-US" w:eastAsia="zh-CN"/>
                    </w:rPr>
                    <w:t>m</w:t>
                  </w:r>
                </w:p>
              </w:tc>
              <w:tc>
                <w:tcPr>
                  <w:tcW w:w="478" w:type="pct"/>
                  <w:noWrap w:val="0"/>
                  <w:vAlign w:val="center"/>
                </w:tcPr>
                <w:p w14:paraId="6F2034D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61.0</w:t>
                  </w:r>
                </w:p>
                <w:p w14:paraId="7E069EE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42.3</w:t>
                  </w:r>
                </w:p>
                <w:p w14:paraId="2641228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51.5</w:t>
                  </w:r>
                </w:p>
                <w:p w14:paraId="0A6024C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default" w:ascii="Times New Roman" w:hAnsi="Times New Roman" w:cs="Times New Roman"/>
                      <w:snapToGrid w:val="0"/>
                      <w:color w:val="auto"/>
                      <w:spacing w:val="0"/>
                      <w:kern w:val="0"/>
                      <w:sz w:val="18"/>
                      <w:szCs w:val="18"/>
                      <w:highlight w:val="none"/>
                      <w:lang w:val="en-US" w:eastAsia="zh-CN"/>
                    </w:rPr>
                    <w:t>4</w:t>
                  </w:r>
                  <w:r>
                    <w:rPr>
                      <w:rFonts w:hint="eastAsia" w:cs="Times New Roman"/>
                      <w:snapToGrid w:val="0"/>
                      <w:color w:val="auto"/>
                      <w:spacing w:val="0"/>
                      <w:kern w:val="0"/>
                      <w:sz w:val="18"/>
                      <w:szCs w:val="18"/>
                      <w:highlight w:val="none"/>
                      <w:lang w:val="en-US" w:eastAsia="zh-CN"/>
                    </w:rPr>
                    <w:t>2.1</w:t>
                  </w:r>
                </w:p>
              </w:tc>
              <w:tc>
                <w:tcPr>
                  <w:tcW w:w="352" w:type="pct"/>
                  <w:vMerge w:val="continue"/>
                  <w:noWrap w:val="0"/>
                  <w:vAlign w:val="center"/>
                </w:tcPr>
                <w:p w14:paraId="0B54AC9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yellow"/>
                      <w:lang w:val="en-US" w:eastAsia="zh-CN"/>
                    </w:rPr>
                  </w:pPr>
                </w:p>
              </w:tc>
              <w:tc>
                <w:tcPr>
                  <w:tcW w:w="317" w:type="pct"/>
                  <w:noWrap w:val="0"/>
                  <w:vAlign w:val="center"/>
                </w:tcPr>
                <w:p w14:paraId="54AEF20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default" w:ascii="Times New Roman" w:hAnsi="Times New Roman" w:cs="Times New Roman"/>
                      <w:snapToGrid w:val="0"/>
                      <w:color w:val="auto"/>
                      <w:spacing w:val="0"/>
                      <w:kern w:val="0"/>
                      <w:sz w:val="18"/>
                      <w:szCs w:val="18"/>
                      <w:highlight w:val="none"/>
                      <w:lang w:val="en-US" w:eastAsia="zh-CN"/>
                    </w:rPr>
                    <w:t>20</w:t>
                  </w:r>
                </w:p>
              </w:tc>
              <w:tc>
                <w:tcPr>
                  <w:tcW w:w="472" w:type="pct"/>
                  <w:shd w:val="clear" w:color="auto" w:fill="auto"/>
                  <w:noWrap w:val="0"/>
                  <w:vAlign w:val="center"/>
                </w:tcPr>
                <w:p w14:paraId="2503A91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41.0</w:t>
                  </w:r>
                </w:p>
                <w:p w14:paraId="5735B9A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22.3</w:t>
                  </w:r>
                </w:p>
                <w:p w14:paraId="5AE9861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31.5</w:t>
                  </w:r>
                </w:p>
                <w:p w14:paraId="7911D3E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22.1</w:t>
                  </w:r>
                </w:p>
              </w:tc>
              <w:tc>
                <w:tcPr>
                  <w:tcW w:w="301" w:type="pct"/>
                  <w:noWrap w:val="0"/>
                  <w:vAlign w:val="center"/>
                </w:tcPr>
                <w:p w14:paraId="58AD077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snapToGrid w:val="0"/>
                      <w:color w:val="auto"/>
                      <w:spacing w:val="0"/>
                      <w:kern w:val="0"/>
                      <w:sz w:val="18"/>
                      <w:szCs w:val="18"/>
                      <w:highlight w:val="none"/>
                    </w:rPr>
                  </w:pPr>
                  <w:r>
                    <w:rPr>
                      <w:rFonts w:hint="default" w:ascii="Times New Roman" w:hAnsi="Times New Roman" w:eastAsia="Times New Roman" w:cs="Times New Roman"/>
                      <w:snapToGrid w:val="0"/>
                      <w:color w:val="auto"/>
                      <w:spacing w:val="0"/>
                      <w:kern w:val="0"/>
                      <w:sz w:val="18"/>
                      <w:szCs w:val="18"/>
                      <w:highlight w:val="none"/>
                    </w:rPr>
                    <w:t>1</w:t>
                  </w:r>
                </w:p>
              </w:tc>
            </w:tr>
            <w:tr w14:paraId="2BFF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1" w:type="pct"/>
                  <w:noWrap w:val="0"/>
                  <w:vAlign w:val="center"/>
                </w:tcPr>
                <w:p w14:paraId="4551E4D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cs="Times New Roman"/>
                      <w:snapToGrid w:val="0"/>
                      <w:color w:val="auto"/>
                      <w:spacing w:val="0"/>
                      <w:kern w:val="0"/>
                      <w:sz w:val="18"/>
                      <w:szCs w:val="18"/>
                      <w:highlight w:val="none"/>
                      <w:lang w:val="en-US" w:eastAsia="zh-CN"/>
                    </w:rPr>
                    <w:t>5</w:t>
                  </w:r>
                </w:p>
              </w:tc>
              <w:tc>
                <w:tcPr>
                  <w:tcW w:w="197" w:type="pct"/>
                  <w:vMerge w:val="continue"/>
                  <w:noWrap w:val="0"/>
                  <w:vAlign w:val="center"/>
                </w:tcPr>
                <w:p w14:paraId="51C27C7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tc>
              <w:tc>
                <w:tcPr>
                  <w:tcW w:w="582" w:type="pct"/>
                  <w:shd w:val="clear" w:color="auto" w:fill="auto"/>
                  <w:noWrap w:val="0"/>
                  <w:vAlign w:val="center"/>
                </w:tcPr>
                <w:p w14:paraId="654C36EF">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气水分离器</w:t>
                  </w:r>
                </w:p>
              </w:tc>
              <w:tc>
                <w:tcPr>
                  <w:tcW w:w="222" w:type="pct"/>
                  <w:noWrap w:val="0"/>
                  <w:vAlign w:val="center"/>
                </w:tcPr>
                <w:p w14:paraId="25B2212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Times New Roman" w:cs="Times New Roman"/>
                      <w:snapToGrid w:val="0"/>
                      <w:color w:val="auto"/>
                      <w:spacing w:val="0"/>
                      <w:kern w:val="0"/>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w:t>
                  </w:r>
                </w:p>
              </w:tc>
              <w:tc>
                <w:tcPr>
                  <w:tcW w:w="351" w:type="pct"/>
                  <w:noWrap w:val="0"/>
                  <w:vAlign w:val="center"/>
                </w:tcPr>
                <w:p w14:paraId="59D77F6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75</w:t>
                  </w:r>
                </w:p>
              </w:tc>
              <w:tc>
                <w:tcPr>
                  <w:tcW w:w="398" w:type="pct"/>
                  <w:vMerge w:val="continue"/>
                  <w:noWrap w:val="0"/>
                  <w:vAlign w:val="center"/>
                </w:tcPr>
                <w:p w14:paraId="05D4349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p>
              </w:tc>
              <w:tc>
                <w:tcPr>
                  <w:tcW w:w="214" w:type="pct"/>
                  <w:noWrap w:val="0"/>
                  <w:vAlign w:val="center"/>
                </w:tcPr>
                <w:p w14:paraId="24F5B4AE">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eastAsia" w:cs="Times New Roman"/>
                      <w:snapToGrid w:val="0"/>
                      <w:color w:val="auto"/>
                      <w:spacing w:val="0"/>
                      <w:kern w:val="0"/>
                      <w:sz w:val="18"/>
                      <w:szCs w:val="18"/>
                      <w:highlight w:val="none"/>
                      <w:lang w:val="en-US" w:eastAsia="zh-CN" w:bidi="ar-SA"/>
                    </w:rPr>
                    <w:t>-14</w:t>
                  </w:r>
                </w:p>
              </w:tc>
              <w:tc>
                <w:tcPr>
                  <w:tcW w:w="271" w:type="pct"/>
                  <w:noWrap w:val="0"/>
                  <w:vAlign w:val="center"/>
                </w:tcPr>
                <w:p w14:paraId="73DE31F3">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eastAsia" w:cs="Times New Roman"/>
                      <w:snapToGrid w:val="0"/>
                      <w:color w:val="auto"/>
                      <w:spacing w:val="0"/>
                      <w:kern w:val="0"/>
                      <w:sz w:val="18"/>
                      <w:szCs w:val="18"/>
                      <w:highlight w:val="none"/>
                      <w:lang w:val="en-US" w:eastAsia="zh-CN" w:bidi="ar-SA"/>
                    </w:rPr>
                    <w:t>-8</w:t>
                  </w:r>
                </w:p>
              </w:tc>
              <w:tc>
                <w:tcPr>
                  <w:tcW w:w="214" w:type="pct"/>
                  <w:noWrap w:val="0"/>
                  <w:vAlign w:val="center"/>
                </w:tcPr>
                <w:p w14:paraId="6EFD02F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1</w:t>
                  </w:r>
                </w:p>
              </w:tc>
              <w:tc>
                <w:tcPr>
                  <w:tcW w:w="506" w:type="pct"/>
                  <w:noWrap w:val="0"/>
                  <w:vAlign w:val="center"/>
                </w:tcPr>
                <w:p w14:paraId="141F7BE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5</w:t>
                  </w:r>
                  <w:r>
                    <w:rPr>
                      <w:rFonts w:hint="default" w:ascii="Times New Roman" w:hAnsi="Times New Roman" w:eastAsia="宋体" w:cs="Times New Roman"/>
                      <w:snapToGrid w:val="0"/>
                      <w:color w:val="auto"/>
                      <w:spacing w:val="0"/>
                      <w:kern w:val="0"/>
                      <w:sz w:val="18"/>
                      <w:szCs w:val="18"/>
                      <w:highlight w:val="none"/>
                      <w:lang w:val="en-US" w:eastAsia="zh-CN"/>
                    </w:rPr>
                    <w:t>m</w:t>
                  </w:r>
                </w:p>
                <w:p w14:paraId="75412A3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44</w:t>
                  </w:r>
                  <w:r>
                    <w:rPr>
                      <w:rFonts w:hint="default" w:ascii="Times New Roman" w:hAnsi="Times New Roman" w:eastAsia="宋体" w:cs="Times New Roman"/>
                      <w:snapToGrid w:val="0"/>
                      <w:color w:val="auto"/>
                      <w:spacing w:val="0"/>
                      <w:kern w:val="0"/>
                      <w:sz w:val="18"/>
                      <w:szCs w:val="18"/>
                      <w:highlight w:val="none"/>
                      <w:lang w:val="en-US" w:eastAsia="zh-CN"/>
                    </w:rPr>
                    <w:t>m</w:t>
                  </w:r>
                </w:p>
                <w:p w14:paraId="7136537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default" w:ascii="Times New Roman" w:hAnsi="Times New Roman" w:cs="Times New Roman"/>
                      <w:snapToGrid w:val="0"/>
                      <w:color w:val="auto"/>
                      <w:spacing w:val="0"/>
                      <w:kern w:val="0"/>
                      <w:sz w:val="18"/>
                      <w:szCs w:val="18"/>
                      <w:highlight w:val="none"/>
                      <w:lang w:val="en-US" w:eastAsia="zh-CN"/>
                    </w:rPr>
                    <w:t>1</w:t>
                  </w:r>
                  <w:r>
                    <w:rPr>
                      <w:rFonts w:hint="eastAsia" w:cs="Times New Roman"/>
                      <w:snapToGrid w:val="0"/>
                      <w:color w:val="auto"/>
                      <w:spacing w:val="0"/>
                      <w:kern w:val="0"/>
                      <w:sz w:val="18"/>
                      <w:szCs w:val="18"/>
                      <w:highlight w:val="none"/>
                      <w:lang w:val="en-US" w:eastAsia="zh-CN"/>
                    </w:rPr>
                    <w:t>5</w:t>
                  </w:r>
                  <w:r>
                    <w:rPr>
                      <w:rFonts w:hint="default" w:ascii="Times New Roman" w:hAnsi="Times New Roman" w:eastAsia="宋体" w:cs="Times New Roman"/>
                      <w:snapToGrid w:val="0"/>
                      <w:color w:val="auto"/>
                      <w:spacing w:val="0"/>
                      <w:kern w:val="0"/>
                      <w:sz w:val="18"/>
                      <w:szCs w:val="18"/>
                      <w:highlight w:val="none"/>
                      <w:lang w:val="en-US" w:eastAsia="zh-CN"/>
                    </w:rPr>
                    <w:t>m</w:t>
                  </w:r>
                </w:p>
                <w:p w14:paraId="16EFC5A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43</w:t>
                  </w:r>
                  <w:r>
                    <w:rPr>
                      <w:rFonts w:hint="default" w:ascii="Times New Roman" w:hAnsi="Times New Roman" w:eastAsia="宋体" w:cs="Times New Roman"/>
                      <w:snapToGrid w:val="0"/>
                      <w:color w:val="auto"/>
                      <w:spacing w:val="0"/>
                      <w:kern w:val="0"/>
                      <w:sz w:val="18"/>
                      <w:szCs w:val="18"/>
                      <w:highlight w:val="none"/>
                      <w:lang w:val="en-US" w:eastAsia="zh-CN"/>
                    </w:rPr>
                    <w:t>m</w:t>
                  </w:r>
                </w:p>
              </w:tc>
              <w:tc>
                <w:tcPr>
                  <w:tcW w:w="478" w:type="pct"/>
                  <w:noWrap w:val="0"/>
                  <w:vAlign w:val="center"/>
                </w:tcPr>
                <w:p w14:paraId="0E01C34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61.0</w:t>
                  </w:r>
                </w:p>
                <w:p w14:paraId="6A17299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42.1</w:t>
                  </w:r>
                </w:p>
                <w:p w14:paraId="4E6B73B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default" w:ascii="Times New Roman" w:hAnsi="Times New Roman" w:cs="Times New Roman"/>
                      <w:snapToGrid w:val="0"/>
                      <w:color w:val="auto"/>
                      <w:spacing w:val="0"/>
                      <w:kern w:val="0"/>
                      <w:sz w:val="18"/>
                      <w:szCs w:val="18"/>
                      <w:highlight w:val="none"/>
                      <w:lang w:val="en-US" w:eastAsia="zh-CN"/>
                    </w:rPr>
                    <w:t>5</w:t>
                  </w:r>
                  <w:r>
                    <w:rPr>
                      <w:rFonts w:hint="eastAsia" w:cs="Times New Roman"/>
                      <w:snapToGrid w:val="0"/>
                      <w:color w:val="auto"/>
                      <w:spacing w:val="0"/>
                      <w:kern w:val="0"/>
                      <w:sz w:val="18"/>
                      <w:szCs w:val="18"/>
                      <w:highlight w:val="none"/>
                      <w:lang w:val="en-US" w:eastAsia="zh-CN"/>
                    </w:rPr>
                    <w:t>1.5</w:t>
                  </w:r>
                </w:p>
                <w:p w14:paraId="3A5D9DE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42.3</w:t>
                  </w:r>
                </w:p>
              </w:tc>
              <w:tc>
                <w:tcPr>
                  <w:tcW w:w="352" w:type="pct"/>
                  <w:vMerge w:val="continue"/>
                  <w:noWrap w:val="0"/>
                  <w:vAlign w:val="center"/>
                </w:tcPr>
                <w:p w14:paraId="2BDBFEA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yellow"/>
                      <w:lang w:val="en-US" w:eastAsia="zh-CN"/>
                    </w:rPr>
                  </w:pPr>
                </w:p>
              </w:tc>
              <w:tc>
                <w:tcPr>
                  <w:tcW w:w="317" w:type="pct"/>
                  <w:noWrap w:val="0"/>
                  <w:vAlign w:val="center"/>
                </w:tcPr>
                <w:p w14:paraId="7025DA1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default" w:ascii="Times New Roman" w:hAnsi="Times New Roman" w:cs="Times New Roman"/>
                      <w:snapToGrid w:val="0"/>
                      <w:color w:val="auto"/>
                      <w:spacing w:val="0"/>
                      <w:kern w:val="0"/>
                      <w:sz w:val="18"/>
                      <w:szCs w:val="18"/>
                      <w:highlight w:val="none"/>
                      <w:lang w:val="en-US" w:eastAsia="zh-CN"/>
                    </w:rPr>
                    <w:t>20</w:t>
                  </w:r>
                </w:p>
              </w:tc>
              <w:tc>
                <w:tcPr>
                  <w:tcW w:w="472" w:type="pct"/>
                  <w:shd w:val="clear" w:color="auto" w:fill="auto"/>
                  <w:noWrap w:val="0"/>
                  <w:vAlign w:val="center"/>
                </w:tcPr>
                <w:p w14:paraId="6019C5B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41.0</w:t>
                  </w:r>
                </w:p>
                <w:p w14:paraId="1FA4941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22.1</w:t>
                  </w:r>
                </w:p>
                <w:p w14:paraId="10B6CB4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31.5</w:t>
                  </w:r>
                </w:p>
                <w:p w14:paraId="5010105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22.3</w:t>
                  </w:r>
                </w:p>
              </w:tc>
              <w:tc>
                <w:tcPr>
                  <w:tcW w:w="301" w:type="pct"/>
                  <w:noWrap w:val="0"/>
                  <w:vAlign w:val="center"/>
                </w:tcPr>
                <w:p w14:paraId="721792A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snapToGrid w:val="0"/>
                      <w:color w:val="auto"/>
                      <w:spacing w:val="0"/>
                      <w:kern w:val="0"/>
                      <w:sz w:val="18"/>
                      <w:szCs w:val="18"/>
                      <w:highlight w:val="none"/>
                    </w:rPr>
                  </w:pPr>
                  <w:r>
                    <w:rPr>
                      <w:rFonts w:hint="default" w:ascii="Times New Roman" w:hAnsi="Times New Roman" w:eastAsia="Times New Roman" w:cs="Times New Roman"/>
                      <w:snapToGrid w:val="0"/>
                      <w:color w:val="auto"/>
                      <w:spacing w:val="0"/>
                      <w:kern w:val="0"/>
                      <w:sz w:val="18"/>
                      <w:szCs w:val="18"/>
                      <w:highlight w:val="none"/>
                    </w:rPr>
                    <w:t>1</w:t>
                  </w:r>
                </w:p>
              </w:tc>
            </w:tr>
            <w:tr w14:paraId="53A3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21" w:type="pct"/>
                  <w:noWrap w:val="0"/>
                  <w:vAlign w:val="center"/>
                </w:tcPr>
                <w:p w14:paraId="4613375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cs="Times New Roman"/>
                      <w:snapToGrid w:val="0"/>
                      <w:color w:val="auto"/>
                      <w:spacing w:val="0"/>
                      <w:kern w:val="0"/>
                      <w:sz w:val="18"/>
                      <w:szCs w:val="18"/>
                      <w:highlight w:val="none"/>
                      <w:lang w:val="en-US" w:eastAsia="zh-CN"/>
                    </w:rPr>
                    <w:t>6</w:t>
                  </w:r>
                </w:p>
              </w:tc>
              <w:tc>
                <w:tcPr>
                  <w:tcW w:w="197" w:type="pct"/>
                  <w:vMerge w:val="continue"/>
                  <w:noWrap w:val="0"/>
                  <w:vAlign w:val="center"/>
                </w:tcPr>
                <w:p w14:paraId="74C02EA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tc>
              <w:tc>
                <w:tcPr>
                  <w:tcW w:w="582" w:type="pct"/>
                  <w:shd w:val="clear" w:color="auto" w:fill="auto"/>
                  <w:noWrap w:val="0"/>
                  <w:vAlign w:val="center"/>
                </w:tcPr>
                <w:p w14:paraId="4E4176BD">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真空泵</w:t>
                  </w:r>
                </w:p>
              </w:tc>
              <w:tc>
                <w:tcPr>
                  <w:tcW w:w="222" w:type="pct"/>
                  <w:noWrap w:val="0"/>
                  <w:vAlign w:val="center"/>
                </w:tcPr>
                <w:p w14:paraId="6015468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Times New Roman" w:cs="Times New Roman"/>
                      <w:snapToGrid w:val="0"/>
                      <w:color w:val="auto"/>
                      <w:spacing w:val="0"/>
                      <w:kern w:val="0"/>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w:t>
                  </w:r>
                </w:p>
              </w:tc>
              <w:tc>
                <w:tcPr>
                  <w:tcW w:w="351" w:type="pct"/>
                  <w:noWrap w:val="0"/>
                  <w:vAlign w:val="center"/>
                </w:tcPr>
                <w:p w14:paraId="28FA4FC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85</w:t>
                  </w:r>
                </w:p>
              </w:tc>
              <w:tc>
                <w:tcPr>
                  <w:tcW w:w="398" w:type="pct"/>
                  <w:vMerge w:val="continue"/>
                  <w:noWrap w:val="0"/>
                  <w:vAlign w:val="center"/>
                </w:tcPr>
                <w:p w14:paraId="2A952DF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p>
              </w:tc>
              <w:tc>
                <w:tcPr>
                  <w:tcW w:w="214" w:type="pct"/>
                  <w:noWrap w:val="0"/>
                  <w:vAlign w:val="center"/>
                </w:tcPr>
                <w:p w14:paraId="3C239210">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eastAsia" w:cs="Times New Roman"/>
                      <w:snapToGrid w:val="0"/>
                      <w:color w:val="auto"/>
                      <w:spacing w:val="0"/>
                      <w:kern w:val="0"/>
                      <w:sz w:val="18"/>
                      <w:szCs w:val="18"/>
                      <w:highlight w:val="none"/>
                      <w:lang w:val="en-US" w:eastAsia="zh-CN" w:bidi="ar-SA"/>
                    </w:rPr>
                    <w:t>-15</w:t>
                  </w:r>
                </w:p>
              </w:tc>
              <w:tc>
                <w:tcPr>
                  <w:tcW w:w="271" w:type="pct"/>
                  <w:noWrap w:val="0"/>
                  <w:vAlign w:val="center"/>
                </w:tcPr>
                <w:p w14:paraId="65823C06">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eastAsia" w:cs="Times New Roman"/>
                      <w:snapToGrid w:val="0"/>
                      <w:color w:val="auto"/>
                      <w:spacing w:val="0"/>
                      <w:kern w:val="0"/>
                      <w:sz w:val="18"/>
                      <w:szCs w:val="18"/>
                      <w:highlight w:val="none"/>
                      <w:lang w:val="en-US" w:eastAsia="zh-CN" w:bidi="ar-SA"/>
                    </w:rPr>
                    <w:t>-7</w:t>
                  </w:r>
                </w:p>
              </w:tc>
              <w:tc>
                <w:tcPr>
                  <w:tcW w:w="214" w:type="pct"/>
                  <w:noWrap w:val="0"/>
                  <w:vAlign w:val="center"/>
                </w:tcPr>
                <w:p w14:paraId="72B38AB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1</w:t>
                  </w:r>
                </w:p>
              </w:tc>
              <w:tc>
                <w:tcPr>
                  <w:tcW w:w="506" w:type="pct"/>
                  <w:noWrap w:val="0"/>
                  <w:vAlign w:val="center"/>
                </w:tcPr>
                <w:p w14:paraId="7185918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6</w:t>
                  </w:r>
                  <w:r>
                    <w:rPr>
                      <w:rFonts w:hint="default" w:ascii="Times New Roman" w:hAnsi="Times New Roman" w:eastAsia="宋体" w:cs="Times New Roman"/>
                      <w:snapToGrid w:val="0"/>
                      <w:color w:val="auto"/>
                      <w:spacing w:val="0"/>
                      <w:kern w:val="0"/>
                      <w:sz w:val="18"/>
                      <w:szCs w:val="18"/>
                      <w:highlight w:val="none"/>
                      <w:lang w:val="en-US" w:eastAsia="zh-CN"/>
                    </w:rPr>
                    <w:t>m</w:t>
                  </w:r>
                </w:p>
                <w:p w14:paraId="116567F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43</w:t>
                  </w:r>
                  <w:r>
                    <w:rPr>
                      <w:rFonts w:hint="default" w:ascii="Times New Roman" w:hAnsi="Times New Roman" w:eastAsia="宋体" w:cs="Times New Roman"/>
                      <w:snapToGrid w:val="0"/>
                      <w:color w:val="auto"/>
                      <w:spacing w:val="0"/>
                      <w:kern w:val="0"/>
                      <w:sz w:val="18"/>
                      <w:szCs w:val="18"/>
                      <w:highlight w:val="none"/>
                      <w:lang w:val="en-US" w:eastAsia="zh-CN"/>
                    </w:rPr>
                    <w:t>m</w:t>
                  </w:r>
                </w:p>
                <w:p w14:paraId="4DD9C5D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西：1</w:t>
                  </w:r>
                  <w:r>
                    <w:rPr>
                      <w:rFonts w:hint="eastAsia" w:cs="Times New Roman"/>
                      <w:snapToGrid w:val="0"/>
                      <w:color w:val="auto"/>
                      <w:spacing w:val="0"/>
                      <w:kern w:val="0"/>
                      <w:sz w:val="18"/>
                      <w:szCs w:val="18"/>
                      <w:highlight w:val="none"/>
                      <w:lang w:val="en-US" w:eastAsia="zh-CN"/>
                    </w:rPr>
                    <w:t>4</w:t>
                  </w:r>
                  <w:r>
                    <w:rPr>
                      <w:rFonts w:hint="default" w:ascii="Times New Roman" w:hAnsi="Times New Roman" w:eastAsia="宋体" w:cs="Times New Roman"/>
                      <w:snapToGrid w:val="0"/>
                      <w:color w:val="auto"/>
                      <w:spacing w:val="0"/>
                      <w:kern w:val="0"/>
                      <w:sz w:val="18"/>
                      <w:szCs w:val="18"/>
                      <w:highlight w:val="none"/>
                      <w:lang w:val="en-US" w:eastAsia="zh-CN"/>
                    </w:rPr>
                    <w:t>m</w:t>
                  </w:r>
                </w:p>
                <w:p w14:paraId="08E1587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44</w:t>
                  </w:r>
                  <w:r>
                    <w:rPr>
                      <w:rFonts w:hint="default" w:ascii="Times New Roman" w:hAnsi="Times New Roman" w:eastAsia="宋体" w:cs="Times New Roman"/>
                      <w:snapToGrid w:val="0"/>
                      <w:color w:val="auto"/>
                      <w:spacing w:val="0"/>
                      <w:kern w:val="0"/>
                      <w:sz w:val="18"/>
                      <w:szCs w:val="18"/>
                      <w:highlight w:val="none"/>
                      <w:lang w:val="en-US" w:eastAsia="zh-CN"/>
                    </w:rPr>
                    <w:t>m</w:t>
                  </w:r>
                </w:p>
              </w:tc>
              <w:tc>
                <w:tcPr>
                  <w:tcW w:w="478" w:type="pct"/>
                  <w:noWrap w:val="0"/>
                  <w:vAlign w:val="center"/>
                </w:tcPr>
                <w:p w14:paraId="1CA187F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69.4</w:t>
                  </w:r>
                </w:p>
                <w:p w14:paraId="5FE81E0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52.3</w:t>
                  </w:r>
                </w:p>
                <w:p w14:paraId="5772408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62.1</w:t>
                  </w:r>
                </w:p>
                <w:p w14:paraId="469AF16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52.1</w:t>
                  </w:r>
                </w:p>
              </w:tc>
              <w:tc>
                <w:tcPr>
                  <w:tcW w:w="352" w:type="pct"/>
                  <w:vMerge w:val="continue"/>
                  <w:noWrap w:val="0"/>
                  <w:vAlign w:val="center"/>
                </w:tcPr>
                <w:p w14:paraId="07F5443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yellow"/>
                      <w:lang w:val="en-US" w:eastAsia="zh-CN"/>
                    </w:rPr>
                  </w:pPr>
                </w:p>
              </w:tc>
              <w:tc>
                <w:tcPr>
                  <w:tcW w:w="317" w:type="pct"/>
                  <w:noWrap w:val="0"/>
                  <w:vAlign w:val="center"/>
                </w:tcPr>
                <w:p w14:paraId="5A1589B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default" w:ascii="Times New Roman" w:hAnsi="Times New Roman" w:cs="Times New Roman"/>
                      <w:snapToGrid w:val="0"/>
                      <w:color w:val="auto"/>
                      <w:spacing w:val="0"/>
                      <w:kern w:val="0"/>
                      <w:sz w:val="18"/>
                      <w:szCs w:val="18"/>
                      <w:highlight w:val="none"/>
                      <w:lang w:val="en-US" w:eastAsia="zh-CN"/>
                    </w:rPr>
                    <w:t>20</w:t>
                  </w:r>
                </w:p>
              </w:tc>
              <w:tc>
                <w:tcPr>
                  <w:tcW w:w="472" w:type="pct"/>
                  <w:shd w:val="clear" w:color="auto" w:fill="auto"/>
                  <w:noWrap w:val="0"/>
                  <w:vAlign w:val="center"/>
                </w:tcPr>
                <w:p w14:paraId="7EF1988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49.4</w:t>
                  </w:r>
                </w:p>
                <w:p w14:paraId="2629E3B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32.3</w:t>
                  </w:r>
                </w:p>
                <w:p w14:paraId="1DAD690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42.1</w:t>
                  </w:r>
                </w:p>
                <w:p w14:paraId="430E353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32.1</w:t>
                  </w:r>
                </w:p>
              </w:tc>
              <w:tc>
                <w:tcPr>
                  <w:tcW w:w="301" w:type="pct"/>
                  <w:noWrap w:val="0"/>
                  <w:vAlign w:val="center"/>
                </w:tcPr>
                <w:p w14:paraId="6776887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snapToGrid w:val="0"/>
                      <w:color w:val="auto"/>
                      <w:spacing w:val="0"/>
                      <w:kern w:val="0"/>
                      <w:sz w:val="18"/>
                      <w:szCs w:val="18"/>
                      <w:highlight w:val="none"/>
                    </w:rPr>
                  </w:pPr>
                  <w:r>
                    <w:rPr>
                      <w:rFonts w:hint="default" w:ascii="Times New Roman" w:hAnsi="Times New Roman" w:eastAsia="Times New Roman" w:cs="Times New Roman"/>
                      <w:snapToGrid w:val="0"/>
                      <w:color w:val="auto"/>
                      <w:spacing w:val="0"/>
                      <w:kern w:val="0"/>
                      <w:sz w:val="18"/>
                      <w:szCs w:val="18"/>
                      <w:highlight w:val="none"/>
                    </w:rPr>
                    <w:t>1</w:t>
                  </w:r>
                </w:p>
              </w:tc>
            </w:tr>
            <w:tr w14:paraId="0A98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21" w:type="pct"/>
                  <w:noWrap w:val="0"/>
                  <w:vAlign w:val="center"/>
                </w:tcPr>
                <w:p w14:paraId="73FC292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cs="Times New Roman"/>
                      <w:snapToGrid w:val="0"/>
                      <w:color w:val="auto"/>
                      <w:spacing w:val="0"/>
                      <w:kern w:val="0"/>
                      <w:sz w:val="18"/>
                      <w:szCs w:val="18"/>
                      <w:highlight w:val="none"/>
                      <w:lang w:val="en-US" w:eastAsia="zh-CN"/>
                    </w:rPr>
                    <w:t>7</w:t>
                  </w:r>
                </w:p>
              </w:tc>
              <w:tc>
                <w:tcPr>
                  <w:tcW w:w="197" w:type="pct"/>
                  <w:vMerge w:val="continue"/>
                  <w:noWrap w:val="0"/>
                  <w:vAlign w:val="center"/>
                </w:tcPr>
                <w:p w14:paraId="142B6CE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tc>
              <w:tc>
                <w:tcPr>
                  <w:tcW w:w="582" w:type="pct"/>
                  <w:noWrap w:val="0"/>
                  <w:vAlign w:val="center"/>
                </w:tcPr>
                <w:p w14:paraId="5FE5F73B">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color w:val="auto"/>
                      <w:sz w:val="18"/>
                      <w:szCs w:val="18"/>
                      <w:highlight w:val="none"/>
                      <w:lang w:val="en-US" w:eastAsia="zh-CN"/>
                    </w:rPr>
                    <w:t>辊压机</w:t>
                  </w:r>
                </w:p>
              </w:tc>
              <w:tc>
                <w:tcPr>
                  <w:tcW w:w="222" w:type="pct"/>
                  <w:noWrap w:val="0"/>
                  <w:vAlign w:val="center"/>
                </w:tcPr>
                <w:p w14:paraId="2FE9290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Times New Roman" w:cs="Times New Roman"/>
                      <w:snapToGrid w:val="0"/>
                      <w:color w:val="auto"/>
                      <w:spacing w:val="0"/>
                      <w:kern w:val="0"/>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w:t>
                  </w:r>
                </w:p>
              </w:tc>
              <w:tc>
                <w:tcPr>
                  <w:tcW w:w="351" w:type="pct"/>
                  <w:noWrap w:val="0"/>
                  <w:vAlign w:val="center"/>
                </w:tcPr>
                <w:p w14:paraId="10CCBE3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80</w:t>
                  </w:r>
                </w:p>
              </w:tc>
              <w:tc>
                <w:tcPr>
                  <w:tcW w:w="398" w:type="pct"/>
                  <w:vMerge w:val="continue"/>
                  <w:noWrap w:val="0"/>
                  <w:vAlign w:val="center"/>
                </w:tcPr>
                <w:p w14:paraId="38F8244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p>
              </w:tc>
              <w:tc>
                <w:tcPr>
                  <w:tcW w:w="214" w:type="pct"/>
                  <w:noWrap w:val="0"/>
                  <w:vAlign w:val="center"/>
                </w:tcPr>
                <w:p w14:paraId="265F2D6C">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eastAsia" w:cs="Times New Roman"/>
                      <w:snapToGrid w:val="0"/>
                      <w:color w:val="auto"/>
                      <w:spacing w:val="0"/>
                      <w:kern w:val="0"/>
                      <w:sz w:val="18"/>
                      <w:szCs w:val="18"/>
                      <w:highlight w:val="none"/>
                      <w:lang w:val="en-US" w:eastAsia="zh-CN" w:bidi="ar-SA"/>
                    </w:rPr>
                    <w:t>-17</w:t>
                  </w:r>
                </w:p>
              </w:tc>
              <w:tc>
                <w:tcPr>
                  <w:tcW w:w="271" w:type="pct"/>
                  <w:noWrap w:val="0"/>
                  <w:vAlign w:val="center"/>
                </w:tcPr>
                <w:p w14:paraId="7CB9D2DF">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eastAsia" w:cs="Times New Roman"/>
                      <w:snapToGrid w:val="0"/>
                      <w:color w:val="auto"/>
                      <w:spacing w:val="0"/>
                      <w:kern w:val="0"/>
                      <w:sz w:val="18"/>
                      <w:szCs w:val="18"/>
                      <w:highlight w:val="none"/>
                      <w:lang w:val="en-US" w:eastAsia="zh-CN" w:bidi="ar-SA"/>
                    </w:rPr>
                    <w:t>-5</w:t>
                  </w:r>
                </w:p>
              </w:tc>
              <w:tc>
                <w:tcPr>
                  <w:tcW w:w="214" w:type="pct"/>
                  <w:noWrap w:val="0"/>
                  <w:vAlign w:val="center"/>
                </w:tcPr>
                <w:p w14:paraId="128FE6E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2</w:t>
                  </w:r>
                </w:p>
              </w:tc>
              <w:tc>
                <w:tcPr>
                  <w:tcW w:w="506" w:type="pct"/>
                  <w:noWrap w:val="0"/>
                  <w:vAlign w:val="center"/>
                </w:tcPr>
                <w:p w14:paraId="5144EC2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8</w:t>
                  </w:r>
                  <w:r>
                    <w:rPr>
                      <w:rFonts w:hint="default" w:ascii="Times New Roman" w:hAnsi="Times New Roman" w:eastAsia="宋体" w:cs="Times New Roman"/>
                      <w:snapToGrid w:val="0"/>
                      <w:color w:val="auto"/>
                      <w:spacing w:val="0"/>
                      <w:kern w:val="0"/>
                      <w:sz w:val="18"/>
                      <w:szCs w:val="18"/>
                      <w:highlight w:val="none"/>
                      <w:lang w:val="en-US" w:eastAsia="zh-CN"/>
                    </w:rPr>
                    <w:t>m</w:t>
                  </w:r>
                </w:p>
                <w:p w14:paraId="769CBD4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43</w:t>
                  </w:r>
                  <w:r>
                    <w:rPr>
                      <w:rFonts w:hint="default" w:ascii="Times New Roman" w:hAnsi="Times New Roman" w:eastAsia="宋体" w:cs="Times New Roman"/>
                      <w:snapToGrid w:val="0"/>
                      <w:color w:val="auto"/>
                      <w:spacing w:val="0"/>
                      <w:kern w:val="0"/>
                      <w:sz w:val="18"/>
                      <w:szCs w:val="18"/>
                      <w:highlight w:val="none"/>
                      <w:lang w:val="en-US" w:eastAsia="zh-CN"/>
                    </w:rPr>
                    <w:t>m</w:t>
                  </w:r>
                </w:p>
                <w:p w14:paraId="5C04ABF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default" w:ascii="Times New Roman" w:hAnsi="Times New Roman" w:cs="Times New Roman"/>
                      <w:snapToGrid w:val="0"/>
                      <w:color w:val="auto"/>
                      <w:spacing w:val="0"/>
                      <w:kern w:val="0"/>
                      <w:sz w:val="18"/>
                      <w:szCs w:val="18"/>
                      <w:highlight w:val="none"/>
                      <w:lang w:val="en-US" w:eastAsia="zh-CN"/>
                    </w:rPr>
                    <w:t>1</w:t>
                  </w:r>
                  <w:r>
                    <w:rPr>
                      <w:rFonts w:hint="eastAsia" w:cs="Times New Roman"/>
                      <w:snapToGrid w:val="0"/>
                      <w:color w:val="auto"/>
                      <w:spacing w:val="0"/>
                      <w:kern w:val="0"/>
                      <w:sz w:val="18"/>
                      <w:szCs w:val="18"/>
                      <w:highlight w:val="none"/>
                      <w:lang w:val="en-US" w:eastAsia="zh-CN"/>
                    </w:rPr>
                    <w:t>2</w:t>
                  </w:r>
                  <w:r>
                    <w:rPr>
                      <w:rFonts w:hint="default" w:ascii="Times New Roman" w:hAnsi="Times New Roman" w:eastAsia="宋体" w:cs="Times New Roman"/>
                      <w:snapToGrid w:val="0"/>
                      <w:color w:val="auto"/>
                      <w:spacing w:val="0"/>
                      <w:kern w:val="0"/>
                      <w:sz w:val="18"/>
                      <w:szCs w:val="18"/>
                      <w:highlight w:val="none"/>
                      <w:lang w:val="en-US" w:eastAsia="zh-CN"/>
                    </w:rPr>
                    <w:t>m</w:t>
                  </w:r>
                </w:p>
                <w:p w14:paraId="72AF506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44</w:t>
                  </w:r>
                  <w:r>
                    <w:rPr>
                      <w:rFonts w:hint="default" w:ascii="Times New Roman" w:hAnsi="Times New Roman" w:eastAsia="宋体" w:cs="Times New Roman"/>
                      <w:snapToGrid w:val="0"/>
                      <w:color w:val="auto"/>
                      <w:spacing w:val="0"/>
                      <w:kern w:val="0"/>
                      <w:sz w:val="18"/>
                      <w:szCs w:val="18"/>
                      <w:highlight w:val="none"/>
                      <w:lang w:val="en-US" w:eastAsia="zh-CN"/>
                    </w:rPr>
                    <w:t>m</w:t>
                  </w:r>
                </w:p>
              </w:tc>
              <w:tc>
                <w:tcPr>
                  <w:tcW w:w="478" w:type="pct"/>
                  <w:noWrap w:val="0"/>
                  <w:vAlign w:val="center"/>
                </w:tcPr>
                <w:p w14:paraId="29233FB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61.9</w:t>
                  </w:r>
                </w:p>
                <w:p w14:paraId="012D0027">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47.3</w:t>
                  </w:r>
                </w:p>
                <w:p w14:paraId="7106C3F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58.4</w:t>
                  </w:r>
                </w:p>
                <w:p w14:paraId="2C7EF81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47.1</w:t>
                  </w:r>
                </w:p>
              </w:tc>
              <w:tc>
                <w:tcPr>
                  <w:tcW w:w="352" w:type="pct"/>
                  <w:vMerge w:val="continue"/>
                  <w:noWrap w:val="0"/>
                  <w:vAlign w:val="center"/>
                </w:tcPr>
                <w:p w14:paraId="611EF41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yellow"/>
                      <w:lang w:val="en-US" w:eastAsia="zh-CN"/>
                    </w:rPr>
                  </w:pPr>
                </w:p>
              </w:tc>
              <w:tc>
                <w:tcPr>
                  <w:tcW w:w="317" w:type="pct"/>
                  <w:noWrap w:val="0"/>
                  <w:vAlign w:val="center"/>
                </w:tcPr>
                <w:p w14:paraId="07CC4DC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default" w:ascii="Times New Roman" w:hAnsi="Times New Roman" w:cs="Times New Roman"/>
                      <w:snapToGrid w:val="0"/>
                      <w:color w:val="auto"/>
                      <w:spacing w:val="0"/>
                      <w:kern w:val="0"/>
                      <w:sz w:val="18"/>
                      <w:szCs w:val="18"/>
                      <w:highlight w:val="none"/>
                      <w:lang w:val="en-US" w:eastAsia="zh-CN"/>
                    </w:rPr>
                    <w:t>20</w:t>
                  </w:r>
                </w:p>
              </w:tc>
              <w:tc>
                <w:tcPr>
                  <w:tcW w:w="472" w:type="pct"/>
                  <w:shd w:val="clear" w:color="auto" w:fill="auto"/>
                  <w:noWrap w:val="0"/>
                  <w:vAlign w:val="center"/>
                </w:tcPr>
                <w:p w14:paraId="51C47B2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41.9</w:t>
                  </w:r>
                </w:p>
                <w:p w14:paraId="6635998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27.3</w:t>
                  </w:r>
                </w:p>
                <w:p w14:paraId="3327917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38.4</w:t>
                  </w:r>
                </w:p>
                <w:p w14:paraId="636D01C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27.1</w:t>
                  </w:r>
                </w:p>
              </w:tc>
              <w:tc>
                <w:tcPr>
                  <w:tcW w:w="301" w:type="pct"/>
                  <w:noWrap w:val="0"/>
                  <w:vAlign w:val="center"/>
                </w:tcPr>
                <w:p w14:paraId="5BA98E6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snapToGrid w:val="0"/>
                      <w:color w:val="auto"/>
                      <w:spacing w:val="0"/>
                      <w:kern w:val="0"/>
                      <w:sz w:val="18"/>
                      <w:szCs w:val="18"/>
                      <w:highlight w:val="none"/>
                    </w:rPr>
                  </w:pPr>
                  <w:r>
                    <w:rPr>
                      <w:rFonts w:hint="default" w:ascii="Times New Roman" w:hAnsi="Times New Roman" w:eastAsia="Times New Roman" w:cs="Times New Roman"/>
                      <w:snapToGrid w:val="0"/>
                      <w:color w:val="auto"/>
                      <w:spacing w:val="0"/>
                      <w:kern w:val="0"/>
                      <w:sz w:val="18"/>
                      <w:szCs w:val="18"/>
                      <w:highlight w:val="none"/>
                    </w:rPr>
                    <w:t>1</w:t>
                  </w:r>
                </w:p>
              </w:tc>
            </w:tr>
            <w:tr w14:paraId="057F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1" w:type="pct"/>
                  <w:noWrap w:val="0"/>
                  <w:vAlign w:val="center"/>
                </w:tcPr>
                <w:p w14:paraId="522DDE1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cs="Times New Roman"/>
                      <w:snapToGrid w:val="0"/>
                      <w:color w:val="auto"/>
                      <w:spacing w:val="0"/>
                      <w:kern w:val="0"/>
                      <w:sz w:val="18"/>
                      <w:szCs w:val="18"/>
                      <w:highlight w:val="none"/>
                      <w:lang w:val="en-US" w:eastAsia="zh-CN"/>
                    </w:rPr>
                    <w:t>8</w:t>
                  </w:r>
                </w:p>
              </w:tc>
              <w:tc>
                <w:tcPr>
                  <w:tcW w:w="197" w:type="pct"/>
                  <w:vMerge w:val="continue"/>
                  <w:noWrap w:val="0"/>
                  <w:vAlign w:val="center"/>
                </w:tcPr>
                <w:p w14:paraId="2F826D6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tc>
              <w:tc>
                <w:tcPr>
                  <w:tcW w:w="582" w:type="pct"/>
                  <w:shd w:val="clear" w:color="auto" w:fill="auto"/>
                  <w:noWrap w:val="0"/>
                  <w:vAlign w:val="center"/>
                </w:tcPr>
                <w:p w14:paraId="64BAF60B">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循环水泵</w:t>
                  </w:r>
                </w:p>
              </w:tc>
              <w:tc>
                <w:tcPr>
                  <w:tcW w:w="222" w:type="pct"/>
                  <w:noWrap w:val="0"/>
                  <w:vAlign w:val="center"/>
                </w:tcPr>
                <w:p w14:paraId="2CCAD2A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Times New Roman" w:cs="Times New Roman"/>
                      <w:snapToGrid w:val="0"/>
                      <w:color w:val="auto"/>
                      <w:spacing w:val="0"/>
                      <w:kern w:val="0"/>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w:t>
                  </w:r>
                </w:p>
              </w:tc>
              <w:tc>
                <w:tcPr>
                  <w:tcW w:w="351" w:type="pct"/>
                  <w:noWrap w:val="0"/>
                  <w:vAlign w:val="center"/>
                </w:tcPr>
                <w:p w14:paraId="5602771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85</w:t>
                  </w:r>
                </w:p>
              </w:tc>
              <w:tc>
                <w:tcPr>
                  <w:tcW w:w="398" w:type="pct"/>
                  <w:vMerge w:val="continue"/>
                  <w:noWrap w:val="0"/>
                  <w:vAlign w:val="center"/>
                </w:tcPr>
                <w:p w14:paraId="72C0588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p>
              </w:tc>
              <w:tc>
                <w:tcPr>
                  <w:tcW w:w="214" w:type="pct"/>
                  <w:noWrap w:val="0"/>
                  <w:vAlign w:val="center"/>
                </w:tcPr>
                <w:p w14:paraId="2F385468">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eastAsia" w:cs="Times New Roman"/>
                      <w:snapToGrid w:val="0"/>
                      <w:color w:val="auto"/>
                      <w:spacing w:val="0"/>
                      <w:kern w:val="0"/>
                      <w:sz w:val="18"/>
                      <w:szCs w:val="18"/>
                      <w:highlight w:val="none"/>
                      <w:lang w:val="en-US" w:eastAsia="zh-CN" w:bidi="ar-SA"/>
                    </w:rPr>
                    <w:t>-16</w:t>
                  </w:r>
                </w:p>
              </w:tc>
              <w:tc>
                <w:tcPr>
                  <w:tcW w:w="271" w:type="pct"/>
                  <w:noWrap w:val="0"/>
                  <w:vAlign w:val="center"/>
                </w:tcPr>
                <w:p w14:paraId="4587777B">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eastAsia" w:cs="Times New Roman"/>
                      <w:snapToGrid w:val="0"/>
                      <w:color w:val="auto"/>
                      <w:spacing w:val="0"/>
                      <w:kern w:val="0"/>
                      <w:sz w:val="18"/>
                      <w:szCs w:val="18"/>
                      <w:highlight w:val="none"/>
                      <w:lang w:val="en-US" w:eastAsia="zh-CN" w:bidi="ar-SA"/>
                    </w:rPr>
                    <w:t>-3</w:t>
                  </w:r>
                </w:p>
              </w:tc>
              <w:tc>
                <w:tcPr>
                  <w:tcW w:w="214" w:type="pct"/>
                  <w:noWrap w:val="0"/>
                  <w:vAlign w:val="center"/>
                </w:tcPr>
                <w:p w14:paraId="0EC290B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1</w:t>
                  </w:r>
                </w:p>
              </w:tc>
              <w:tc>
                <w:tcPr>
                  <w:tcW w:w="506" w:type="pct"/>
                  <w:noWrap w:val="0"/>
                  <w:vAlign w:val="center"/>
                </w:tcPr>
                <w:p w14:paraId="08D46F9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6.5</w:t>
                  </w:r>
                  <w:r>
                    <w:rPr>
                      <w:rFonts w:hint="default" w:ascii="Times New Roman" w:hAnsi="Times New Roman" w:eastAsia="宋体" w:cs="Times New Roman"/>
                      <w:snapToGrid w:val="0"/>
                      <w:color w:val="auto"/>
                      <w:spacing w:val="0"/>
                      <w:kern w:val="0"/>
                      <w:sz w:val="18"/>
                      <w:szCs w:val="18"/>
                      <w:highlight w:val="none"/>
                      <w:lang w:val="en-US" w:eastAsia="zh-CN"/>
                    </w:rPr>
                    <w:t>m</w:t>
                  </w:r>
                </w:p>
                <w:p w14:paraId="015E9FF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44</w:t>
                  </w:r>
                  <w:r>
                    <w:rPr>
                      <w:rFonts w:hint="default" w:ascii="Times New Roman" w:hAnsi="Times New Roman" w:eastAsia="宋体" w:cs="Times New Roman"/>
                      <w:snapToGrid w:val="0"/>
                      <w:color w:val="auto"/>
                      <w:spacing w:val="0"/>
                      <w:kern w:val="0"/>
                      <w:sz w:val="18"/>
                      <w:szCs w:val="18"/>
                      <w:highlight w:val="none"/>
                      <w:lang w:val="en-US" w:eastAsia="zh-CN"/>
                    </w:rPr>
                    <w:t>m</w:t>
                  </w:r>
                </w:p>
                <w:p w14:paraId="34528B1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default" w:ascii="Times New Roman" w:hAnsi="Times New Roman" w:cs="Times New Roman"/>
                      <w:snapToGrid w:val="0"/>
                      <w:color w:val="auto"/>
                      <w:spacing w:val="0"/>
                      <w:kern w:val="0"/>
                      <w:sz w:val="18"/>
                      <w:szCs w:val="18"/>
                      <w:highlight w:val="none"/>
                      <w:lang w:val="en-US" w:eastAsia="zh-CN"/>
                    </w:rPr>
                    <w:t>1</w:t>
                  </w:r>
                  <w:r>
                    <w:rPr>
                      <w:rFonts w:hint="eastAsia" w:cs="Times New Roman"/>
                      <w:snapToGrid w:val="0"/>
                      <w:color w:val="auto"/>
                      <w:spacing w:val="0"/>
                      <w:kern w:val="0"/>
                      <w:sz w:val="18"/>
                      <w:szCs w:val="18"/>
                      <w:highlight w:val="none"/>
                      <w:lang w:val="en-US" w:eastAsia="zh-CN"/>
                    </w:rPr>
                    <w:t>3</w:t>
                  </w:r>
                  <w:r>
                    <w:rPr>
                      <w:rFonts w:hint="default" w:ascii="Times New Roman" w:hAnsi="Times New Roman" w:cs="Times New Roman"/>
                      <w:snapToGrid w:val="0"/>
                      <w:color w:val="auto"/>
                      <w:spacing w:val="0"/>
                      <w:kern w:val="0"/>
                      <w:sz w:val="18"/>
                      <w:szCs w:val="18"/>
                      <w:highlight w:val="none"/>
                      <w:lang w:val="en-US" w:eastAsia="zh-CN"/>
                    </w:rPr>
                    <w:t>.5</w:t>
                  </w:r>
                  <w:r>
                    <w:rPr>
                      <w:rFonts w:hint="default" w:ascii="Times New Roman" w:hAnsi="Times New Roman" w:eastAsia="宋体" w:cs="Times New Roman"/>
                      <w:snapToGrid w:val="0"/>
                      <w:color w:val="auto"/>
                      <w:spacing w:val="0"/>
                      <w:kern w:val="0"/>
                      <w:sz w:val="18"/>
                      <w:szCs w:val="18"/>
                      <w:highlight w:val="none"/>
                      <w:lang w:val="en-US" w:eastAsia="zh-CN"/>
                    </w:rPr>
                    <w:t>m</w:t>
                  </w:r>
                </w:p>
                <w:p w14:paraId="21E61E1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43</w:t>
                  </w:r>
                  <w:r>
                    <w:rPr>
                      <w:rFonts w:hint="default" w:ascii="Times New Roman" w:hAnsi="Times New Roman" w:eastAsia="宋体" w:cs="Times New Roman"/>
                      <w:snapToGrid w:val="0"/>
                      <w:color w:val="auto"/>
                      <w:spacing w:val="0"/>
                      <w:kern w:val="0"/>
                      <w:sz w:val="18"/>
                      <w:szCs w:val="18"/>
                      <w:highlight w:val="none"/>
                      <w:lang w:val="en-US" w:eastAsia="zh-CN"/>
                    </w:rPr>
                    <w:t>m</w:t>
                  </w:r>
                </w:p>
              </w:tc>
              <w:tc>
                <w:tcPr>
                  <w:tcW w:w="478" w:type="pct"/>
                  <w:noWrap w:val="0"/>
                  <w:vAlign w:val="center"/>
                </w:tcPr>
                <w:p w14:paraId="46E26A2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68.7</w:t>
                  </w:r>
                </w:p>
                <w:p w14:paraId="4A88A72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52.1</w:t>
                  </w:r>
                </w:p>
                <w:p w14:paraId="267A105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62.4</w:t>
                  </w:r>
                </w:p>
                <w:p w14:paraId="551D2BF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52.3</w:t>
                  </w:r>
                </w:p>
              </w:tc>
              <w:tc>
                <w:tcPr>
                  <w:tcW w:w="352" w:type="pct"/>
                  <w:vMerge w:val="continue"/>
                  <w:noWrap w:val="0"/>
                  <w:vAlign w:val="center"/>
                </w:tcPr>
                <w:p w14:paraId="280886D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yellow"/>
                      <w:lang w:val="en-US" w:eastAsia="zh-CN"/>
                    </w:rPr>
                  </w:pPr>
                </w:p>
              </w:tc>
              <w:tc>
                <w:tcPr>
                  <w:tcW w:w="317" w:type="pct"/>
                  <w:noWrap w:val="0"/>
                  <w:vAlign w:val="center"/>
                </w:tcPr>
                <w:p w14:paraId="39CD87B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default" w:ascii="Times New Roman" w:hAnsi="Times New Roman" w:cs="Times New Roman"/>
                      <w:snapToGrid w:val="0"/>
                      <w:color w:val="auto"/>
                      <w:spacing w:val="0"/>
                      <w:kern w:val="0"/>
                      <w:sz w:val="18"/>
                      <w:szCs w:val="18"/>
                      <w:highlight w:val="none"/>
                      <w:lang w:val="en-US" w:eastAsia="zh-CN"/>
                    </w:rPr>
                    <w:t>20</w:t>
                  </w:r>
                </w:p>
              </w:tc>
              <w:tc>
                <w:tcPr>
                  <w:tcW w:w="472" w:type="pct"/>
                  <w:shd w:val="clear" w:color="auto" w:fill="auto"/>
                  <w:noWrap w:val="0"/>
                  <w:vAlign w:val="center"/>
                </w:tcPr>
                <w:p w14:paraId="4356353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48.7</w:t>
                  </w:r>
                </w:p>
                <w:p w14:paraId="472F4A18">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32.1</w:t>
                  </w:r>
                </w:p>
                <w:p w14:paraId="358457D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42.4</w:t>
                  </w:r>
                </w:p>
                <w:p w14:paraId="78D79F8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32.3</w:t>
                  </w:r>
                </w:p>
              </w:tc>
              <w:tc>
                <w:tcPr>
                  <w:tcW w:w="301" w:type="pct"/>
                  <w:noWrap w:val="0"/>
                  <w:vAlign w:val="center"/>
                </w:tcPr>
                <w:p w14:paraId="59AD461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snapToGrid w:val="0"/>
                      <w:color w:val="auto"/>
                      <w:spacing w:val="0"/>
                      <w:kern w:val="0"/>
                      <w:sz w:val="18"/>
                      <w:szCs w:val="18"/>
                      <w:highlight w:val="none"/>
                    </w:rPr>
                  </w:pPr>
                  <w:r>
                    <w:rPr>
                      <w:rFonts w:hint="default" w:ascii="Times New Roman" w:hAnsi="Times New Roman" w:eastAsia="Times New Roman" w:cs="Times New Roman"/>
                      <w:snapToGrid w:val="0"/>
                      <w:color w:val="auto"/>
                      <w:spacing w:val="0"/>
                      <w:kern w:val="0"/>
                      <w:sz w:val="18"/>
                      <w:szCs w:val="18"/>
                      <w:highlight w:val="none"/>
                    </w:rPr>
                    <w:t>1</w:t>
                  </w:r>
                </w:p>
              </w:tc>
            </w:tr>
            <w:tr w14:paraId="5684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21" w:type="pct"/>
                  <w:noWrap w:val="0"/>
                  <w:vAlign w:val="center"/>
                </w:tcPr>
                <w:p w14:paraId="136D8EC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cs="Times New Roman"/>
                      <w:snapToGrid w:val="0"/>
                      <w:color w:val="auto"/>
                      <w:spacing w:val="0"/>
                      <w:kern w:val="0"/>
                      <w:sz w:val="18"/>
                      <w:szCs w:val="18"/>
                      <w:highlight w:val="none"/>
                      <w:lang w:val="en-US" w:eastAsia="zh-CN"/>
                    </w:rPr>
                    <w:t>9</w:t>
                  </w:r>
                </w:p>
              </w:tc>
              <w:tc>
                <w:tcPr>
                  <w:tcW w:w="197" w:type="pct"/>
                  <w:vMerge w:val="continue"/>
                  <w:noWrap w:val="0"/>
                  <w:vAlign w:val="center"/>
                </w:tcPr>
                <w:p w14:paraId="00D9612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tc>
              <w:tc>
                <w:tcPr>
                  <w:tcW w:w="582" w:type="pct"/>
                  <w:shd w:val="clear" w:color="auto" w:fill="auto"/>
                  <w:noWrap w:val="0"/>
                  <w:vAlign w:val="center"/>
                </w:tcPr>
                <w:p w14:paraId="3238AC8C">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砂光机</w:t>
                  </w:r>
                </w:p>
              </w:tc>
              <w:tc>
                <w:tcPr>
                  <w:tcW w:w="222" w:type="pct"/>
                  <w:noWrap w:val="0"/>
                  <w:vAlign w:val="center"/>
                </w:tcPr>
                <w:p w14:paraId="43E8299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Times New Roman" w:cs="Times New Roman"/>
                      <w:snapToGrid w:val="0"/>
                      <w:color w:val="auto"/>
                      <w:spacing w:val="0"/>
                      <w:kern w:val="0"/>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w:t>
                  </w:r>
                </w:p>
              </w:tc>
              <w:tc>
                <w:tcPr>
                  <w:tcW w:w="351" w:type="pct"/>
                  <w:noWrap w:val="0"/>
                  <w:vAlign w:val="center"/>
                </w:tcPr>
                <w:p w14:paraId="2736ED1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75</w:t>
                  </w:r>
                </w:p>
              </w:tc>
              <w:tc>
                <w:tcPr>
                  <w:tcW w:w="398" w:type="pct"/>
                  <w:vMerge w:val="continue"/>
                  <w:noWrap w:val="0"/>
                  <w:vAlign w:val="center"/>
                </w:tcPr>
                <w:p w14:paraId="2D6F309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p>
              </w:tc>
              <w:tc>
                <w:tcPr>
                  <w:tcW w:w="214" w:type="pct"/>
                  <w:noWrap w:val="0"/>
                  <w:vAlign w:val="center"/>
                </w:tcPr>
                <w:p w14:paraId="3D349C5B">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eastAsia" w:cs="Times New Roman"/>
                      <w:snapToGrid w:val="0"/>
                      <w:color w:val="auto"/>
                      <w:spacing w:val="0"/>
                      <w:kern w:val="0"/>
                      <w:sz w:val="18"/>
                      <w:szCs w:val="18"/>
                      <w:highlight w:val="none"/>
                      <w:lang w:val="en-US" w:eastAsia="zh-CN" w:bidi="ar-SA"/>
                    </w:rPr>
                    <w:t>-22</w:t>
                  </w:r>
                </w:p>
              </w:tc>
              <w:tc>
                <w:tcPr>
                  <w:tcW w:w="271" w:type="pct"/>
                  <w:noWrap w:val="0"/>
                  <w:vAlign w:val="center"/>
                </w:tcPr>
                <w:p w14:paraId="6F102B1D">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eastAsia" w:cs="Times New Roman"/>
                      <w:snapToGrid w:val="0"/>
                      <w:color w:val="auto"/>
                      <w:spacing w:val="0"/>
                      <w:kern w:val="0"/>
                      <w:sz w:val="18"/>
                      <w:szCs w:val="18"/>
                      <w:highlight w:val="none"/>
                      <w:lang w:val="en-US" w:eastAsia="zh-CN" w:bidi="ar-SA"/>
                    </w:rPr>
                    <w:t>-9</w:t>
                  </w:r>
                </w:p>
              </w:tc>
              <w:tc>
                <w:tcPr>
                  <w:tcW w:w="214" w:type="pct"/>
                  <w:noWrap w:val="0"/>
                  <w:vAlign w:val="center"/>
                </w:tcPr>
                <w:p w14:paraId="5DFF311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1</w:t>
                  </w:r>
                </w:p>
              </w:tc>
              <w:tc>
                <w:tcPr>
                  <w:tcW w:w="506" w:type="pct"/>
                  <w:noWrap w:val="0"/>
                  <w:vAlign w:val="center"/>
                </w:tcPr>
                <w:p w14:paraId="6520826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18</w:t>
                  </w:r>
                  <w:r>
                    <w:rPr>
                      <w:rFonts w:hint="default" w:ascii="Times New Roman" w:hAnsi="Times New Roman" w:eastAsia="宋体" w:cs="Times New Roman"/>
                      <w:snapToGrid w:val="0"/>
                      <w:color w:val="auto"/>
                      <w:spacing w:val="0"/>
                      <w:kern w:val="0"/>
                      <w:sz w:val="18"/>
                      <w:szCs w:val="18"/>
                      <w:highlight w:val="none"/>
                      <w:lang w:val="en-US" w:eastAsia="zh-CN"/>
                    </w:rPr>
                    <w:t>m</w:t>
                  </w:r>
                </w:p>
                <w:p w14:paraId="56E1D4B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41</w:t>
                  </w:r>
                  <w:r>
                    <w:rPr>
                      <w:rFonts w:hint="default" w:ascii="Times New Roman" w:hAnsi="Times New Roman" w:eastAsia="宋体" w:cs="Times New Roman"/>
                      <w:snapToGrid w:val="0"/>
                      <w:color w:val="auto"/>
                      <w:spacing w:val="0"/>
                      <w:kern w:val="0"/>
                      <w:sz w:val="18"/>
                      <w:szCs w:val="18"/>
                      <w:highlight w:val="none"/>
                      <w:lang w:val="en-US" w:eastAsia="zh-CN"/>
                    </w:rPr>
                    <w:t>m</w:t>
                  </w:r>
                </w:p>
                <w:p w14:paraId="015866D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2</w:t>
                  </w:r>
                  <w:r>
                    <w:rPr>
                      <w:rFonts w:hint="default" w:ascii="Times New Roman" w:hAnsi="Times New Roman" w:eastAsia="宋体" w:cs="Times New Roman"/>
                      <w:snapToGrid w:val="0"/>
                      <w:color w:val="auto"/>
                      <w:spacing w:val="0"/>
                      <w:kern w:val="0"/>
                      <w:sz w:val="18"/>
                      <w:szCs w:val="18"/>
                      <w:highlight w:val="none"/>
                      <w:lang w:val="en-US" w:eastAsia="zh-CN"/>
                    </w:rPr>
                    <w:t>m</w:t>
                  </w:r>
                </w:p>
                <w:p w14:paraId="1BDD4BA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36</w:t>
                  </w:r>
                  <w:r>
                    <w:rPr>
                      <w:rFonts w:hint="default" w:ascii="Times New Roman" w:hAnsi="Times New Roman" w:eastAsia="宋体" w:cs="Times New Roman"/>
                      <w:snapToGrid w:val="0"/>
                      <w:color w:val="auto"/>
                      <w:spacing w:val="0"/>
                      <w:kern w:val="0"/>
                      <w:sz w:val="18"/>
                      <w:szCs w:val="18"/>
                      <w:highlight w:val="none"/>
                      <w:lang w:val="en-US" w:eastAsia="zh-CN"/>
                    </w:rPr>
                    <w:t>m</w:t>
                  </w:r>
                </w:p>
              </w:tc>
              <w:tc>
                <w:tcPr>
                  <w:tcW w:w="478" w:type="pct"/>
                  <w:noWrap w:val="0"/>
                  <w:vAlign w:val="center"/>
                </w:tcPr>
                <w:p w14:paraId="7DA6A8A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49.9</w:t>
                  </w:r>
                </w:p>
                <w:p w14:paraId="7AF6B7F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42.7</w:t>
                  </w:r>
                </w:p>
                <w:p w14:paraId="00456AA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69.</w:t>
                  </w:r>
                  <w:r>
                    <w:rPr>
                      <w:rFonts w:hint="default" w:ascii="Times New Roman" w:hAnsi="Times New Roman" w:cs="Times New Roman"/>
                      <w:snapToGrid w:val="0"/>
                      <w:color w:val="auto"/>
                      <w:spacing w:val="0"/>
                      <w:kern w:val="0"/>
                      <w:sz w:val="18"/>
                      <w:szCs w:val="18"/>
                      <w:highlight w:val="none"/>
                      <w:lang w:val="en-US" w:eastAsia="zh-CN"/>
                    </w:rPr>
                    <w:t>0</w:t>
                  </w:r>
                </w:p>
                <w:p w14:paraId="50CF3D2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43.9</w:t>
                  </w:r>
                </w:p>
              </w:tc>
              <w:tc>
                <w:tcPr>
                  <w:tcW w:w="352" w:type="pct"/>
                  <w:vMerge w:val="continue"/>
                  <w:noWrap w:val="0"/>
                  <w:vAlign w:val="center"/>
                </w:tcPr>
                <w:p w14:paraId="5FB2C00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yellow"/>
                      <w:lang w:val="en-US" w:eastAsia="zh-CN"/>
                    </w:rPr>
                  </w:pPr>
                </w:p>
              </w:tc>
              <w:tc>
                <w:tcPr>
                  <w:tcW w:w="317" w:type="pct"/>
                  <w:noWrap w:val="0"/>
                  <w:vAlign w:val="center"/>
                </w:tcPr>
                <w:p w14:paraId="1627D0E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default" w:ascii="Times New Roman" w:hAnsi="Times New Roman" w:cs="Times New Roman"/>
                      <w:snapToGrid w:val="0"/>
                      <w:color w:val="auto"/>
                      <w:spacing w:val="0"/>
                      <w:kern w:val="0"/>
                      <w:sz w:val="18"/>
                      <w:szCs w:val="18"/>
                      <w:highlight w:val="none"/>
                      <w:lang w:val="en-US" w:eastAsia="zh-CN"/>
                    </w:rPr>
                    <w:t>20</w:t>
                  </w:r>
                </w:p>
              </w:tc>
              <w:tc>
                <w:tcPr>
                  <w:tcW w:w="472" w:type="pct"/>
                  <w:shd w:val="clear" w:color="auto" w:fill="auto"/>
                  <w:noWrap w:val="0"/>
                  <w:vAlign w:val="center"/>
                </w:tcPr>
                <w:p w14:paraId="1192A5D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29.9</w:t>
                  </w:r>
                </w:p>
                <w:p w14:paraId="23B2870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22.7</w:t>
                  </w:r>
                </w:p>
                <w:p w14:paraId="019FBF2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49.</w:t>
                  </w:r>
                  <w:r>
                    <w:rPr>
                      <w:rFonts w:hint="default" w:ascii="Times New Roman" w:hAnsi="Times New Roman" w:cs="Times New Roman"/>
                      <w:snapToGrid w:val="0"/>
                      <w:color w:val="auto"/>
                      <w:spacing w:val="0"/>
                      <w:kern w:val="0"/>
                      <w:sz w:val="18"/>
                      <w:szCs w:val="18"/>
                      <w:highlight w:val="none"/>
                      <w:lang w:val="en-US" w:eastAsia="zh-CN"/>
                    </w:rPr>
                    <w:t>0</w:t>
                  </w:r>
                </w:p>
                <w:p w14:paraId="4C0E9FC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23.9</w:t>
                  </w:r>
                </w:p>
              </w:tc>
              <w:tc>
                <w:tcPr>
                  <w:tcW w:w="301" w:type="pct"/>
                  <w:noWrap w:val="0"/>
                  <w:vAlign w:val="center"/>
                </w:tcPr>
                <w:p w14:paraId="773EF75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snapToGrid w:val="0"/>
                      <w:color w:val="auto"/>
                      <w:spacing w:val="0"/>
                      <w:kern w:val="0"/>
                      <w:sz w:val="18"/>
                      <w:szCs w:val="18"/>
                      <w:highlight w:val="none"/>
                    </w:rPr>
                  </w:pPr>
                  <w:r>
                    <w:rPr>
                      <w:rFonts w:hint="default" w:ascii="Times New Roman" w:hAnsi="Times New Roman" w:eastAsia="Times New Roman" w:cs="Times New Roman"/>
                      <w:snapToGrid w:val="0"/>
                      <w:color w:val="auto"/>
                      <w:spacing w:val="0"/>
                      <w:kern w:val="0"/>
                      <w:sz w:val="18"/>
                      <w:szCs w:val="18"/>
                      <w:highlight w:val="none"/>
                    </w:rPr>
                    <w:t>1</w:t>
                  </w:r>
                </w:p>
              </w:tc>
            </w:tr>
            <w:tr w14:paraId="349D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21" w:type="pct"/>
                  <w:noWrap w:val="0"/>
                  <w:vAlign w:val="center"/>
                </w:tcPr>
                <w:p w14:paraId="55D9725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cs="Times New Roman"/>
                      <w:snapToGrid w:val="0"/>
                      <w:color w:val="auto"/>
                      <w:spacing w:val="0"/>
                      <w:kern w:val="0"/>
                      <w:sz w:val="18"/>
                      <w:szCs w:val="18"/>
                      <w:highlight w:val="none"/>
                      <w:lang w:val="en-US" w:eastAsia="zh-CN"/>
                    </w:rPr>
                    <w:t>10</w:t>
                  </w:r>
                </w:p>
              </w:tc>
              <w:tc>
                <w:tcPr>
                  <w:tcW w:w="197" w:type="pct"/>
                  <w:vMerge w:val="continue"/>
                  <w:noWrap w:val="0"/>
                  <w:vAlign w:val="center"/>
                </w:tcPr>
                <w:p w14:paraId="04476E0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tc>
              <w:tc>
                <w:tcPr>
                  <w:tcW w:w="582" w:type="pct"/>
                  <w:shd w:val="clear" w:color="auto" w:fill="auto"/>
                  <w:noWrap w:val="0"/>
                  <w:vAlign w:val="center"/>
                </w:tcPr>
                <w:p w14:paraId="27824CB8">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切割锯</w:t>
                  </w:r>
                </w:p>
              </w:tc>
              <w:tc>
                <w:tcPr>
                  <w:tcW w:w="222" w:type="pct"/>
                  <w:noWrap w:val="0"/>
                  <w:vAlign w:val="center"/>
                </w:tcPr>
                <w:p w14:paraId="5EECB1F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Times New Roman" w:cs="Times New Roman"/>
                      <w:snapToGrid w:val="0"/>
                      <w:color w:val="auto"/>
                      <w:spacing w:val="0"/>
                      <w:kern w:val="0"/>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w:t>
                  </w:r>
                </w:p>
              </w:tc>
              <w:tc>
                <w:tcPr>
                  <w:tcW w:w="351" w:type="pct"/>
                  <w:noWrap w:val="0"/>
                  <w:vAlign w:val="center"/>
                </w:tcPr>
                <w:p w14:paraId="2F2F96B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80</w:t>
                  </w:r>
                </w:p>
              </w:tc>
              <w:tc>
                <w:tcPr>
                  <w:tcW w:w="398" w:type="pct"/>
                  <w:vMerge w:val="continue"/>
                  <w:noWrap w:val="0"/>
                  <w:vAlign w:val="center"/>
                </w:tcPr>
                <w:p w14:paraId="52379DC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p>
              </w:tc>
              <w:tc>
                <w:tcPr>
                  <w:tcW w:w="214" w:type="pct"/>
                  <w:noWrap w:val="0"/>
                  <w:vAlign w:val="center"/>
                </w:tcPr>
                <w:p w14:paraId="40038631">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eastAsia" w:cs="Times New Roman"/>
                      <w:snapToGrid w:val="0"/>
                      <w:color w:val="auto"/>
                      <w:spacing w:val="0"/>
                      <w:kern w:val="0"/>
                      <w:sz w:val="18"/>
                      <w:szCs w:val="18"/>
                      <w:highlight w:val="none"/>
                      <w:lang w:val="en-US" w:eastAsia="zh-CN" w:bidi="ar-SA"/>
                    </w:rPr>
                    <w:t>-20</w:t>
                  </w:r>
                </w:p>
              </w:tc>
              <w:tc>
                <w:tcPr>
                  <w:tcW w:w="271" w:type="pct"/>
                  <w:noWrap w:val="0"/>
                  <w:vAlign w:val="center"/>
                </w:tcPr>
                <w:p w14:paraId="46433C78">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eastAsia" w:cs="Times New Roman"/>
                      <w:snapToGrid w:val="0"/>
                      <w:color w:val="auto"/>
                      <w:spacing w:val="0"/>
                      <w:kern w:val="0"/>
                      <w:sz w:val="18"/>
                      <w:szCs w:val="18"/>
                      <w:highlight w:val="none"/>
                      <w:lang w:val="en-US" w:eastAsia="zh-CN" w:bidi="ar-SA"/>
                    </w:rPr>
                    <w:t>-6</w:t>
                  </w:r>
                </w:p>
              </w:tc>
              <w:tc>
                <w:tcPr>
                  <w:tcW w:w="214" w:type="pct"/>
                  <w:noWrap w:val="0"/>
                  <w:vAlign w:val="center"/>
                </w:tcPr>
                <w:p w14:paraId="2DEBD60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1</w:t>
                  </w:r>
                </w:p>
              </w:tc>
              <w:tc>
                <w:tcPr>
                  <w:tcW w:w="506" w:type="pct"/>
                  <w:noWrap w:val="0"/>
                  <w:vAlign w:val="center"/>
                </w:tcPr>
                <w:p w14:paraId="5557B55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18</w:t>
                  </w:r>
                  <w:r>
                    <w:rPr>
                      <w:rFonts w:hint="default" w:ascii="Times New Roman" w:hAnsi="Times New Roman" w:eastAsia="宋体" w:cs="Times New Roman"/>
                      <w:snapToGrid w:val="0"/>
                      <w:color w:val="auto"/>
                      <w:spacing w:val="0"/>
                      <w:kern w:val="0"/>
                      <w:sz w:val="18"/>
                      <w:szCs w:val="18"/>
                      <w:highlight w:val="none"/>
                      <w:lang w:val="en-US" w:eastAsia="zh-CN"/>
                    </w:rPr>
                    <w:t>m</w:t>
                  </w:r>
                </w:p>
                <w:p w14:paraId="32714D0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40</w:t>
                  </w:r>
                  <w:r>
                    <w:rPr>
                      <w:rFonts w:hint="default" w:ascii="Times New Roman" w:hAnsi="Times New Roman" w:eastAsia="宋体" w:cs="Times New Roman"/>
                      <w:snapToGrid w:val="0"/>
                      <w:color w:val="auto"/>
                      <w:spacing w:val="0"/>
                      <w:kern w:val="0"/>
                      <w:sz w:val="18"/>
                      <w:szCs w:val="18"/>
                      <w:highlight w:val="none"/>
                      <w:lang w:val="en-US" w:eastAsia="zh-CN"/>
                    </w:rPr>
                    <w:t>m</w:t>
                  </w:r>
                </w:p>
                <w:p w14:paraId="48A5037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2</w:t>
                  </w:r>
                  <w:r>
                    <w:rPr>
                      <w:rFonts w:hint="default" w:ascii="Times New Roman" w:hAnsi="Times New Roman" w:eastAsia="宋体" w:cs="Times New Roman"/>
                      <w:snapToGrid w:val="0"/>
                      <w:color w:val="auto"/>
                      <w:spacing w:val="0"/>
                      <w:kern w:val="0"/>
                      <w:sz w:val="18"/>
                      <w:szCs w:val="18"/>
                      <w:highlight w:val="none"/>
                      <w:lang w:val="en-US" w:eastAsia="zh-CN"/>
                    </w:rPr>
                    <w:t>m</w:t>
                  </w:r>
                </w:p>
                <w:p w14:paraId="242272A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47</w:t>
                  </w:r>
                  <w:r>
                    <w:rPr>
                      <w:rFonts w:hint="default" w:ascii="Times New Roman" w:hAnsi="Times New Roman" w:eastAsia="宋体" w:cs="Times New Roman"/>
                      <w:snapToGrid w:val="0"/>
                      <w:color w:val="auto"/>
                      <w:spacing w:val="0"/>
                      <w:kern w:val="0"/>
                      <w:sz w:val="18"/>
                      <w:szCs w:val="18"/>
                      <w:highlight w:val="none"/>
                      <w:lang w:val="en-US" w:eastAsia="zh-CN"/>
                    </w:rPr>
                    <w:t>m</w:t>
                  </w:r>
                </w:p>
              </w:tc>
              <w:tc>
                <w:tcPr>
                  <w:tcW w:w="478" w:type="pct"/>
                  <w:noWrap w:val="0"/>
                  <w:vAlign w:val="center"/>
                </w:tcPr>
                <w:p w14:paraId="0328839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54.9</w:t>
                  </w:r>
                </w:p>
                <w:p w14:paraId="291459B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48.0</w:t>
                  </w:r>
                </w:p>
                <w:p w14:paraId="5422492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74.0</w:t>
                  </w:r>
                </w:p>
                <w:p w14:paraId="6A4160B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46.6</w:t>
                  </w:r>
                </w:p>
              </w:tc>
              <w:tc>
                <w:tcPr>
                  <w:tcW w:w="352" w:type="pct"/>
                  <w:vMerge w:val="continue"/>
                  <w:noWrap w:val="0"/>
                  <w:vAlign w:val="center"/>
                </w:tcPr>
                <w:p w14:paraId="19F2B43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yellow"/>
                      <w:lang w:val="en-US" w:eastAsia="zh-CN"/>
                    </w:rPr>
                  </w:pPr>
                </w:p>
              </w:tc>
              <w:tc>
                <w:tcPr>
                  <w:tcW w:w="317" w:type="pct"/>
                  <w:noWrap w:val="0"/>
                  <w:vAlign w:val="center"/>
                </w:tcPr>
                <w:p w14:paraId="26918F3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default" w:ascii="Times New Roman" w:hAnsi="Times New Roman" w:cs="Times New Roman"/>
                      <w:snapToGrid w:val="0"/>
                      <w:color w:val="auto"/>
                      <w:spacing w:val="0"/>
                      <w:kern w:val="0"/>
                      <w:sz w:val="18"/>
                      <w:szCs w:val="18"/>
                      <w:highlight w:val="none"/>
                      <w:lang w:val="en-US" w:eastAsia="zh-CN"/>
                    </w:rPr>
                    <w:t>20</w:t>
                  </w:r>
                </w:p>
              </w:tc>
              <w:tc>
                <w:tcPr>
                  <w:tcW w:w="472" w:type="pct"/>
                  <w:shd w:val="clear" w:color="auto" w:fill="auto"/>
                  <w:noWrap w:val="0"/>
                  <w:vAlign w:val="center"/>
                </w:tcPr>
                <w:p w14:paraId="79BF5F7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34.9</w:t>
                  </w:r>
                </w:p>
                <w:p w14:paraId="5ED71B7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28.0</w:t>
                  </w:r>
                </w:p>
                <w:p w14:paraId="5667CCB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54.0</w:t>
                  </w:r>
                </w:p>
                <w:p w14:paraId="105FA7A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26.6</w:t>
                  </w:r>
                </w:p>
              </w:tc>
              <w:tc>
                <w:tcPr>
                  <w:tcW w:w="301" w:type="pct"/>
                  <w:noWrap w:val="0"/>
                  <w:vAlign w:val="center"/>
                </w:tcPr>
                <w:p w14:paraId="7B14662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snapToGrid w:val="0"/>
                      <w:color w:val="auto"/>
                      <w:spacing w:val="0"/>
                      <w:kern w:val="0"/>
                      <w:sz w:val="18"/>
                      <w:szCs w:val="18"/>
                      <w:highlight w:val="none"/>
                    </w:rPr>
                  </w:pPr>
                  <w:r>
                    <w:rPr>
                      <w:rFonts w:hint="default" w:ascii="Times New Roman" w:hAnsi="Times New Roman" w:eastAsia="Times New Roman" w:cs="Times New Roman"/>
                      <w:snapToGrid w:val="0"/>
                      <w:color w:val="auto"/>
                      <w:spacing w:val="0"/>
                      <w:kern w:val="0"/>
                      <w:sz w:val="18"/>
                      <w:szCs w:val="18"/>
                      <w:highlight w:val="none"/>
                    </w:rPr>
                    <w:t>1</w:t>
                  </w:r>
                </w:p>
              </w:tc>
            </w:tr>
            <w:tr w14:paraId="42DA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21" w:type="pct"/>
                  <w:noWrap w:val="0"/>
                  <w:vAlign w:val="center"/>
                </w:tcPr>
                <w:p w14:paraId="548BFCB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cs="Times New Roman"/>
                      <w:snapToGrid w:val="0"/>
                      <w:color w:val="auto"/>
                      <w:spacing w:val="0"/>
                      <w:kern w:val="0"/>
                      <w:sz w:val="18"/>
                      <w:szCs w:val="18"/>
                      <w:highlight w:val="none"/>
                      <w:lang w:val="en-US" w:eastAsia="zh-CN"/>
                    </w:rPr>
                    <w:t>11</w:t>
                  </w:r>
                </w:p>
              </w:tc>
              <w:tc>
                <w:tcPr>
                  <w:tcW w:w="197" w:type="pct"/>
                  <w:vMerge w:val="continue"/>
                  <w:noWrap w:val="0"/>
                  <w:vAlign w:val="center"/>
                </w:tcPr>
                <w:p w14:paraId="2B42522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tc>
              <w:tc>
                <w:tcPr>
                  <w:tcW w:w="582" w:type="pct"/>
                  <w:shd w:val="clear" w:color="auto" w:fill="auto"/>
                  <w:noWrap w:val="0"/>
                  <w:vAlign w:val="center"/>
                </w:tcPr>
                <w:p w14:paraId="22539C09">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雕刻机</w:t>
                  </w:r>
                </w:p>
              </w:tc>
              <w:tc>
                <w:tcPr>
                  <w:tcW w:w="222" w:type="pct"/>
                  <w:noWrap w:val="0"/>
                  <w:vAlign w:val="center"/>
                </w:tcPr>
                <w:p w14:paraId="457C39F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Times New Roman" w:cs="Times New Roman"/>
                      <w:snapToGrid w:val="0"/>
                      <w:color w:val="auto"/>
                      <w:spacing w:val="0"/>
                      <w:kern w:val="0"/>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w:t>
                  </w:r>
                </w:p>
              </w:tc>
              <w:tc>
                <w:tcPr>
                  <w:tcW w:w="351" w:type="pct"/>
                  <w:noWrap w:val="0"/>
                  <w:vAlign w:val="center"/>
                </w:tcPr>
                <w:p w14:paraId="3886A24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75</w:t>
                  </w:r>
                </w:p>
              </w:tc>
              <w:tc>
                <w:tcPr>
                  <w:tcW w:w="398" w:type="pct"/>
                  <w:vMerge w:val="continue"/>
                  <w:noWrap w:val="0"/>
                  <w:vAlign w:val="center"/>
                </w:tcPr>
                <w:p w14:paraId="29C6EB2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p>
              </w:tc>
              <w:tc>
                <w:tcPr>
                  <w:tcW w:w="214" w:type="pct"/>
                  <w:noWrap w:val="0"/>
                  <w:vAlign w:val="center"/>
                </w:tcPr>
                <w:p w14:paraId="1479B2F8">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eastAsia" w:cs="Times New Roman"/>
                      <w:snapToGrid w:val="0"/>
                      <w:color w:val="auto"/>
                      <w:spacing w:val="0"/>
                      <w:kern w:val="0"/>
                      <w:sz w:val="18"/>
                      <w:szCs w:val="18"/>
                      <w:highlight w:val="none"/>
                      <w:lang w:val="en-US" w:eastAsia="zh-CN" w:bidi="ar-SA"/>
                    </w:rPr>
                    <w:t>-20</w:t>
                  </w:r>
                </w:p>
              </w:tc>
              <w:tc>
                <w:tcPr>
                  <w:tcW w:w="271" w:type="pct"/>
                  <w:noWrap w:val="0"/>
                  <w:vAlign w:val="center"/>
                </w:tcPr>
                <w:p w14:paraId="042724AE">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eastAsia" w:cs="Times New Roman"/>
                      <w:snapToGrid w:val="0"/>
                      <w:color w:val="auto"/>
                      <w:spacing w:val="0"/>
                      <w:kern w:val="0"/>
                      <w:sz w:val="18"/>
                      <w:szCs w:val="18"/>
                      <w:highlight w:val="none"/>
                      <w:lang w:val="en-US" w:eastAsia="zh-CN" w:bidi="ar-SA"/>
                    </w:rPr>
                    <w:t>-7</w:t>
                  </w:r>
                </w:p>
              </w:tc>
              <w:tc>
                <w:tcPr>
                  <w:tcW w:w="214" w:type="pct"/>
                  <w:noWrap w:val="0"/>
                  <w:vAlign w:val="center"/>
                </w:tcPr>
                <w:p w14:paraId="510CDCA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1</w:t>
                  </w:r>
                </w:p>
              </w:tc>
              <w:tc>
                <w:tcPr>
                  <w:tcW w:w="506" w:type="pct"/>
                  <w:noWrap w:val="0"/>
                  <w:vAlign w:val="center"/>
                </w:tcPr>
                <w:p w14:paraId="341987C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1</w:t>
                  </w:r>
                  <w:r>
                    <w:rPr>
                      <w:rFonts w:hint="default" w:ascii="Times New Roman" w:hAnsi="Times New Roman" w:cs="Times New Roman"/>
                      <w:snapToGrid w:val="0"/>
                      <w:color w:val="auto"/>
                      <w:spacing w:val="0"/>
                      <w:kern w:val="0"/>
                      <w:sz w:val="18"/>
                      <w:szCs w:val="18"/>
                      <w:highlight w:val="none"/>
                      <w:lang w:val="en-US" w:eastAsia="zh-CN"/>
                    </w:rPr>
                    <w:t>8</w:t>
                  </w:r>
                  <w:r>
                    <w:rPr>
                      <w:rFonts w:hint="default" w:ascii="Times New Roman" w:hAnsi="Times New Roman" w:eastAsia="宋体" w:cs="Times New Roman"/>
                      <w:snapToGrid w:val="0"/>
                      <w:color w:val="auto"/>
                      <w:spacing w:val="0"/>
                      <w:kern w:val="0"/>
                      <w:sz w:val="18"/>
                      <w:szCs w:val="18"/>
                      <w:highlight w:val="none"/>
                      <w:lang w:val="en-US" w:eastAsia="zh-CN"/>
                    </w:rPr>
                    <w:t>m</w:t>
                  </w:r>
                </w:p>
                <w:p w14:paraId="4C353C6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39</w:t>
                  </w:r>
                  <w:r>
                    <w:rPr>
                      <w:rFonts w:hint="default" w:ascii="Times New Roman" w:hAnsi="Times New Roman" w:eastAsia="宋体" w:cs="Times New Roman"/>
                      <w:snapToGrid w:val="0"/>
                      <w:color w:val="auto"/>
                      <w:spacing w:val="0"/>
                      <w:kern w:val="0"/>
                      <w:sz w:val="18"/>
                      <w:szCs w:val="18"/>
                      <w:highlight w:val="none"/>
                      <w:lang w:val="en-US" w:eastAsia="zh-CN"/>
                    </w:rPr>
                    <w:t>m</w:t>
                  </w:r>
                </w:p>
                <w:p w14:paraId="76608AB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2</w:t>
                  </w:r>
                  <w:r>
                    <w:rPr>
                      <w:rFonts w:hint="default" w:ascii="Times New Roman" w:hAnsi="Times New Roman" w:eastAsia="宋体" w:cs="Times New Roman"/>
                      <w:snapToGrid w:val="0"/>
                      <w:color w:val="auto"/>
                      <w:spacing w:val="0"/>
                      <w:kern w:val="0"/>
                      <w:sz w:val="18"/>
                      <w:szCs w:val="18"/>
                      <w:highlight w:val="none"/>
                      <w:lang w:val="en-US" w:eastAsia="zh-CN"/>
                    </w:rPr>
                    <w:t>m</w:t>
                  </w:r>
                </w:p>
                <w:p w14:paraId="2C1B3A1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48</w:t>
                  </w:r>
                  <w:r>
                    <w:rPr>
                      <w:rFonts w:hint="default" w:ascii="Times New Roman" w:hAnsi="Times New Roman" w:eastAsia="宋体" w:cs="Times New Roman"/>
                      <w:snapToGrid w:val="0"/>
                      <w:color w:val="auto"/>
                      <w:spacing w:val="0"/>
                      <w:kern w:val="0"/>
                      <w:sz w:val="18"/>
                      <w:szCs w:val="18"/>
                      <w:highlight w:val="none"/>
                      <w:lang w:val="en-US" w:eastAsia="zh-CN"/>
                    </w:rPr>
                    <w:t>m</w:t>
                  </w:r>
                </w:p>
              </w:tc>
              <w:tc>
                <w:tcPr>
                  <w:tcW w:w="478" w:type="pct"/>
                  <w:noWrap w:val="0"/>
                  <w:vAlign w:val="center"/>
                </w:tcPr>
                <w:p w14:paraId="03DA826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49.9</w:t>
                  </w:r>
                </w:p>
                <w:p w14:paraId="6C8D5A7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43.2</w:t>
                  </w:r>
                </w:p>
                <w:p w14:paraId="3FAB32F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69.</w:t>
                  </w:r>
                  <w:r>
                    <w:rPr>
                      <w:rFonts w:hint="default" w:ascii="Times New Roman" w:hAnsi="Times New Roman" w:cs="Times New Roman"/>
                      <w:snapToGrid w:val="0"/>
                      <w:color w:val="auto"/>
                      <w:spacing w:val="0"/>
                      <w:kern w:val="0"/>
                      <w:sz w:val="18"/>
                      <w:szCs w:val="18"/>
                      <w:highlight w:val="none"/>
                      <w:lang w:val="en-US" w:eastAsia="zh-CN"/>
                    </w:rPr>
                    <w:t>0</w:t>
                  </w:r>
                </w:p>
                <w:p w14:paraId="641211F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41.4</w:t>
                  </w:r>
                </w:p>
              </w:tc>
              <w:tc>
                <w:tcPr>
                  <w:tcW w:w="352" w:type="pct"/>
                  <w:vMerge w:val="continue"/>
                  <w:noWrap w:val="0"/>
                  <w:vAlign w:val="center"/>
                </w:tcPr>
                <w:p w14:paraId="1EC34C0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yellow"/>
                      <w:lang w:val="en-US" w:eastAsia="zh-CN"/>
                    </w:rPr>
                  </w:pPr>
                </w:p>
              </w:tc>
              <w:tc>
                <w:tcPr>
                  <w:tcW w:w="317" w:type="pct"/>
                  <w:noWrap w:val="0"/>
                  <w:vAlign w:val="center"/>
                </w:tcPr>
                <w:p w14:paraId="583D35B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default" w:ascii="Times New Roman" w:hAnsi="Times New Roman" w:cs="Times New Roman"/>
                      <w:snapToGrid w:val="0"/>
                      <w:color w:val="auto"/>
                      <w:spacing w:val="0"/>
                      <w:kern w:val="0"/>
                      <w:sz w:val="18"/>
                      <w:szCs w:val="18"/>
                      <w:highlight w:val="none"/>
                      <w:lang w:val="en-US" w:eastAsia="zh-CN"/>
                    </w:rPr>
                    <w:t>20</w:t>
                  </w:r>
                </w:p>
              </w:tc>
              <w:tc>
                <w:tcPr>
                  <w:tcW w:w="472" w:type="pct"/>
                  <w:shd w:val="clear" w:color="auto" w:fill="auto"/>
                  <w:noWrap w:val="0"/>
                  <w:vAlign w:val="center"/>
                </w:tcPr>
                <w:p w14:paraId="72FECD3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29.9</w:t>
                  </w:r>
                </w:p>
                <w:p w14:paraId="6031AFC2">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23.2</w:t>
                  </w:r>
                </w:p>
                <w:p w14:paraId="26F2512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49.</w:t>
                  </w:r>
                  <w:r>
                    <w:rPr>
                      <w:rFonts w:hint="default" w:ascii="Times New Roman" w:hAnsi="Times New Roman" w:cs="Times New Roman"/>
                      <w:snapToGrid w:val="0"/>
                      <w:color w:val="auto"/>
                      <w:spacing w:val="0"/>
                      <w:kern w:val="0"/>
                      <w:sz w:val="18"/>
                      <w:szCs w:val="18"/>
                      <w:highlight w:val="none"/>
                      <w:lang w:val="en-US" w:eastAsia="zh-CN"/>
                    </w:rPr>
                    <w:t>0</w:t>
                  </w:r>
                </w:p>
                <w:p w14:paraId="6C7E3D1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21.4</w:t>
                  </w:r>
                </w:p>
              </w:tc>
              <w:tc>
                <w:tcPr>
                  <w:tcW w:w="301" w:type="pct"/>
                  <w:noWrap w:val="0"/>
                  <w:vAlign w:val="center"/>
                </w:tcPr>
                <w:p w14:paraId="11D272CF">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Times New Roman" w:cs="Times New Roman"/>
                      <w:snapToGrid w:val="0"/>
                      <w:color w:val="auto"/>
                      <w:spacing w:val="0"/>
                      <w:kern w:val="0"/>
                      <w:sz w:val="18"/>
                      <w:szCs w:val="18"/>
                      <w:highlight w:val="none"/>
                    </w:rPr>
                  </w:pPr>
                  <w:r>
                    <w:rPr>
                      <w:rFonts w:hint="default" w:ascii="Times New Roman" w:hAnsi="Times New Roman" w:eastAsia="Times New Roman" w:cs="Times New Roman"/>
                      <w:snapToGrid w:val="0"/>
                      <w:color w:val="auto"/>
                      <w:spacing w:val="0"/>
                      <w:kern w:val="0"/>
                      <w:sz w:val="18"/>
                      <w:szCs w:val="18"/>
                      <w:highlight w:val="none"/>
                    </w:rPr>
                    <w:t>1</w:t>
                  </w:r>
                </w:p>
              </w:tc>
            </w:tr>
            <w:tr w14:paraId="08EE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21" w:type="pct"/>
                  <w:noWrap w:val="0"/>
                  <w:vAlign w:val="center"/>
                </w:tcPr>
                <w:p w14:paraId="01B13CC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default" w:ascii="Times New Roman" w:hAnsi="Times New Roman" w:cs="Times New Roman"/>
                      <w:snapToGrid w:val="0"/>
                      <w:color w:val="auto"/>
                      <w:spacing w:val="0"/>
                      <w:kern w:val="0"/>
                      <w:sz w:val="18"/>
                      <w:szCs w:val="18"/>
                      <w:highlight w:val="none"/>
                      <w:lang w:val="en-US" w:eastAsia="zh-CN" w:bidi="ar-SA"/>
                    </w:rPr>
                    <w:t>12</w:t>
                  </w:r>
                </w:p>
              </w:tc>
              <w:tc>
                <w:tcPr>
                  <w:tcW w:w="197" w:type="pct"/>
                  <w:vMerge w:val="continue"/>
                  <w:noWrap w:val="0"/>
                  <w:vAlign w:val="center"/>
                </w:tcPr>
                <w:p w14:paraId="6163E13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snapToGrid w:val="0"/>
                      <w:color w:val="auto"/>
                      <w:spacing w:val="0"/>
                      <w:kern w:val="0"/>
                      <w:sz w:val="18"/>
                      <w:szCs w:val="18"/>
                      <w:highlight w:val="none"/>
                    </w:rPr>
                  </w:pPr>
                </w:p>
              </w:tc>
              <w:tc>
                <w:tcPr>
                  <w:tcW w:w="582" w:type="pct"/>
                  <w:shd w:val="clear" w:color="auto" w:fill="auto"/>
                  <w:noWrap w:val="0"/>
                  <w:vAlign w:val="center"/>
                </w:tcPr>
                <w:p w14:paraId="245BB547">
                  <w:pPr>
                    <w:keepNext w:val="0"/>
                    <w:keepLines w:val="0"/>
                    <w:pageBreakBefore w:val="0"/>
                    <w:widowControl w:val="0"/>
                    <w:tabs>
                      <w:tab w:val="left" w:pos="1680"/>
                    </w:tabs>
                    <w:kinsoku/>
                    <w:wordWrap/>
                    <w:overflowPunct/>
                    <w:topLinePunct w:val="0"/>
                    <w:autoSpaceDE/>
                    <w:autoSpaceDN/>
                    <w:bidi w:val="0"/>
                    <w:adjustRightInd w:val="0"/>
                    <w:snapToGrid w:val="0"/>
                    <w:ind w:right="0" w:right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布袋除尘器</w:t>
                  </w:r>
                </w:p>
              </w:tc>
              <w:tc>
                <w:tcPr>
                  <w:tcW w:w="222" w:type="pct"/>
                  <w:noWrap w:val="0"/>
                  <w:vAlign w:val="center"/>
                </w:tcPr>
                <w:p w14:paraId="7A4D84B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w:t>
                  </w:r>
                </w:p>
              </w:tc>
              <w:tc>
                <w:tcPr>
                  <w:tcW w:w="351" w:type="pct"/>
                  <w:noWrap w:val="0"/>
                  <w:vAlign w:val="center"/>
                </w:tcPr>
                <w:p w14:paraId="6A3D877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80</w:t>
                  </w:r>
                </w:p>
              </w:tc>
              <w:tc>
                <w:tcPr>
                  <w:tcW w:w="398" w:type="pct"/>
                  <w:vMerge w:val="continue"/>
                  <w:noWrap w:val="0"/>
                  <w:vAlign w:val="center"/>
                </w:tcPr>
                <w:p w14:paraId="35407C0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rPr>
                  </w:pPr>
                </w:p>
              </w:tc>
              <w:tc>
                <w:tcPr>
                  <w:tcW w:w="214" w:type="pct"/>
                  <w:noWrap w:val="0"/>
                  <w:vAlign w:val="center"/>
                </w:tcPr>
                <w:p w14:paraId="3DEC5E31">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eastAsia" w:cs="Times New Roman"/>
                      <w:snapToGrid w:val="0"/>
                      <w:color w:val="auto"/>
                      <w:spacing w:val="0"/>
                      <w:kern w:val="0"/>
                      <w:sz w:val="18"/>
                      <w:szCs w:val="18"/>
                      <w:highlight w:val="none"/>
                      <w:lang w:val="en-US" w:eastAsia="zh-CN" w:bidi="ar-SA"/>
                    </w:rPr>
                    <w:t>-21</w:t>
                  </w:r>
                </w:p>
              </w:tc>
              <w:tc>
                <w:tcPr>
                  <w:tcW w:w="271" w:type="pct"/>
                  <w:noWrap w:val="0"/>
                  <w:vAlign w:val="center"/>
                </w:tcPr>
                <w:p w14:paraId="3BFC4343">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eastAsia" w:cs="Times New Roman"/>
                      <w:snapToGrid w:val="0"/>
                      <w:color w:val="auto"/>
                      <w:spacing w:val="0"/>
                      <w:kern w:val="0"/>
                      <w:sz w:val="18"/>
                      <w:szCs w:val="18"/>
                      <w:highlight w:val="none"/>
                      <w:lang w:val="en-US" w:eastAsia="zh-CN" w:bidi="ar-SA"/>
                    </w:rPr>
                    <w:t>-5</w:t>
                  </w:r>
                </w:p>
              </w:tc>
              <w:tc>
                <w:tcPr>
                  <w:tcW w:w="214" w:type="pct"/>
                  <w:noWrap w:val="0"/>
                  <w:vAlign w:val="center"/>
                </w:tcPr>
                <w:p w14:paraId="4BD9AED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eastAsia" w:cs="Times New Roman"/>
                      <w:snapToGrid w:val="0"/>
                      <w:color w:val="auto"/>
                      <w:spacing w:val="0"/>
                      <w:kern w:val="0"/>
                      <w:sz w:val="18"/>
                      <w:szCs w:val="18"/>
                      <w:highlight w:val="none"/>
                      <w:lang w:val="en-US" w:eastAsia="zh-CN"/>
                    </w:rPr>
                    <w:t>1.8</w:t>
                  </w:r>
                </w:p>
              </w:tc>
              <w:tc>
                <w:tcPr>
                  <w:tcW w:w="506" w:type="pct"/>
                  <w:noWrap w:val="0"/>
                  <w:vAlign w:val="center"/>
                </w:tcPr>
                <w:p w14:paraId="191F6DE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16</w:t>
                  </w:r>
                  <w:r>
                    <w:rPr>
                      <w:rFonts w:hint="default" w:ascii="Times New Roman" w:hAnsi="Times New Roman" w:eastAsia="宋体" w:cs="Times New Roman"/>
                      <w:snapToGrid w:val="0"/>
                      <w:color w:val="auto"/>
                      <w:spacing w:val="0"/>
                      <w:kern w:val="0"/>
                      <w:sz w:val="18"/>
                      <w:szCs w:val="18"/>
                      <w:highlight w:val="none"/>
                      <w:lang w:val="en-US" w:eastAsia="zh-CN"/>
                    </w:rPr>
                    <w:t>m</w:t>
                  </w:r>
                </w:p>
                <w:p w14:paraId="6A1B2C1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40</w:t>
                  </w:r>
                  <w:r>
                    <w:rPr>
                      <w:rFonts w:hint="default" w:ascii="Times New Roman" w:hAnsi="Times New Roman" w:eastAsia="宋体" w:cs="Times New Roman"/>
                      <w:snapToGrid w:val="0"/>
                      <w:color w:val="auto"/>
                      <w:spacing w:val="0"/>
                      <w:kern w:val="0"/>
                      <w:sz w:val="18"/>
                      <w:szCs w:val="18"/>
                      <w:highlight w:val="none"/>
                      <w:lang w:val="en-US" w:eastAsia="zh-CN"/>
                    </w:rPr>
                    <w:t>m</w:t>
                  </w:r>
                </w:p>
                <w:p w14:paraId="28EDA1B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4</w:t>
                  </w:r>
                  <w:r>
                    <w:rPr>
                      <w:rFonts w:hint="default" w:ascii="Times New Roman" w:hAnsi="Times New Roman" w:eastAsia="宋体" w:cs="Times New Roman"/>
                      <w:snapToGrid w:val="0"/>
                      <w:color w:val="auto"/>
                      <w:spacing w:val="0"/>
                      <w:kern w:val="0"/>
                      <w:sz w:val="18"/>
                      <w:szCs w:val="18"/>
                      <w:highlight w:val="none"/>
                      <w:lang w:val="en-US" w:eastAsia="zh-CN"/>
                    </w:rPr>
                    <w:t>m</w:t>
                  </w:r>
                </w:p>
                <w:p w14:paraId="5EF64AF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47</w:t>
                  </w:r>
                  <w:r>
                    <w:rPr>
                      <w:rFonts w:hint="default" w:ascii="Times New Roman" w:hAnsi="Times New Roman" w:eastAsia="宋体" w:cs="Times New Roman"/>
                      <w:snapToGrid w:val="0"/>
                      <w:color w:val="auto"/>
                      <w:spacing w:val="0"/>
                      <w:kern w:val="0"/>
                      <w:sz w:val="18"/>
                      <w:szCs w:val="18"/>
                      <w:highlight w:val="none"/>
                      <w:lang w:val="en-US" w:eastAsia="zh-CN"/>
                    </w:rPr>
                    <w:t>m</w:t>
                  </w:r>
                </w:p>
              </w:tc>
              <w:tc>
                <w:tcPr>
                  <w:tcW w:w="478" w:type="pct"/>
                  <w:noWrap w:val="0"/>
                  <w:vAlign w:val="center"/>
                </w:tcPr>
                <w:p w14:paraId="6CE94AB0">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55.9</w:t>
                  </w:r>
                </w:p>
                <w:p w14:paraId="7916E9BD">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48.0</w:t>
                  </w:r>
                </w:p>
                <w:p w14:paraId="1250FD6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68.0</w:t>
                  </w:r>
                </w:p>
                <w:p w14:paraId="402C2AF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46.6</w:t>
                  </w:r>
                </w:p>
              </w:tc>
              <w:tc>
                <w:tcPr>
                  <w:tcW w:w="352" w:type="pct"/>
                  <w:vMerge w:val="continue"/>
                  <w:noWrap w:val="0"/>
                  <w:vAlign w:val="center"/>
                </w:tcPr>
                <w:p w14:paraId="262183E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yellow"/>
                      <w:lang w:val="en-US" w:eastAsia="zh-CN"/>
                    </w:rPr>
                  </w:pPr>
                </w:p>
              </w:tc>
              <w:tc>
                <w:tcPr>
                  <w:tcW w:w="317" w:type="pct"/>
                  <w:noWrap w:val="0"/>
                  <w:vAlign w:val="center"/>
                </w:tcPr>
                <w:p w14:paraId="7A0EF87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napToGrid w:val="0"/>
                      <w:color w:val="auto"/>
                      <w:spacing w:val="0"/>
                      <w:kern w:val="0"/>
                      <w:sz w:val="18"/>
                      <w:szCs w:val="18"/>
                      <w:highlight w:val="none"/>
                      <w:lang w:val="en-US" w:eastAsia="zh-CN"/>
                    </w:rPr>
                  </w:pPr>
                  <w:r>
                    <w:rPr>
                      <w:rFonts w:hint="default" w:ascii="Times New Roman" w:hAnsi="Times New Roman" w:cs="Times New Roman"/>
                      <w:snapToGrid w:val="0"/>
                      <w:color w:val="auto"/>
                      <w:spacing w:val="0"/>
                      <w:kern w:val="0"/>
                      <w:sz w:val="18"/>
                      <w:szCs w:val="18"/>
                      <w:highlight w:val="none"/>
                      <w:lang w:val="en-US" w:eastAsia="zh-CN"/>
                    </w:rPr>
                    <w:t>20</w:t>
                  </w:r>
                </w:p>
              </w:tc>
              <w:tc>
                <w:tcPr>
                  <w:tcW w:w="472" w:type="pct"/>
                  <w:shd w:val="clear" w:color="auto" w:fill="auto"/>
                  <w:noWrap w:val="0"/>
                  <w:vAlign w:val="center"/>
                </w:tcPr>
                <w:p w14:paraId="1ED5F68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东：</w:t>
                  </w:r>
                  <w:r>
                    <w:rPr>
                      <w:rFonts w:hint="eastAsia" w:cs="Times New Roman"/>
                      <w:snapToGrid w:val="0"/>
                      <w:color w:val="auto"/>
                      <w:spacing w:val="0"/>
                      <w:kern w:val="0"/>
                      <w:sz w:val="18"/>
                      <w:szCs w:val="18"/>
                      <w:highlight w:val="none"/>
                      <w:lang w:val="en-US" w:eastAsia="zh-CN"/>
                    </w:rPr>
                    <w:t>35.9</w:t>
                  </w:r>
                </w:p>
                <w:p w14:paraId="17AD31B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南：</w:t>
                  </w:r>
                  <w:r>
                    <w:rPr>
                      <w:rFonts w:hint="eastAsia" w:cs="Times New Roman"/>
                      <w:snapToGrid w:val="0"/>
                      <w:color w:val="auto"/>
                      <w:spacing w:val="0"/>
                      <w:kern w:val="0"/>
                      <w:sz w:val="18"/>
                      <w:szCs w:val="18"/>
                      <w:highlight w:val="none"/>
                      <w:lang w:val="en-US" w:eastAsia="zh-CN"/>
                    </w:rPr>
                    <w:t>28.0</w:t>
                  </w:r>
                </w:p>
                <w:p w14:paraId="067854EB">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snapToGrid w:val="0"/>
                      <w:color w:val="auto"/>
                      <w:spacing w:val="0"/>
                      <w:kern w:val="0"/>
                      <w:sz w:val="18"/>
                      <w:szCs w:val="18"/>
                      <w:highlight w:val="none"/>
                      <w:lang w:val="en-US" w:eastAsia="zh-CN"/>
                    </w:rPr>
                  </w:pPr>
                  <w:r>
                    <w:rPr>
                      <w:rFonts w:hint="default" w:ascii="Times New Roman" w:hAnsi="Times New Roman" w:eastAsia="宋体" w:cs="Times New Roman"/>
                      <w:snapToGrid w:val="0"/>
                      <w:color w:val="auto"/>
                      <w:spacing w:val="0"/>
                      <w:kern w:val="0"/>
                      <w:sz w:val="18"/>
                      <w:szCs w:val="18"/>
                      <w:highlight w:val="none"/>
                      <w:lang w:val="en-US" w:eastAsia="zh-CN"/>
                    </w:rPr>
                    <w:t>西：</w:t>
                  </w:r>
                  <w:r>
                    <w:rPr>
                      <w:rFonts w:hint="eastAsia" w:cs="Times New Roman"/>
                      <w:snapToGrid w:val="0"/>
                      <w:color w:val="auto"/>
                      <w:spacing w:val="0"/>
                      <w:kern w:val="0"/>
                      <w:sz w:val="18"/>
                      <w:szCs w:val="18"/>
                      <w:highlight w:val="none"/>
                      <w:lang w:val="en-US" w:eastAsia="zh-CN"/>
                    </w:rPr>
                    <w:t>48.0</w:t>
                  </w:r>
                </w:p>
                <w:p w14:paraId="12ED140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spacing w:val="0"/>
                      <w:kern w:val="0"/>
                      <w:sz w:val="18"/>
                      <w:szCs w:val="18"/>
                      <w:highlight w:val="none"/>
                      <w:lang w:val="en-US" w:eastAsia="zh-CN" w:bidi="ar-SA"/>
                    </w:rPr>
                  </w:pPr>
                  <w:r>
                    <w:rPr>
                      <w:rFonts w:hint="default" w:ascii="Times New Roman" w:hAnsi="Times New Roman" w:eastAsia="宋体" w:cs="Times New Roman"/>
                      <w:snapToGrid w:val="0"/>
                      <w:color w:val="auto"/>
                      <w:spacing w:val="0"/>
                      <w:kern w:val="0"/>
                      <w:sz w:val="18"/>
                      <w:szCs w:val="18"/>
                      <w:highlight w:val="none"/>
                      <w:lang w:val="en-US" w:eastAsia="zh-CN"/>
                    </w:rPr>
                    <w:t>北：</w:t>
                  </w:r>
                  <w:r>
                    <w:rPr>
                      <w:rFonts w:hint="eastAsia" w:cs="Times New Roman"/>
                      <w:snapToGrid w:val="0"/>
                      <w:color w:val="auto"/>
                      <w:spacing w:val="0"/>
                      <w:kern w:val="0"/>
                      <w:sz w:val="18"/>
                      <w:szCs w:val="18"/>
                      <w:highlight w:val="none"/>
                      <w:lang w:val="en-US" w:eastAsia="zh-CN"/>
                    </w:rPr>
                    <w:t>26.6</w:t>
                  </w:r>
                </w:p>
              </w:tc>
              <w:tc>
                <w:tcPr>
                  <w:tcW w:w="301" w:type="pct"/>
                  <w:noWrap w:val="0"/>
                  <w:vAlign w:val="center"/>
                </w:tcPr>
                <w:p w14:paraId="7D6A37D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Times New Roman" w:cs="Times New Roman"/>
                      <w:snapToGrid w:val="0"/>
                      <w:color w:val="auto"/>
                      <w:spacing w:val="0"/>
                      <w:kern w:val="0"/>
                      <w:sz w:val="18"/>
                      <w:szCs w:val="18"/>
                      <w:highlight w:val="none"/>
                    </w:rPr>
                  </w:pPr>
                  <w:r>
                    <w:rPr>
                      <w:rFonts w:hint="default" w:ascii="Times New Roman" w:hAnsi="Times New Roman" w:eastAsia="Times New Roman" w:cs="Times New Roman"/>
                      <w:snapToGrid w:val="0"/>
                      <w:color w:val="auto"/>
                      <w:spacing w:val="0"/>
                      <w:kern w:val="0"/>
                      <w:sz w:val="18"/>
                      <w:szCs w:val="18"/>
                      <w:highlight w:val="none"/>
                    </w:rPr>
                    <w:t>1</w:t>
                  </w:r>
                </w:p>
              </w:tc>
            </w:tr>
          </w:tbl>
          <w:p w14:paraId="1FDE9D1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b/>
                <w:bCs/>
                <w:color w:val="auto"/>
              </w:rPr>
            </w:pPr>
            <w:r>
              <w:rPr>
                <w:rFonts w:hint="default" w:ascii="Times New Roman" w:hAnsi="Times New Roman" w:eastAsia="黑体" w:cs="Times New Roman"/>
                <w:color w:val="auto"/>
              </w:rPr>
              <w:t>5、</w:t>
            </w:r>
            <w:r>
              <w:rPr>
                <w:rFonts w:hint="default" w:ascii="Times New Roman" w:hAnsi="Times New Roman" w:cs="Times New Roman"/>
                <w:b/>
                <w:bCs/>
                <w:color w:val="auto"/>
              </w:rPr>
              <w:t>达标分析</w:t>
            </w:r>
          </w:p>
          <w:p w14:paraId="46AF285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依据《环境工作手册-环境噪声控制卷》（高等教育出版社，2000年）可知，采取隔减振等措施均可达到10~25dB（A）的隔声（消声）量，墙壁可降低23~30 dB（A） 的噪声。</w:t>
            </w:r>
          </w:p>
          <w:p w14:paraId="5BCC0A6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本次环境影响评价采用《环境影响评价技术导则</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声环境》（HJ2.4-20</w:t>
            </w:r>
            <w:r>
              <w:rPr>
                <w:rFonts w:hint="default" w:ascii="Times New Roman" w:hAnsi="Times New Roman" w:cs="Times New Roman"/>
                <w:color w:val="auto"/>
                <w:lang w:val="en-US" w:eastAsia="zh-CN"/>
              </w:rPr>
              <w:t>21</w:t>
            </w:r>
            <w:r>
              <w:rPr>
                <w:rFonts w:hint="default" w:ascii="Times New Roman" w:hAnsi="Times New Roman" w:cs="Times New Roman"/>
                <w:color w:val="auto"/>
              </w:rPr>
              <w:t>）中推荐的模式</w:t>
            </w:r>
            <w:r>
              <w:rPr>
                <w:rFonts w:hint="default" w:ascii="Times New Roman" w:hAnsi="Times New Roman" w:cs="Times New Roman"/>
                <w:color w:val="auto"/>
                <w:lang w:eastAsia="zh-CN"/>
              </w:rPr>
              <w:t>－－</w:t>
            </w:r>
            <w:r>
              <w:rPr>
                <w:rFonts w:hint="default" w:ascii="Times New Roman" w:hAnsi="Times New Roman" w:cs="Times New Roman"/>
                <w:color w:val="auto"/>
              </w:rPr>
              <w:t>工业噪声预测模式进行预测，预测模式如下：</w:t>
            </w:r>
          </w:p>
          <w:p w14:paraId="794FC2FF">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（1）室外声源在预测点的声压级</w:t>
            </w:r>
          </w:p>
          <w:p w14:paraId="01C0F5B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hint="default" w:ascii="Times New Roman" w:hAnsi="Times New Roman" w:cs="Times New Roman"/>
                <w:color w:val="auto"/>
              </w:rPr>
            </w:pPr>
            <w:r>
              <w:rPr>
                <w:rFonts w:hint="default" w:ascii="Times New Roman" w:hAnsi="Times New Roman" w:cs="Times New Roman"/>
                <w:color w:val="auto"/>
                <w:sz w:val="21"/>
              </w:rPr>
              <w:drawing>
                <wp:inline distT="0" distB="0" distL="114300" distR="114300">
                  <wp:extent cx="3067050" cy="285750"/>
                  <wp:effectExtent l="0" t="0" r="0" b="0"/>
                  <wp:docPr id="3" name="图片 4" descr="C:/Users/User/AppData/Local/Temp/picturecompress_20211217082107/output_15.pngoutput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User/AppData/Local/Temp/picturecompress_20211217082107/output_15.pngoutput_15"/>
                          <pic:cNvPicPr>
                            <a:picLocks noChangeAspect="1"/>
                          </pic:cNvPicPr>
                        </pic:nvPicPr>
                        <pic:blipFill>
                          <a:blip r:embed="rId14"/>
                          <a:stretch>
                            <a:fillRect/>
                          </a:stretch>
                        </pic:blipFill>
                        <pic:spPr>
                          <a:xfrm>
                            <a:off x="0" y="0"/>
                            <a:ext cx="3067050" cy="285750"/>
                          </a:xfrm>
                          <a:prstGeom prst="rect">
                            <a:avLst/>
                          </a:prstGeom>
                          <a:noFill/>
                          <a:ln>
                            <a:noFill/>
                          </a:ln>
                        </pic:spPr>
                      </pic:pic>
                    </a:graphicData>
                  </a:graphic>
                </wp:inline>
              </w:drawing>
            </w:r>
          </w:p>
          <w:p w14:paraId="3B268A91">
            <w:pPr>
              <w:keepNext w:val="0"/>
              <w:keepLines w:val="0"/>
              <w:pageBreakBefore w:val="0"/>
              <w:widowControl w:val="0"/>
              <w:kinsoku/>
              <w:wordWrap/>
              <w:overflowPunct/>
              <w:topLinePunct w:val="0"/>
              <w:autoSpaceDE/>
              <w:autoSpaceDN/>
              <w:bidi w:val="0"/>
              <w:adjustRightInd w:val="0"/>
              <w:snapToGrid w:val="0"/>
              <w:spacing w:line="360" w:lineRule="auto"/>
              <w:ind w:firstLine="787" w:firstLineChars="375"/>
              <w:textAlignment w:val="auto"/>
              <w:rPr>
                <w:rFonts w:hint="default" w:ascii="Times New Roman" w:hAnsi="Times New Roman" w:cs="Times New Roman"/>
                <w:color w:val="auto"/>
              </w:rPr>
            </w:pPr>
            <w:r>
              <w:rPr>
                <w:rFonts w:hint="default" w:ascii="Times New Roman" w:hAnsi="Times New Roman" w:cs="Times New Roman"/>
                <w:color w:val="auto"/>
              </w:rPr>
              <w:t>式中：L</w:t>
            </w:r>
            <w:r>
              <w:rPr>
                <w:rFonts w:hint="default" w:ascii="Times New Roman" w:hAnsi="Times New Roman" w:cs="Times New Roman"/>
                <w:color w:val="auto"/>
                <w:vertAlign w:val="subscript"/>
              </w:rPr>
              <w:t>p</w:t>
            </w:r>
            <w:r>
              <w:rPr>
                <w:rFonts w:hint="default" w:ascii="Times New Roman" w:hAnsi="Times New Roman" w:cs="Times New Roman"/>
                <w:color w:val="auto"/>
                <w:lang w:eastAsia="zh-CN"/>
              </w:rPr>
              <w:t>（</w:t>
            </w:r>
            <w:r>
              <w:rPr>
                <w:rFonts w:hint="default" w:ascii="Times New Roman" w:hAnsi="Times New Roman" w:cs="Times New Roman"/>
                <w:color w:val="auto"/>
              </w:rPr>
              <w:t>r</w:t>
            </w:r>
            <w:r>
              <w:rPr>
                <w:rFonts w:hint="default" w:ascii="Times New Roman" w:hAnsi="Times New Roman" w:cs="Times New Roman"/>
                <w:color w:val="auto"/>
                <w:lang w:eastAsia="zh-CN"/>
              </w:rPr>
              <w:t>）</w:t>
            </w:r>
            <w:r>
              <w:rPr>
                <w:rFonts w:hint="default" w:ascii="Times New Roman" w:hAnsi="Times New Roman" w:cs="Times New Roman"/>
                <w:color w:val="auto"/>
              </w:rPr>
              <w:t>—距声源r处的A声级，dB</w:t>
            </w:r>
            <w:r>
              <w:rPr>
                <w:rFonts w:hint="default" w:ascii="Times New Roman" w:hAnsi="Times New Roman" w:cs="Times New Roman"/>
                <w:color w:val="auto"/>
                <w:lang w:eastAsia="zh-CN"/>
              </w:rPr>
              <w:t>（</w:t>
            </w:r>
            <w:r>
              <w:rPr>
                <w:rFonts w:hint="default" w:ascii="Times New Roman" w:hAnsi="Times New Roman" w:cs="Times New Roman"/>
                <w:color w:val="auto"/>
              </w:rPr>
              <w:t>A</w:t>
            </w:r>
            <w:r>
              <w:rPr>
                <w:rFonts w:hint="default" w:ascii="Times New Roman" w:hAnsi="Times New Roman" w:cs="Times New Roman"/>
                <w:color w:val="auto"/>
                <w:lang w:eastAsia="zh-CN"/>
              </w:rPr>
              <w:t>）</w:t>
            </w:r>
            <w:r>
              <w:rPr>
                <w:rFonts w:hint="default" w:ascii="Times New Roman" w:hAnsi="Times New Roman" w:cs="Times New Roman"/>
                <w:color w:val="auto"/>
              </w:rPr>
              <w:t>；</w:t>
            </w:r>
          </w:p>
          <w:p w14:paraId="568205B9">
            <w:pPr>
              <w:keepNext w:val="0"/>
              <w:keepLines w:val="0"/>
              <w:pageBreakBefore w:val="0"/>
              <w:widowControl w:val="0"/>
              <w:kinsoku/>
              <w:wordWrap/>
              <w:overflowPunct/>
              <w:topLinePunct w:val="0"/>
              <w:autoSpaceDE/>
              <w:autoSpaceDN/>
              <w:bidi w:val="0"/>
              <w:adjustRightInd w:val="0"/>
              <w:snapToGrid w:val="0"/>
              <w:spacing w:line="360" w:lineRule="auto"/>
              <w:ind w:firstLine="1417" w:firstLineChars="675"/>
              <w:textAlignment w:val="auto"/>
              <w:rPr>
                <w:rFonts w:hint="default" w:ascii="Times New Roman" w:hAnsi="Times New Roman" w:cs="Times New Roman"/>
                <w:color w:val="auto"/>
              </w:rPr>
            </w:pPr>
            <w:r>
              <w:rPr>
                <w:rFonts w:hint="default" w:ascii="Times New Roman" w:hAnsi="Times New Roman" w:cs="Times New Roman"/>
                <w:color w:val="auto"/>
              </w:rPr>
              <w:t>L</w:t>
            </w:r>
            <w:r>
              <w:rPr>
                <w:rFonts w:hint="default" w:ascii="Times New Roman" w:hAnsi="Times New Roman" w:cs="Times New Roman"/>
                <w:color w:val="auto"/>
                <w:vertAlign w:val="subscript"/>
              </w:rPr>
              <w:t>p</w:t>
            </w:r>
            <w:r>
              <w:rPr>
                <w:rFonts w:hint="default" w:ascii="Times New Roman" w:hAnsi="Times New Roman" w:cs="Times New Roman"/>
                <w:color w:val="auto"/>
                <w:lang w:eastAsia="zh-CN"/>
              </w:rPr>
              <w:t>（</w:t>
            </w:r>
            <w:r>
              <w:rPr>
                <w:rFonts w:hint="default" w:ascii="Times New Roman" w:hAnsi="Times New Roman" w:cs="Times New Roman"/>
                <w:color w:val="auto"/>
              </w:rPr>
              <w:t>r</w:t>
            </w:r>
            <w:r>
              <w:rPr>
                <w:rFonts w:hint="default" w:ascii="Times New Roman" w:hAnsi="Times New Roman" w:cs="Times New Roman"/>
                <w:color w:val="auto"/>
                <w:vertAlign w:val="subscript"/>
              </w:rPr>
              <w:t>0</w:t>
            </w:r>
            <w:r>
              <w:rPr>
                <w:rFonts w:hint="default" w:ascii="Times New Roman" w:hAnsi="Times New Roman" w:cs="Times New Roman"/>
                <w:color w:val="auto"/>
                <w:lang w:eastAsia="zh-CN"/>
              </w:rPr>
              <w:t>）</w:t>
            </w:r>
            <w:r>
              <w:rPr>
                <w:rFonts w:hint="default" w:ascii="Times New Roman" w:hAnsi="Times New Roman" w:cs="Times New Roman"/>
                <w:color w:val="auto"/>
              </w:rPr>
              <w:t>—参考位置r0处的A声级，dB</w:t>
            </w:r>
            <w:r>
              <w:rPr>
                <w:rFonts w:hint="default" w:ascii="Times New Roman" w:hAnsi="Times New Roman" w:cs="Times New Roman"/>
                <w:color w:val="auto"/>
                <w:lang w:eastAsia="zh-CN"/>
              </w:rPr>
              <w:t>（</w:t>
            </w:r>
            <w:r>
              <w:rPr>
                <w:rFonts w:hint="default" w:ascii="Times New Roman" w:hAnsi="Times New Roman" w:cs="Times New Roman"/>
                <w:color w:val="auto"/>
              </w:rPr>
              <w:t>A</w:t>
            </w:r>
            <w:r>
              <w:rPr>
                <w:rFonts w:hint="default" w:ascii="Times New Roman" w:hAnsi="Times New Roman" w:cs="Times New Roman"/>
                <w:color w:val="auto"/>
                <w:lang w:eastAsia="zh-CN"/>
              </w:rPr>
              <w:t>）</w:t>
            </w:r>
            <w:r>
              <w:rPr>
                <w:rFonts w:hint="default" w:ascii="Times New Roman" w:hAnsi="Times New Roman" w:cs="Times New Roman"/>
                <w:color w:val="auto"/>
              </w:rPr>
              <w:t>；</w:t>
            </w:r>
          </w:p>
          <w:p w14:paraId="13BDD246">
            <w:pPr>
              <w:keepNext w:val="0"/>
              <w:keepLines w:val="0"/>
              <w:pageBreakBefore w:val="0"/>
              <w:widowControl w:val="0"/>
              <w:kinsoku/>
              <w:wordWrap/>
              <w:overflowPunct/>
              <w:topLinePunct w:val="0"/>
              <w:autoSpaceDE/>
              <w:autoSpaceDN/>
              <w:bidi w:val="0"/>
              <w:adjustRightInd w:val="0"/>
              <w:snapToGrid w:val="0"/>
              <w:spacing w:line="360" w:lineRule="auto"/>
              <w:ind w:firstLine="1417" w:firstLineChars="675"/>
              <w:textAlignment w:val="auto"/>
              <w:rPr>
                <w:rFonts w:hint="default" w:ascii="Times New Roman" w:hAnsi="Times New Roman" w:cs="Times New Roman"/>
                <w:color w:val="auto"/>
              </w:rPr>
            </w:pPr>
            <w:r>
              <w:rPr>
                <w:rFonts w:hint="default" w:ascii="Times New Roman" w:hAnsi="Times New Roman" w:cs="Times New Roman"/>
                <w:color w:val="auto"/>
              </w:rPr>
              <w:t>A</w:t>
            </w:r>
            <w:r>
              <w:rPr>
                <w:rFonts w:hint="default" w:ascii="Times New Roman" w:hAnsi="Times New Roman" w:cs="Times New Roman"/>
                <w:color w:val="auto"/>
                <w:vertAlign w:val="subscript"/>
              </w:rPr>
              <w:t>div</w:t>
            </w:r>
            <w:r>
              <w:rPr>
                <w:rFonts w:hint="default" w:ascii="Times New Roman" w:hAnsi="Times New Roman" w:cs="Times New Roman"/>
                <w:color w:val="auto"/>
              </w:rPr>
              <w:t>—声波几何发散引起的A声级衰减量，dB</w:t>
            </w:r>
            <w:r>
              <w:rPr>
                <w:rFonts w:hint="default" w:ascii="Times New Roman" w:hAnsi="Times New Roman" w:cs="Times New Roman"/>
                <w:color w:val="auto"/>
                <w:lang w:eastAsia="zh-CN"/>
              </w:rPr>
              <w:t>（</w:t>
            </w:r>
            <w:r>
              <w:rPr>
                <w:rFonts w:hint="default" w:ascii="Times New Roman" w:hAnsi="Times New Roman" w:cs="Times New Roman"/>
                <w:color w:val="auto"/>
              </w:rPr>
              <w:t>A</w:t>
            </w:r>
            <w:r>
              <w:rPr>
                <w:rFonts w:hint="default" w:ascii="Times New Roman" w:hAnsi="Times New Roman" w:cs="Times New Roman"/>
                <w:color w:val="auto"/>
                <w:lang w:eastAsia="zh-CN"/>
              </w:rPr>
              <w:t>）</w:t>
            </w:r>
            <w:r>
              <w:rPr>
                <w:rFonts w:hint="default" w:ascii="Times New Roman" w:hAnsi="Times New Roman" w:cs="Times New Roman"/>
                <w:color w:val="auto"/>
              </w:rPr>
              <w:t>；</w:t>
            </w:r>
          </w:p>
          <w:p w14:paraId="2DFCFCAF">
            <w:pPr>
              <w:keepNext w:val="0"/>
              <w:keepLines w:val="0"/>
              <w:pageBreakBefore w:val="0"/>
              <w:widowControl w:val="0"/>
              <w:kinsoku/>
              <w:wordWrap/>
              <w:overflowPunct/>
              <w:topLinePunct w:val="0"/>
              <w:autoSpaceDE/>
              <w:autoSpaceDN/>
              <w:bidi w:val="0"/>
              <w:adjustRightInd w:val="0"/>
              <w:snapToGrid w:val="0"/>
              <w:spacing w:line="360" w:lineRule="auto"/>
              <w:ind w:firstLine="1417" w:firstLineChars="675"/>
              <w:textAlignment w:val="auto"/>
              <w:rPr>
                <w:rFonts w:hint="default" w:ascii="Times New Roman" w:hAnsi="Times New Roman" w:cs="Times New Roman"/>
                <w:color w:val="auto"/>
              </w:rPr>
            </w:pPr>
            <w:r>
              <w:rPr>
                <w:rFonts w:hint="default" w:ascii="Times New Roman" w:hAnsi="Times New Roman" w:cs="Times New Roman"/>
                <w:color w:val="auto"/>
              </w:rPr>
              <w:t>A</w:t>
            </w:r>
            <w:r>
              <w:rPr>
                <w:rFonts w:hint="default" w:ascii="Times New Roman" w:hAnsi="Times New Roman" w:cs="Times New Roman"/>
                <w:color w:val="auto"/>
                <w:vertAlign w:val="subscript"/>
              </w:rPr>
              <w:t>bar</w:t>
            </w:r>
            <w:r>
              <w:rPr>
                <w:rFonts w:hint="default" w:ascii="Times New Roman" w:hAnsi="Times New Roman" w:cs="Times New Roman"/>
                <w:color w:val="auto"/>
              </w:rPr>
              <w:t>—遮挡物引起的A声级衰减量，dB</w:t>
            </w:r>
            <w:r>
              <w:rPr>
                <w:rFonts w:hint="default" w:ascii="Times New Roman" w:hAnsi="Times New Roman" w:cs="Times New Roman"/>
                <w:color w:val="auto"/>
                <w:lang w:eastAsia="zh-CN"/>
              </w:rPr>
              <w:t>（</w:t>
            </w:r>
            <w:r>
              <w:rPr>
                <w:rFonts w:hint="default" w:ascii="Times New Roman" w:hAnsi="Times New Roman" w:cs="Times New Roman"/>
                <w:color w:val="auto"/>
              </w:rPr>
              <w:t>A</w:t>
            </w:r>
            <w:r>
              <w:rPr>
                <w:rFonts w:hint="default" w:ascii="Times New Roman" w:hAnsi="Times New Roman" w:cs="Times New Roman"/>
                <w:color w:val="auto"/>
                <w:lang w:eastAsia="zh-CN"/>
              </w:rPr>
              <w:t>）</w:t>
            </w:r>
            <w:r>
              <w:rPr>
                <w:rFonts w:hint="default" w:ascii="Times New Roman" w:hAnsi="Times New Roman" w:cs="Times New Roman"/>
                <w:color w:val="auto"/>
              </w:rPr>
              <w:t>；</w:t>
            </w:r>
          </w:p>
          <w:p w14:paraId="595D2CCD">
            <w:pPr>
              <w:keepNext w:val="0"/>
              <w:keepLines w:val="0"/>
              <w:pageBreakBefore w:val="0"/>
              <w:widowControl w:val="0"/>
              <w:kinsoku/>
              <w:wordWrap/>
              <w:overflowPunct/>
              <w:topLinePunct w:val="0"/>
              <w:autoSpaceDE/>
              <w:autoSpaceDN/>
              <w:bidi w:val="0"/>
              <w:adjustRightInd w:val="0"/>
              <w:snapToGrid w:val="0"/>
              <w:spacing w:line="360" w:lineRule="auto"/>
              <w:ind w:firstLine="1417" w:firstLineChars="675"/>
              <w:textAlignment w:val="auto"/>
              <w:rPr>
                <w:rFonts w:hint="default" w:ascii="Times New Roman" w:hAnsi="Times New Roman" w:cs="Times New Roman"/>
                <w:color w:val="auto"/>
              </w:rPr>
            </w:pPr>
            <w:r>
              <w:rPr>
                <w:rFonts w:hint="default" w:ascii="Times New Roman" w:hAnsi="Times New Roman" w:cs="Times New Roman"/>
                <w:color w:val="auto"/>
              </w:rPr>
              <w:t>A</w:t>
            </w:r>
            <w:r>
              <w:rPr>
                <w:rFonts w:hint="default" w:ascii="Times New Roman" w:hAnsi="Times New Roman" w:cs="Times New Roman"/>
                <w:color w:val="auto"/>
                <w:vertAlign w:val="subscript"/>
              </w:rPr>
              <w:t>atm</w:t>
            </w:r>
            <w:r>
              <w:rPr>
                <w:rFonts w:hint="default" w:ascii="Times New Roman" w:hAnsi="Times New Roman" w:cs="Times New Roman"/>
                <w:color w:val="auto"/>
              </w:rPr>
              <w:t>—空气吸收引起的A声级衰减量，dB</w:t>
            </w:r>
            <w:r>
              <w:rPr>
                <w:rFonts w:hint="default" w:ascii="Times New Roman" w:hAnsi="Times New Roman" w:cs="Times New Roman"/>
                <w:color w:val="auto"/>
                <w:lang w:eastAsia="zh-CN"/>
              </w:rPr>
              <w:t>（</w:t>
            </w:r>
            <w:r>
              <w:rPr>
                <w:rFonts w:hint="default" w:ascii="Times New Roman" w:hAnsi="Times New Roman" w:cs="Times New Roman"/>
                <w:color w:val="auto"/>
              </w:rPr>
              <w:t>A</w:t>
            </w:r>
            <w:r>
              <w:rPr>
                <w:rFonts w:hint="default" w:ascii="Times New Roman" w:hAnsi="Times New Roman" w:cs="Times New Roman"/>
                <w:color w:val="auto"/>
                <w:lang w:eastAsia="zh-CN"/>
              </w:rPr>
              <w:t>）</w:t>
            </w:r>
            <w:r>
              <w:rPr>
                <w:rFonts w:hint="default" w:ascii="Times New Roman" w:hAnsi="Times New Roman" w:cs="Times New Roman"/>
                <w:color w:val="auto"/>
              </w:rPr>
              <w:t>；</w:t>
            </w:r>
          </w:p>
          <w:p w14:paraId="2AE2819E">
            <w:pPr>
              <w:keepNext w:val="0"/>
              <w:keepLines w:val="0"/>
              <w:pageBreakBefore w:val="0"/>
              <w:widowControl w:val="0"/>
              <w:kinsoku/>
              <w:wordWrap/>
              <w:overflowPunct/>
              <w:topLinePunct w:val="0"/>
              <w:autoSpaceDE/>
              <w:autoSpaceDN/>
              <w:bidi w:val="0"/>
              <w:adjustRightInd w:val="0"/>
              <w:snapToGrid w:val="0"/>
              <w:spacing w:line="360" w:lineRule="auto"/>
              <w:ind w:firstLine="1417" w:firstLineChars="675"/>
              <w:textAlignment w:val="auto"/>
              <w:rPr>
                <w:rFonts w:hint="default" w:ascii="Times New Roman" w:hAnsi="Times New Roman" w:cs="Times New Roman"/>
                <w:color w:val="auto"/>
              </w:rPr>
            </w:pPr>
            <w:r>
              <w:rPr>
                <w:rFonts w:hint="default" w:ascii="Times New Roman" w:hAnsi="Times New Roman" w:cs="Times New Roman"/>
                <w:color w:val="auto"/>
              </w:rPr>
              <w:t>A</w:t>
            </w:r>
            <w:r>
              <w:rPr>
                <w:rFonts w:hint="default" w:ascii="Times New Roman" w:hAnsi="Times New Roman" w:cs="Times New Roman"/>
                <w:color w:val="auto"/>
                <w:vertAlign w:val="subscript"/>
              </w:rPr>
              <w:t>gr</w:t>
            </w:r>
            <w:r>
              <w:rPr>
                <w:rFonts w:hint="default" w:ascii="Times New Roman" w:hAnsi="Times New Roman" w:cs="Times New Roman"/>
                <w:color w:val="auto"/>
              </w:rPr>
              <w:t>—地面效应引起的A声级衰减量，dB</w:t>
            </w:r>
            <w:r>
              <w:rPr>
                <w:rFonts w:hint="default" w:ascii="Times New Roman" w:hAnsi="Times New Roman" w:cs="Times New Roman"/>
                <w:color w:val="auto"/>
                <w:lang w:eastAsia="zh-CN"/>
              </w:rPr>
              <w:t>（</w:t>
            </w:r>
            <w:r>
              <w:rPr>
                <w:rFonts w:hint="default" w:ascii="Times New Roman" w:hAnsi="Times New Roman" w:cs="Times New Roman"/>
                <w:color w:val="auto"/>
              </w:rPr>
              <w:t>A</w:t>
            </w:r>
            <w:r>
              <w:rPr>
                <w:rFonts w:hint="default" w:ascii="Times New Roman" w:hAnsi="Times New Roman" w:cs="Times New Roman"/>
                <w:color w:val="auto"/>
                <w:lang w:eastAsia="zh-CN"/>
              </w:rPr>
              <w:t>）</w:t>
            </w:r>
            <w:r>
              <w:rPr>
                <w:rFonts w:hint="default" w:ascii="Times New Roman" w:hAnsi="Times New Roman" w:cs="Times New Roman"/>
                <w:color w:val="auto"/>
              </w:rPr>
              <w:t>；</w:t>
            </w:r>
          </w:p>
          <w:p w14:paraId="2C31C0A2">
            <w:pPr>
              <w:keepNext w:val="0"/>
              <w:keepLines w:val="0"/>
              <w:pageBreakBefore w:val="0"/>
              <w:widowControl w:val="0"/>
              <w:kinsoku/>
              <w:wordWrap/>
              <w:overflowPunct/>
              <w:topLinePunct w:val="0"/>
              <w:autoSpaceDE/>
              <w:autoSpaceDN/>
              <w:bidi w:val="0"/>
              <w:adjustRightInd w:val="0"/>
              <w:snapToGrid w:val="0"/>
              <w:spacing w:line="360" w:lineRule="auto"/>
              <w:ind w:firstLine="1417" w:firstLineChars="675"/>
              <w:textAlignment w:val="auto"/>
              <w:rPr>
                <w:rFonts w:hint="default" w:ascii="Times New Roman" w:hAnsi="Times New Roman" w:cs="Times New Roman"/>
                <w:color w:val="auto"/>
              </w:rPr>
            </w:pPr>
            <w:r>
              <w:rPr>
                <w:rFonts w:hint="default" w:ascii="Times New Roman" w:hAnsi="Times New Roman" w:cs="Times New Roman"/>
                <w:color w:val="auto"/>
              </w:rPr>
              <w:t>A</w:t>
            </w:r>
            <w:r>
              <w:rPr>
                <w:rFonts w:hint="default" w:ascii="Times New Roman" w:hAnsi="Times New Roman" w:cs="Times New Roman"/>
                <w:color w:val="auto"/>
                <w:vertAlign w:val="subscript"/>
              </w:rPr>
              <w:t>misc</w:t>
            </w:r>
            <w:r>
              <w:rPr>
                <w:rFonts w:hint="default" w:ascii="Times New Roman" w:hAnsi="Times New Roman" w:cs="Times New Roman"/>
                <w:color w:val="auto"/>
              </w:rPr>
              <w:t>—其他方面效应引起的A声级衰减量，dB</w:t>
            </w:r>
            <w:r>
              <w:rPr>
                <w:rFonts w:hint="default" w:ascii="Times New Roman" w:hAnsi="Times New Roman" w:cs="Times New Roman"/>
                <w:color w:val="auto"/>
                <w:lang w:eastAsia="zh-CN"/>
              </w:rPr>
              <w:t>（</w:t>
            </w:r>
            <w:r>
              <w:rPr>
                <w:rFonts w:hint="default" w:ascii="Times New Roman" w:hAnsi="Times New Roman" w:cs="Times New Roman"/>
                <w:color w:val="auto"/>
              </w:rPr>
              <w:t>A</w:t>
            </w:r>
            <w:r>
              <w:rPr>
                <w:rFonts w:hint="default" w:ascii="Times New Roman" w:hAnsi="Times New Roman" w:cs="Times New Roman"/>
                <w:color w:val="auto"/>
                <w:lang w:eastAsia="zh-CN"/>
              </w:rPr>
              <w:t>）</w:t>
            </w:r>
            <w:r>
              <w:rPr>
                <w:rFonts w:hint="default" w:ascii="Times New Roman" w:hAnsi="Times New Roman" w:cs="Times New Roman"/>
                <w:color w:val="auto"/>
              </w:rPr>
              <w:t>。</w:t>
            </w:r>
          </w:p>
          <w:p w14:paraId="5A0FD16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（2）室内声源等效为室外声源的计算</w:t>
            </w:r>
          </w:p>
          <w:p w14:paraId="49C3BAE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1 \* GB3 </w:instrText>
            </w:r>
            <w:r>
              <w:rPr>
                <w:rFonts w:hint="default" w:ascii="Times New Roman" w:hAnsi="Times New Roman" w:cs="Times New Roman"/>
                <w:color w:val="auto"/>
              </w:rPr>
              <w:fldChar w:fldCharType="separate"/>
            </w:r>
            <w:r>
              <w:rPr>
                <w:rFonts w:hint="default" w:ascii="Times New Roman" w:hAnsi="Times New Roman" w:cs="Times New Roman"/>
                <w:color w:val="auto"/>
              </w:rPr>
              <w:t>①</w:t>
            </w:r>
            <w:r>
              <w:rPr>
                <w:rFonts w:hint="default" w:ascii="Times New Roman" w:hAnsi="Times New Roman" w:cs="Times New Roman"/>
                <w:color w:val="auto"/>
              </w:rPr>
              <w:fldChar w:fldCharType="end"/>
            </w:r>
            <w:r>
              <w:rPr>
                <w:rFonts w:hint="default" w:ascii="Times New Roman" w:hAnsi="Times New Roman" w:cs="Times New Roman"/>
                <w:color w:val="auto"/>
              </w:rPr>
              <w:t>首先计算出某个室内靠近围护结构处的倍频带声压级</w:t>
            </w:r>
          </w:p>
          <w:p w14:paraId="3B9F98F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rPr>
            </w:pPr>
            <w:r>
              <w:rPr>
                <w:rFonts w:hint="default" w:ascii="Times New Roman" w:hAnsi="Times New Roman" w:cs="Times New Roman"/>
                <w:color w:val="auto"/>
                <w:position w:val="-34"/>
              </w:rPr>
              <w:object>
                <v:shape id="_x0000_i1029" o:spt="75" type="#_x0000_t75" style="height:43.5pt;width:151.15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p>
          <w:p w14:paraId="3025C81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式中：L</w:t>
            </w:r>
            <w:r>
              <w:rPr>
                <w:rFonts w:hint="default" w:ascii="Times New Roman" w:hAnsi="Times New Roman" w:cs="Times New Roman"/>
                <w:color w:val="auto"/>
                <w:vertAlign w:val="subscript"/>
              </w:rPr>
              <w:t>oct</w:t>
            </w:r>
            <w:r>
              <w:rPr>
                <w:rFonts w:hint="default" w:ascii="Times New Roman" w:hAnsi="Times New Roman" w:cs="Times New Roman"/>
                <w:color w:val="auto"/>
                <w:vertAlign w:val="subscript"/>
                <w:lang w:eastAsia="zh-CN"/>
              </w:rPr>
              <w:t>，</w:t>
            </w:r>
            <w:r>
              <w:rPr>
                <w:rFonts w:hint="default" w:ascii="Times New Roman" w:hAnsi="Times New Roman" w:cs="Times New Roman"/>
                <w:color w:val="auto"/>
                <w:vertAlign w:val="subscript"/>
              </w:rPr>
              <w:t>1</w:t>
            </w:r>
            <w:r>
              <w:rPr>
                <w:rFonts w:hint="default" w:ascii="Times New Roman" w:hAnsi="Times New Roman" w:cs="Times New Roman"/>
                <w:color w:val="auto"/>
              </w:rPr>
              <w:t>—某个室内声源在靠近围护结构处产生的倍频带声压级；</w:t>
            </w:r>
          </w:p>
          <w:p w14:paraId="3A179870">
            <w:pPr>
              <w:keepNext w:val="0"/>
              <w:keepLines w:val="0"/>
              <w:pageBreakBefore w:val="0"/>
              <w:widowControl w:val="0"/>
              <w:kinsoku/>
              <w:wordWrap/>
              <w:overflowPunct/>
              <w:topLinePunct w:val="0"/>
              <w:autoSpaceDE/>
              <w:autoSpaceDN/>
              <w:bidi w:val="0"/>
              <w:adjustRightInd w:val="0"/>
              <w:snapToGrid w:val="0"/>
              <w:spacing w:line="360" w:lineRule="auto"/>
              <w:ind w:firstLine="1050" w:firstLineChars="500"/>
              <w:textAlignment w:val="auto"/>
              <w:rPr>
                <w:rFonts w:hint="default" w:ascii="Times New Roman" w:hAnsi="Times New Roman" w:cs="Times New Roman"/>
                <w:color w:val="auto"/>
              </w:rPr>
            </w:pPr>
            <w:r>
              <w:rPr>
                <w:rFonts w:hint="default" w:ascii="Times New Roman" w:hAnsi="Times New Roman" w:cs="Times New Roman"/>
                <w:color w:val="auto"/>
              </w:rPr>
              <w:t>L</w:t>
            </w:r>
            <w:r>
              <w:rPr>
                <w:rFonts w:hint="default" w:ascii="Times New Roman" w:hAnsi="Times New Roman" w:cs="Times New Roman"/>
                <w:color w:val="auto"/>
                <w:vertAlign w:val="subscript"/>
              </w:rPr>
              <w:t>woct</w:t>
            </w:r>
            <w:r>
              <w:rPr>
                <w:rFonts w:hint="default" w:ascii="Times New Roman" w:hAnsi="Times New Roman" w:cs="Times New Roman"/>
                <w:color w:val="auto"/>
              </w:rPr>
              <w:t>—某个声源的倍频带声功率级；</w:t>
            </w:r>
          </w:p>
          <w:p w14:paraId="6898643A">
            <w:pPr>
              <w:keepNext w:val="0"/>
              <w:keepLines w:val="0"/>
              <w:pageBreakBefore w:val="0"/>
              <w:widowControl w:val="0"/>
              <w:kinsoku/>
              <w:wordWrap/>
              <w:overflowPunct/>
              <w:topLinePunct w:val="0"/>
              <w:autoSpaceDE/>
              <w:autoSpaceDN/>
              <w:bidi w:val="0"/>
              <w:adjustRightInd w:val="0"/>
              <w:snapToGrid w:val="0"/>
              <w:spacing w:line="360" w:lineRule="auto"/>
              <w:ind w:firstLine="1050" w:firstLineChars="500"/>
              <w:textAlignment w:val="auto"/>
              <w:rPr>
                <w:rFonts w:hint="default" w:ascii="Times New Roman" w:hAnsi="Times New Roman" w:cs="Times New Roman"/>
                <w:color w:val="auto"/>
              </w:rPr>
            </w:pPr>
            <w:r>
              <w:rPr>
                <w:rFonts w:hint="default" w:ascii="Times New Roman" w:hAnsi="Times New Roman" w:cs="Times New Roman"/>
                <w:color w:val="auto"/>
              </w:rPr>
              <w:t>r</w:t>
            </w:r>
            <w:r>
              <w:rPr>
                <w:rFonts w:hint="default" w:ascii="Times New Roman" w:hAnsi="Times New Roman" w:cs="Times New Roman"/>
                <w:color w:val="auto"/>
                <w:vertAlign w:val="subscript"/>
              </w:rPr>
              <w:t>1</w:t>
            </w:r>
            <w:r>
              <w:rPr>
                <w:rFonts w:hint="default" w:ascii="Times New Roman" w:hAnsi="Times New Roman" w:cs="Times New Roman"/>
                <w:color w:val="auto"/>
              </w:rPr>
              <w:t>—某个声源与靠近围护结构处的距离；</w:t>
            </w:r>
          </w:p>
          <w:p w14:paraId="09D5F18F">
            <w:pPr>
              <w:keepNext w:val="0"/>
              <w:keepLines w:val="0"/>
              <w:pageBreakBefore w:val="0"/>
              <w:widowControl w:val="0"/>
              <w:kinsoku/>
              <w:wordWrap/>
              <w:overflowPunct/>
              <w:topLinePunct w:val="0"/>
              <w:autoSpaceDE/>
              <w:autoSpaceDN/>
              <w:bidi w:val="0"/>
              <w:adjustRightInd w:val="0"/>
              <w:snapToGrid w:val="0"/>
              <w:spacing w:line="360" w:lineRule="auto"/>
              <w:ind w:firstLine="1050" w:firstLineChars="500"/>
              <w:textAlignment w:val="auto"/>
              <w:rPr>
                <w:rFonts w:hint="default" w:ascii="Times New Roman" w:hAnsi="Times New Roman" w:cs="Times New Roman"/>
                <w:color w:val="auto"/>
              </w:rPr>
            </w:pPr>
            <w:r>
              <w:rPr>
                <w:rFonts w:hint="default" w:ascii="Times New Roman" w:hAnsi="Times New Roman" w:cs="Times New Roman"/>
                <w:color w:val="auto"/>
              </w:rPr>
              <w:t>R—房间常数；</w:t>
            </w:r>
          </w:p>
          <w:p w14:paraId="4BE3765B">
            <w:pPr>
              <w:keepNext w:val="0"/>
              <w:keepLines w:val="0"/>
              <w:pageBreakBefore w:val="0"/>
              <w:widowControl w:val="0"/>
              <w:kinsoku/>
              <w:wordWrap/>
              <w:overflowPunct/>
              <w:topLinePunct w:val="0"/>
              <w:autoSpaceDE/>
              <w:autoSpaceDN/>
              <w:bidi w:val="0"/>
              <w:adjustRightInd w:val="0"/>
              <w:snapToGrid w:val="0"/>
              <w:spacing w:line="360" w:lineRule="auto"/>
              <w:ind w:firstLine="1050" w:firstLineChars="500"/>
              <w:textAlignment w:val="auto"/>
              <w:rPr>
                <w:rFonts w:hint="default" w:ascii="Times New Roman" w:hAnsi="Times New Roman" w:cs="Times New Roman"/>
                <w:color w:val="auto"/>
              </w:rPr>
            </w:pPr>
            <w:r>
              <w:rPr>
                <w:rFonts w:hint="default" w:ascii="Times New Roman" w:hAnsi="Times New Roman" w:cs="Times New Roman"/>
                <w:color w:val="auto"/>
              </w:rPr>
              <w:t>Q—方向性因子；</w:t>
            </w:r>
          </w:p>
          <w:p w14:paraId="176FC87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2 \* GB3 </w:instrText>
            </w:r>
            <w:r>
              <w:rPr>
                <w:rFonts w:hint="default" w:ascii="Times New Roman" w:hAnsi="Times New Roman" w:cs="Times New Roman"/>
                <w:color w:val="auto"/>
              </w:rPr>
              <w:fldChar w:fldCharType="separate"/>
            </w:r>
            <w:r>
              <w:rPr>
                <w:rFonts w:hint="default" w:ascii="Times New Roman" w:hAnsi="Times New Roman" w:cs="Times New Roman"/>
                <w:color w:val="auto"/>
              </w:rPr>
              <w:t>②</w:t>
            </w:r>
            <w:r>
              <w:rPr>
                <w:rFonts w:hint="default" w:ascii="Times New Roman" w:hAnsi="Times New Roman" w:cs="Times New Roman"/>
                <w:color w:val="auto"/>
              </w:rPr>
              <w:fldChar w:fldCharType="end"/>
            </w:r>
            <w:r>
              <w:rPr>
                <w:rFonts w:hint="default" w:ascii="Times New Roman" w:hAnsi="Times New Roman" w:cs="Times New Roman"/>
                <w:color w:val="auto"/>
              </w:rPr>
              <w:t>计算出所有室内声源在靠近围护结构处产生的总倍频带声压级</w:t>
            </w:r>
          </w:p>
          <w:p w14:paraId="7E3547C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rPr>
            </w:pPr>
            <w:r>
              <w:rPr>
                <w:rFonts w:hint="default" w:ascii="Times New Roman" w:hAnsi="Times New Roman" w:cs="Times New Roman"/>
                <w:color w:val="auto"/>
                <w:position w:val="-30"/>
              </w:rPr>
              <w:object>
                <v:shape id="_x0000_i1030" o:spt="75" type="#_x0000_t75" style="height:36.35pt;width:136.8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p>
          <w:p w14:paraId="37F053E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3 \* GB3 </w:instrText>
            </w:r>
            <w:r>
              <w:rPr>
                <w:rFonts w:hint="default" w:ascii="Times New Roman" w:hAnsi="Times New Roman" w:cs="Times New Roman"/>
                <w:color w:val="auto"/>
              </w:rPr>
              <w:fldChar w:fldCharType="separate"/>
            </w:r>
            <w:r>
              <w:rPr>
                <w:rFonts w:hint="default" w:ascii="Times New Roman" w:hAnsi="Times New Roman" w:cs="Times New Roman"/>
                <w:color w:val="auto"/>
              </w:rPr>
              <w:t>③</w:t>
            </w:r>
            <w:r>
              <w:rPr>
                <w:rFonts w:hint="default" w:ascii="Times New Roman" w:hAnsi="Times New Roman" w:cs="Times New Roman"/>
                <w:color w:val="auto"/>
              </w:rPr>
              <w:fldChar w:fldCharType="end"/>
            </w:r>
            <w:r>
              <w:rPr>
                <w:rFonts w:hint="default" w:ascii="Times New Roman" w:hAnsi="Times New Roman" w:cs="Times New Roman"/>
                <w:color w:val="auto"/>
              </w:rPr>
              <w:t>计算出室外靠近围护结构处的声压级</w:t>
            </w:r>
          </w:p>
          <w:p w14:paraId="1883ACA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rPr>
            </w:pPr>
            <w:r>
              <w:rPr>
                <w:rFonts w:hint="default" w:ascii="Times New Roman" w:hAnsi="Times New Roman" w:cs="Times New Roman"/>
                <w:color w:val="auto"/>
                <w:position w:val="-14"/>
              </w:rPr>
              <w:object>
                <v:shape id="_x0000_i1031" o:spt="75" type="#_x0000_t75" style="height:22.1pt;width:144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1" r:id="rId19">
                  <o:LockedField>false</o:LockedField>
                </o:OLEObject>
              </w:object>
            </w:r>
          </w:p>
          <w:p w14:paraId="222E348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vertAlign w:val="subscript"/>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4 \* GB3 </w:instrText>
            </w:r>
            <w:r>
              <w:rPr>
                <w:rFonts w:hint="default" w:ascii="Times New Roman" w:hAnsi="Times New Roman" w:cs="Times New Roman"/>
                <w:color w:val="auto"/>
              </w:rPr>
              <w:fldChar w:fldCharType="separate"/>
            </w:r>
            <w:r>
              <w:rPr>
                <w:rFonts w:hint="default" w:ascii="Times New Roman" w:hAnsi="Times New Roman" w:cs="Times New Roman"/>
                <w:color w:val="auto"/>
              </w:rPr>
              <w:t>④</w:t>
            </w:r>
            <w:r>
              <w:rPr>
                <w:rFonts w:hint="default" w:ascii="Times New Roman" w:hAnsi="Times New Roman" w:cs="Times New Roman"/>
                <w:color w:val="auto"/>
              </w:rPr>
              <w:fldChar w:fldCharType="end"/>
            </w:r>
            <w:r>
              <w:rPr>
                <w:rFonts w:hint="default" w:ascii="Times New Roman" w:hAnsi="Times New Roman" w:cs="Times New Roman"/>
                <w:color w:val="auto"/>
              </w:rPr>
              <w:t>将室外声级L</w:t>
            </w:r>
            <w:r>
              <w:rPr>
                <w:rFonts w:hint="default" w:ascii="Times New Roman" w:hAnsi="Times New Roman" w:cs="Times New Roman"/>
                <w:color w:val="auto"/>
                <w:vertAlign w:val="subscript"/>
              </w:rPr>
              <w:t>oct</w:t>
            </w:r>
            <w:r>
              <w:rPr>
                <w:rFonts w:hint="default" w:ascii="Times New Roman" w:hAnsi="Times New Roman" w:cs="Times New Roman"/>
                <w:color w:val="auto"/>
                <w:vertAlign w:val="subscript"/>
                <w:lang w:eastAsia="zh-CN"/>
              </w:rPr>
              <w:t>，</w:t>
            </w:r>
            <w:r>
              <w:rPr>
                <w:rFonts w:hint="default" w:ascii="Times New Roman" w:hAnsi="Times New Roman" w:cs="Times New Roman"/>
                <w:color w:val="auto"/>
                <w:vertAlign w:val="subscript"/>
              </w:rPr>
              <w:t>2</w:t>
            </w:r>
            <w:r>
              <w:rPr>
                <w:rFonts w:hint="default" w:ascii="Times New Roman" w:hAnsi="Times New Roman" w:cs="Times New Roman"/>
                <w:color w:val="auto"/>
                <w:lang w:eastAsia="zh-CN"/>
              </w:rPr>
              <w:t>（</w:t>
            </w:r>
            <w:r>
              <w:rPr>
                <w:rFonts w:hint="default" w:ascii="Times New Roman" w:hAnsi="Times New Roman" w:cs="Times New Roman"/>
                <w:color w:val="auto"/>
              </w:rPr>
              <w:t>T</w:t>
            </w:r>
            <w:r>
              <w:rPr>
                <w:rFonts w:hint="default" w:ascii="Times New Roman" w:hAnsi="Times New Roman" w:cs="Times New Roman"/>
                <w:color w:val="auto"/>
                <w:lang w:eastAsia="zh-CN"/>
              </w:rPr>
              <w:t>）</w:t>
            </w:r>
            <w:r>
              <w:rPr>
                <w:rFonts w:hint="default" w:ascii="Times New Roman" w:hAnsi="Times New Roman" w:cs="Times New Roman"/>
                <w:color w:val="auto"/>
              </w:rPr>
              <w:t>和透声面积换算成等效的室外声源，计算出等效声源第i个倍频带的声功率级L</w:t>
            </w:r>
            <w:r>
              <w:rPr>
                <w:rFonts w:hint="default" w:ascii="Times New Roman" w:hAnsi="Times New Roman" w:cs="Times New Roman"/>
                <w:color w:val="auto"/>
                <w:vertAlign w:val="subscript"/>
              </w:rPr>
              <w:t>woct</w:t>
            </w:r>
          </w:p>
          <w:p w14:paraId="35F2C16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rPr>
            </w:pPr>
            <w:r>
              <w:rPr>
                <w:rFonts w:hint="default" w:ascii="Times New Roman" w:hAnsi="Times New Roman" w:cs="Times New Roman"/>
                <w:color w:val="auto"/>
                <w:position w:val="-14"/>
              </w:rPr>
              <w:object>
                <v:shape id="_x0000_i1032" o:spt="75" type="#_x0000_t75" style="height:22.1pt;width:115.45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2" r:id="rId21">
                  <o:LockedField>false</o:LockedField>
                </o:OLEObject>
              </w:object>
            </w:r>
          </w:p>
          <w:p w14:paraId="0209796B">
            <w:pPr>
              <w:keepNext w:val="0"/>
              <w:keepLines w:val="0"/>
              <w:pageBreakBefore w:val="0"/>
              <w:widowControl w:val="0"/>
              <w:kinsoku/>
              <w:wordWrap/>
              <w:overflowPunct/>
              <w:topLinePunct w:val="0"/>
              <w:autoSpaceDE/>
              <w:autoSpaceDN/>
              <w:bidi w:val="0"/>
              <w:adjustRightInd w:val="0"/>
              <w:snapToGrid w:val="0"/>
              <w:spacing w:line="360" w:lineRule="auto"/>
              <w:ind w:firstLine="525" w:firstLineChars="250"/>
              <w:textAlignment w:val="auto"/>
              <w:rPr>
                <w:rFonts w:hint="default" w:ascii="Times New Roman" w:hAnsi="Times New Roman" w:cs="Times New Roman"/>
                <w:color w:val="auto"/>
              </w:rPr>
            </w:pPr>
            <w:r>
              <w:rPr>
                <w:rFonts w:hint="default" w:ascii="Times New Roman" w:hAnsi="Times New Roman" w:cs="Times New Roman"/>
                <w:color w:val="auto"/>
              </w:rPr>
              <w:t>式中：S—透声面积，m</w:t>
            </w:r>
            <w:r>
              <w:rPr>
                <w:rFonts w:hint="default" w:ascii="Times New Roman" w:hAnsi="Times New Roman" w:cs="Times New Roman"/>
                <w:color w:val="auto"/>
                <w:vertAlign w:val="superscript"/>
              </w:rPr>
              <w:t>2</w:t>
            </w:r>
            <w:r>
              <w:rPr>
                <w:rFonts w:hint="default" w:ascii="Times New Roman" w:hAnsi="Times New Roman" w:cs="Times New Roman"/>
                <w:color w:val="auto"/>
              </w:rPr>
              <w:t>。</w:t>
            </w:r>
          </w:p>
          <w:p w14:paraId="20E52FB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5 \* GB3 </w:instrText>
            </w:r>
            <w:r>
              <w:rPr>
                <w:rFonts w:hint="default" w:ascii="Times New Roman" w:hAnsi="Times New Roman" w:cs="Times New Roman"/>
                <w:color w:val="auto"/>
              </w:rPr>
              <w:fldChar w:fldCharType="separate"/>
            </w:r>
            <w:r>
              <w:rPr>
                <w:rFonts w:hint="default" w:ascii="Times New Roman" w:hAnsi="Times New Roman" w:cs="Times New Roman"/>
                <w:color w:val="auto"/>
              </w:rPr>
              <w:t>⑤</w:t>
            </w:r>
            <w:r>
              <w:rPr>
                <w:rFonts w:hint="default" w:ascii="Times New Roman" w:hAnsi="Times New Roman" w:cs="Times New Roman"/>
                <w:color w:val="auto"/>
              </w:rPr>
              <w:fldChar w:fldCharType="end"/>
            </w:r>
            <w:r>
              <w:rPr>
                <w:rFonts w:hint="default" w:ascii="Times New Roman" w:hAnsi="Times New Roman" w:cs="Times New Roman"/>
                <w:color w:val="auto"/>
              </w:rPr>
              <w:t>等效室外声源的位置为围护结构的位置，其倍频带声功率级为L</w:t>
            </w:r>
            <w:r>
              <w:rPr>
                <w:rFonts w:hint="default" w:ascii="Times New Roman" w:hAnsi="Times New Roman" w:cs="Times New Roman"/>
                <w:color w:val="auto"/>
                <w:vertAlign w:val="subscript"/>
              </w:rPr>
              <w:t>woct</w:t>
            </w:r>
            <w:r>
              <w:rPr>
                <w:rFonts w:hint="default" w:ascii="Times New Roman" w:hAnsi="Times New Roman" w:cs="Times New Roman"/>
                <w:color w:val="auto"/>
              </w:rPr>
              <w:t>，由此按室外声源方法计算等效室外声源在预测点产生的声级。</w:t>
            </w:r>
          </w:p>
          <w:p w14:paraId="31517B0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（3）总声级的计算</w:t>
            </w:r>
          </w:p>
          <w:p w14:paraId="016976A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设第i个室外声源在预测点产生的A声级为</w:t>
            </w:r>
            <w:r>
              <w:rPr>
                <w:rFonts w:hint="default" w:ascii="Times New Roman" w:hAnsi="Times New Roman" w:cs="Times New Roman"/>
                <w:i/>
                <w:color w:val="auto"/>
              </w:rPr>
              <w:t>L</w:t>
            </w:r>
            <w:r>
              <w:rPr>
                <w:rFonts w:hint="default" w:ascii="Times New Roman" w:hAnsi="Times New Roman" w:cs="Times New Roman"/>
                <w:i/>
                <w:color w:val="auto"/>
                <w:vertAlign w:val="subscript"/>
              </w:rPr>
              <w:t>Ain</w:t>
            </w:r>
            <w:r>
              <w:rPr>
                <w:rFonts w:hint="default" w:ascii="Times New Roman" w:hAnsi="Times New Roman" w:cs="Times New Roman"/>
                <w:i/>
                <w:color w:val="auto"/>
                <w:vertAlign w:val="subscript"/>
                <w:lang w:eastAsia="zh-CN"/>
              </w:rPr>
              <w:t>，</w:t>
            </w:r>
            <w:r>
              <w:rPr>
                <w:rFonts w:hint="default" w:ascii="Times New Roman" w:hAnsi="Times New Roman" w:cs="Times New Roman"/>
                <w:i/>
                <w:color w:val="auto"/>
                <w:vertAlign w:val="subscript"/>
              </w:rPr>
              <w:t>i</w:t>
            </w:r>
            <w:r>
              <w:rPr>
                <w:rFonts w:hint="default" w:ascii="Times New Roman" w:hAnsi="Times New Roman" w:cs="Times New Roman"/>
                <w:color w:val="auto"/>
              </w:rPr>
              <w:t>，在T时间内该声源工作时间为</w:t>
            </w:r>
            <w:r>
              <w:rPr>
                <w:rFonts w:hint="default" w:ascii="Times New Roman" w:hAnsi="Times New Roman" w:cs="Times New Roman"/>
                <w:i/>
                <w:color w:val="auto"/>
              </w:rPr>
              <w:t>t</w:t>
            </w:r>
            <w:r>
              <w:rPr>
                <w:rFonts w:hint="default" w:ascii="Times New Roman" w:hAnsi="Times New Roman" w:cs="Times New Roman"/>
                <w:i/>
                <w:color w:val="auto"/>
                <w:vertAlign w:val="subscript"/>
              </w:rPr>
              <w:t>in</w:t>
            </w:r>
            <w:r>
              <w:rPr>
                <w:rFonts w:hint="default" w:ascii="Times New Roman" w:hAnsi="Times New Roman" w:cs="Times New Roman"/>
                <w:i/>
                <w:color w:val="auto"/>
                <w:vertAlign w:val="subscript"/>
                <w:lang w:eastAsia="zh-CN"/>
              </w:rPr>
              <w:t>，</w:t>
            </w:r>
            <w:r>
              <w:rPr>
                <w:rFonts w:hint="default" w:ascii="Times New Roman" w:hAnsi="Times New Roman" w:cs="Times New Roman"/>
                <w:i/>
                <w:color w:val="auto"/>
                <w:vertAlign w:val="subscript"/>
              </w:rPr>
              <w:t>i</w:t>
            </w:r>
            <w:r>
              <w:rPr>
                <w:rFonts w:hint="default" w:ascii="Times New Roman" w:hAnsi="Times New Roman" w:cs="Times New Roman"/>
                <w:color w:val="auto"/>
              </w:rPr>
              <w:t>；第j个等效室外声源在预测点产生的A声级为</w:t>
            </w:r>
            <w:r>
              <w:rPr>
                <w:rFonts w:hint="default" w:ascii="Times New Roman" w:hAnsi="Times New Roman" w:cs="Times New Roman"/>
                <w:i/>
                <w:color w:val="auto"/>
              </w:rPr>
              <w:t>L</w:t>
            </w:r>
            <w:r>
              <w:rPr>
                <w:rFonts w:hint="default" w:ascii="Times New Roman" w:hAnsi="Times New Roman" w:cs="Times New Roman"/>
                <w:i/>
                <w:color w:val="auto"/>
                <w:vertAlign w:val="subscript"/>
              </w:rPr>
              <w:t>Aout</w:t>
            </w:r>
            <w:r>
              <w:rPr>
                <w:rFonts w:hint="default" w:ascii="Times New Roman" w:hAnsi="Times New Roman" w:cs="Times New Roman"/>
                <w:i/>
                <w:color w:val="auto"/>
                <w:vertAlign w:val="subscript"/>
                <w:lang w:eastAsia="zh-CN"/>
              </w:rPr>
              <w:t>，</w:t>
            </w:r>
            <w:r>
              <w:rPr>
                <w:rFonts w:hint="default" w:ascii="Times New Roman" w:hAnsi="Times New Roman" w:cs="Times New Roman"/>
                <w:i/>
                <w:color w:val="auto"/>
                <w:vertAlign w:val="subscript"/>
              </w:rPr>
              <w:t>j</w:t>
            </w:r>
            <w:r>
              <w:rPr>
                <w:rFonts w:hint="default" w:ascii="Times New Roman" w:hAnsi="Times New Roman" w:cs="Times New Roman"/>
                <w:color w:val="auto"/>
              </w:rPr>
              <w:t>，在T时间内该声源工作时间为</w:t>
            </w:r>
            <w:r>
              <w:rPr>
                <w:rFonts w:hint="default" w:ascii="Times New Roman" w:hAnsi="Times New Roman" w:cs="Times New Roman"/>
                <w:i/>
                <w:color w:val="auto"/>
              </w:rPr>
              <w:t>t</w:t>
            </w:r>
            <w:r>
              <w:rPr>
                <w:rFonts w:hint="default" w:ascii="Times New Roman" w:hAnsi="Times New Roman" w:cs="Times New Roman"/>
                <w:i/>
                <w:color w:val="auto"/>
                <w:vertAlign w:val="subscript"/>
              </w:rPr>
              <w:t>out</w:t>
            </w:r>
            <w:r>
              <w:rPr>
                <w:rFonts w:hint="default" w:ascii="Times New Roman" w:hAnsi="Times New Roman" w:cs="Times New Roman"/>
                <w:i/>
                <w:color w:val="auto"/>
                <w:vertAlign w:val="subscript"/>
                <w:lang w:eastAsia="zh-CN"/>
              </w:rPr>
              <w:t>，</w:t>
            </w:r>
            <w:r>
              <w:rPr>
                <w:rFonts w:hint="default" w:ascii="Times New Roman" w:hAnsi="Times New Roman" w:cs="Times New Roman"/>
                <w:i/>
                <w:color w:val="auto"/>
                <w:vertAlign w:val="subscript"/>
              </w:rPr>
              <w:t>j</w:t>
            </w:r>
            <w:r>
              <w:rPr>
                <w:rFonts w:hint="default" w:ascii="Times New Roman" w:hAnsi="Times New Roman" w:cs="Times New Roman"/>
                <w:color w:val="auto"/>
              </w:rPr>
              <w:t>，则预测点的总等效声级为：</w:t>
            </w:r>
          </w:p>
          <w:p w14:paraId="6933D6F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rPr>
            </w:pPr>
            <w:r>
              <w:rPr>
                <w:rFonts w:hint="default" w:ascii="Times New Roman" w:hAnsi="Times New Roman" w:cs="Times New Roman"/>
                <w:color w:val="auto"/>
                <w:position w:val="-32"/>
              </w:rPr>
              <w:object>
                <v:shape id="_x0000_i1033" o:spt="75" type="#_x0000_t75" style="height:36.35pt;width:252.25pt;" o:ole="t" filled="f" o:preferrelative="t" stroked="f" coordsize="21600,21600">
                  <v:path/>
                  <v:fill on="f" focussize="0,0"/>
                  <v:stroke on="f" joinstyle="miter"/>
                  <v:imagedata r:id="rId24" o:title=""/>
                  <o:lock v:ext="edit" aspectratio="t"/>
                  <w10:wrap type="none"/>
                  <w10:anchorlock/>
                </v:shape>
                <o:OLEObject Type="Embed" ProgID="Equation.3" ShapeID="_x0000_i1033" DrawAspect="Content" ObjectID="_1468075733" r:id="rId23">
                  <o:LockedField>false</o:LockedField>
                </o:OLEObject>
              </w:object>
            </w:r>
          </w:p>
          <w:p w14:paraId="65D2EAB2">
            <w:pPr>
              <w:keepNext w:val="0"/>
              <w:keepLines w:val="0"/>
              <w:pageBreakBefore w:val="0"/>
              <w:widowControl w:val="0"/>
              <w:kinsoku/>
              <w:wordWrap/>
              <w:overflowPunct/>
              <w:topLinePunct w:val="0"/>
              <w:autoSpaceDE/>
              <w:autoSpaceDN/>
              <w:bidi w:val="0"/>
              <w:adjustRightInd w:val="0"/>
              <w:snapToGrid w:val="0"/>
              <w:spacing w:line="360" w:lineRule="auto"/>
              <w:ind w:firstLine="525" w:firstLineChars="250"/>
              <w:textAlignment w:val="auto"/>
              <w:rPr>
                <w:rFonts w:hint="default" w:ascii="Times New Roman" w:hAnsi="Times New Roman" w:cs="Times New Roman"/>
                <w:color w:val="auto"/>
              </w:rPr>
            </w:pPr>
            <w:r>
              <w:rPr>
                <w:rFonts w:hint="default" w:ascii="Times New Roman" w:hAnsi="Times New Roman" w:cs="Times New Roman"/>
                <w:color w:val="auto"/>
              </w:rPr>
              <w:t>式中：</w:t>
            </w:r>
            <w:r>
              <w:rPr>
                <w:rFonts w:hint="default" w:ascii="Times New Roman" w:hAnsi="Times New Roman" w:cs="Times New Roman"/>
                <w:iCs/>
                <w:color w:val="auto"/>
              </w:rPr>
              <w:t>T</w:t>
            </w:r>
            <w:r>
              <w:rPr>
                <w:rFonts w:hint="default" w:ascii="Times New Roman" w:hAnsi="Times New Roman" w:cs="Times New Roman"/>
                <w:color w:val="auto"/>
              </w:rPr>
              <w:t>—计算等效声级的时间；</w:t>
            </w:r>
          </w:p>
          <w:p w14:paraId="06056343">
            <w:pPr>
              <w:keepNext w:val="0"/>
              <w:keepLines w:val="0"/>
              <w:pageBreakBefore w:val="0"/>
              <w:widowControl w:val="0"/>
              <w:kinsoku/>
              <w:wordWrap/>
              <w:overflowPunct/>
              <w:topLinePunct w:val="0"/>
              <w:autoSpaceDE/>
              <w:autoSpaceDN/>
              <w:bidi w:val="0"/>
              <w:adjustRightInd w:val="0"/>
              <w:snapToGrid w:val="0"/>
              <w:spacing w:line="360" w:lineRule="auto"/>
              <w:ind w:firstLine="1155" w:firstLineChars="550"/>
              <w:textAlignment w:val="auto"/>
              <w:rPr>
                <w:rFonts w:hint="default" w:ascii="Times New Roman" w:hAnsi="Times New Roman" w:cs="Times New Roman"/>
                <w:color w:val="auto"/>
              </w:rPr>
            </w:pPr>
            <w:r>
              <w:rPr>
                <w:rFonts w:hint="default" w:ascii="Times New Roman" w:hAnsi="Times New Roman" w:cs="Times New Roman"/>
                <w:iCs/>
                <w:color w:val="auto"/>
              </w:rPr>
              <w:t>N</w:t>
            </w:r>
            <w:r>
              <w:rPr>
                <w:rFonts w:hint="default" w:ascii="Times New Roman" w:hAnsi="Times New Roman" w:cs="Times New Roman"/>
                <w:color w:val="auto"/>
              </w:rPr>
              <w:t>—室外声源个数；</w:t>
            </w:r>
          </w:p>
          <w:p w14:paraId="3B6AC4A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bCs/>
                <w:color w:val="auto"/>
                <w:highlight w:val="none"/>
              </w:rPr>
            </w:pPr>
            <w:r>
              <w:rPr>
                <w:rFonts w:hint="default" w:ascii="Times New Roman" w:hAnsi="Times New Roman" w:cs="Times New Roman"/>
                <w:iCs/>
                <w:color w:val="auto"/>
              </w:rPr>
              <w:t>M</w:t>
            </w:r>
            <w:r>
              <w:rPr>
                <w:rFonts w:hint="default" w:ascii="Times New Roman" w:hAnsi="Times New Roman" w:cs="Times New Roman"/>
                <w:color w:val="auto"/>
              </w:rPr>
              <w:t>—等效室外声源个数</w:t>
            </w:r>
            <w:r>
              <w:rPr>
                <w:rFonts w:hint="default" w:ascii="Times New Roman" w:hAnsi="Times New Roman" w:cs="Times New Roman"/>
                <w:bCs/>
                <w:color w:val="auto"/>
              </w:rPr>
              <w:t>。</w:t>
            </w:r>
          </w:p>
          <w:p w14:paraId="4F4C4A9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噪声影响评价选取4个厂界点位作为</w:t>
            </w:r>
            <w:r>
              <w:rPr>
                <w:rFonts w:hint="default" w:ascii="Times New Roman" w:hAnsi="Times New Roman" w:cs="Times New Roman"/>
                <w:color w:val="auto"/>
                <w:highlight w:val="none"/>
                <w:lang w:eastAsia="zh-CN"/>
              </w:rPr>
              <w:t>此次</w:t>
            </w:r>
            <w:r>
              <w:rPr>
                <w:rFonts w:hint="default" w:ascii="Times New Roman" w:hAnsi="Times New Roman" w:cs="Times New Roman"/>
                <w:color w:val="auto"/>
                <w:highlight w:val="none"/>
              </w:rPr>
              <w:t>工程对环境的影响预测点，预测、评价工程噪声对环境的影响。利用以上模式和参数计算得出项目建成后，主要噪声设备对厂界的噪声</w:t>
            </w:r>
            <w:r>
              <w:rPr>
                <w:rFonts w:hint="default" w:ascii="Times New Roman" w:hAnsi="Times New Roman" w:cs="Times New Roman"/>
                <w:color w:val="auto"/>
                <w:highlight w:val="none"/>
                <w:lang w:eastAsia="zh-CN"/>
              </w:rPr>
              <w:t>贡献</w:t>
            </w:r>
            <w:r>
              <w:rPr>
                <w:rFonts w:hint="default" w:ascii="Times New Roman" w:hAnsi="Times New Roman" w:cs="Times New Roman"/>
                <w:color w:val="auto"/>
                <w:highlight w:val="none"/>
              </w:rPr>
              <w:t>值</w:t>
            </w:r>
            <w:r>
              <w:rPr>
                <w:rFonts w:hint="eastAsia" w:cs="Times New Roman"/>
                <w:color w:val="auto"/>
                <w:highlight w:val="none"/>
                <w:lang w:eastAsia="zh-CN"/>
              </w:rPr>
              <w:t>，</w:t>
            </w:r>
            <w:r>
              <w:rPr>
                <w:rFonts w:hint="eastAsia" w:cs="Times New Roman"/>
                <w:color w:val="auto"/>
                <w:highlight w:val="none"/>
                <w:lang w:val="en-US" w:eastAsia="zh-CN"/>
              </w:rPr>
              <w:t>本项目新增设备所在车间东、南、西、北到厂界的距离分别为42m、2m、10m、0m</w:t>
            </w:r>
            <w:r>
              <w:rPr>
                <w:rFonts w:hint="default" w:ascii="Times New Roman" w:hAnsi="Times New Roman" w:cs="Times New Roman"/>
                <w:color w:val="auto"/>
                <w:highlight w:val="none"/>
              </w:rPr>
              <w:t>。结果见下表。</w:t>
            </w:r>
          </w:p>
          <w:p w14:paraId="482071D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黑体" w:cs="Times New Roman"/>
                <w:color w:val="auto"/>
                <w:kern w:val="2"/>
                <w:sz w:val="21"/>
                <w:szCs w:val="21"/>
                <w:highlight w:val="none"/>
                <w:lang w:val="en-US" w:eastAsia="zh-CN" w:bidi="ar-SA"/>
              </w:rPr>
            </w:pPr>
            <w:r>
              <w:rPr>
                <w:rFonts w:hint="default" w:ascii="Times New Roman" w:hAnsi="Times New Roman" w:eastAsia="黑体" w:cs="Times New Roman"/>
                <w:color w:val="auto"/>
                <w:kern w:val="2"/>
                <w:sz w:val="21"/>
                <w:szCs w:val="21"/>
                <w:highlight w:val="none"/>
                <w:lang w:val="en-US" w:eastAsia="zh-CN" w:bidi="ar-SA"/>
              </w:rPr>
              <w:t>表4-1</w:t>
            </w:r>
            <w:r>
              <w:rPr>
                <w:rFonts w:hint="eastAsia" w:eastAsia="黑体" w:cs="Times New Roman"/>
                <w:color w:val="auto"/>
                <w:kern w:val="2"/>
                <w:sz w:val="21"/>
                <w:szCs w:val="21"/>
                <w:highlight w:val="none"/>
                <w:lang w:val="en-US" w:eastAsia="zh-CN" w:bidi="ar-SA"/>
              </w:rPr>
              <w:t>0</w:t>
            </w:r>
            <w:r>
              <w:rPr>
                <w:rFonts w:hint="default" w:ascii="Times New Roman" w:hAnsi="Times New Roman" w:eastAsia="黑体" w:cs="Times New Roman"/>
                <w:color w:val="auto"/>
                <w:kern w:val="2"/>
                <w:sz w:val="21"/>
                <w:szCs w:val="21"/>
                <w:highlight w:val="none"/>
                <w:lang w:val="en-US" w:eastAsia="zh-CN" w:bidi="ar-SA"/>
              </w:rPr>
              <w:t>项目建成后各厂界的声级预测值一览表  单位：dB（A）</w:t>
            </w:r>
          </w:p>
          <w:tbl>
            <w:tblPr>
              <w:tblStyle w:val="8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5"/>
              <w:gridCol w:w="2083"/>
              <w:gridCol w:w="1566"/>
              <w:gridCol w:w="2041"/>
            </w:tblGrid>
            <w:tr w14:paraId="0247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3" w:type="pct"/>
                  <w:vMerge w:val="restart"/>
                  <w:noWrap w:val="0"/>
                  <w:vAlign w:val="center"/>
                </w:tcPr>
                <w:p w14:paraId="766BEDF6">
                  <w:pPr>
                    <w:widowControl/>
                    <w:spacing w:line="300" w:lineRule="exact"/>
                    <w:jc w:val="center"/>
                    <w:rPr>
                      <w:rFonts w:hint="default" w:ascii="Times New Roman" w:hAnsi="Times New Roman" w:cs="Times New Roman"/>
                      <w:b/>
                      <w:color w:val="auto"/>
                      <w:kern w:val="0"/>
                      <w:sz w:val="18"/>
                      <w:szCs w:val="18"/>
                      <w:highlight w:val="none"/>
                    </w:rPr>
                  </w:pPr>
                  <w:r>
                    <w:rPr>
                      <w:rFonts w:hint="default" w:ascii="Times New Roman" w:hAnsi="Times New Roman" w:cs="Times New Roman"/>
                      <w:b/>
                      <w:color w:val="auto"/>
                      <w:kern w:val="0"/>
                      <w:sz w:val="18"/>
                      <w:szCs w:val="18"/>
                      <w:highlight w:val="none"/>
                    </w:rPr>
                    <w:t>预测点</w:t>
                  </w:r>
                </w:p>
              </w:tc>
              <w:tc>
                <w:tcPr>
                  <w:tcW w:w="3396" w:type="pct"/>
                  <w:gridSpan w:val="3"/>
                  <w:noWrap w:val="0"/>
                  <w:vAlign w:val="center"/>
                </w:tcPr>
                <w:p w14:paraId="340913E8">
                  <w:pPr>
                    <w:widowControl/>
                    <w:spacing w:line="300" w:lineRule="exact"/>
                    <w:jc w:val="center"/>
                    <w:rPr>
                      <w:rFonts w:hint="default" w:ascii="Times New Roman" w:hAnsi="Times New Roman" w:cs="Times New Roman"/>
                      <w:b/>
                      <w:color w:val="auto"/>
                      <w:kern w:val="0"/>
                      <w:sz w:val="18"/>
                      <w:szCs w:val="18"/>
                      <w:highlight w:val="none"/>
                    </w:rPr>
                  </w:pPr>
                  <w:r>
                    <w:rPr>
                      <w:rFonts w:hint="default" w:ascii="Times New Roman" w:hAnsi="Times New Roman" w:cs="Times New Roman"/>
                      <w:b/>
                      <w:color w:val="auto"/>
                      <w:kern w:val="0"/>
                      <w:sz w:val="18"/>
                      <w:szCs w:val="18"/>
                      <w:highlight w:val="none"/>
                    </w:rPr>
                    <w:t>昼间</w:t>
                  </w:r>
                </w:p>
              </w:tc>
            </w:tr>
            <w:tr w14:paraId="4EC8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3" w:type="pct"/>
                  <w:vMerge w:val="continue"/>
                  <w:noWrap w:val="0"/>
                  <w:vAlign w:val="center"/>
                </w:tcPr>
                <w:p w14:paraId="58D2505D">
                  <w:pPr>
                    <w:widowControl/>
                    <w:spacing w:line="300" w:lineRule="exact"/>
                    <w:jc w:val="center"/>
                    <w:rPr>
                      <w:rFonts w:hint="default" w:ascii="Times New Roman" w:hAnsi="Times New Roman" w:cs="Times New Roman"/>
                      <w:b/>
                      <w:color w:val="auto"/>
                      <w:kern w:val="0"/>
                      <w:sz w:val="18"/>
                      <w:szCs w:val="18"/>
                      <w:highlight w:val="none"/>
                    </w:rPr>
                  </w:pPr>
                </w:p>
              </w:tc>
              <w:tc>
                <w:tcPr>
                  <w:tcW w:w="1243" w:type="pct"/>
                  <w:noWrap w:val="0"/>
                  <w:vAlign w:val="center"/>
                </w:tcPr>
                <w:p w14:paraId="60DC1573">
                  <w:pPr>
                    <w:widowControl/>
                    <w:spacing w:line="300" w:lineRule="exact"/>
                    <w:jc w:val="center"/>
                    <w:rPr>
                      <w:rFonts w:hint="default" w:ascii="Times New Roman" w:hAnsi="Times New Roman" w:cs="Times New Roman"/>
                      <w:b/>
                      <w:color w:val="auto"/>
                      <w:kern w:val="0"/>
                      <w:sz w:val="18"/>
                      <w:szCs w:val="18"/>
                      <w:highlight w:val="none"/>
                    </w:rPr>
                  </w:pPr>
                  <w:r>
                    <w:rPr>
                      <w:rFonts w:hint="default" w:ascii="Times New Roman" w:hAnsi="Times New Roman" w:cs="Times New Roman"/>
                      <w:b/>
                      <w:color w:val="auto"/>
                      <w:kern w:val="0"/>
                      <w:sz w:val="18"/>
                      <w:szCs w:val="18"/>
                      <w:highlight w:val="none"/>
                    </w:rPr>
                    <w:t>贡献值</w:t>
                  </w:r>
                </w:p>
              </w:tc>
              <w:tc>
                <w:tcPr>
                  <w:tcW w:w="935" w:type="pct"/>
                  <w:noWrap w:val="0"/>
                  <w:vAlign w:val="center"/>
                </w:tcPr>
                <w:p w14:paraId="531B9045">
                  <w:pPr>
                    <w:widowControl/>
                    <w:spacing w:line="300" w:lineRule="exact"/>
                    <w:jc w:val="center"/>
                    <w:rPr>
                      <w:rFonts w:hint="default" w:ascii="Times New Roman" w:hAnsi="Times New Roman" w:cs="Times New Roman"/>
                      <w:b/>
                      <w:color w:val="auto"/>
                      <w:kern w:val="0"/>
                      <w:sz w:val="18"/>
                      <w:szCs w:val="18"/>
                      <w:highlight w:val="none"/>
                    </w:rPr>
                  </w:pPr>
                  <w:r>
                    <w:rPr>
                      <w:rFonts w:hint="default" w:ascii="Times New Roman" w:hAnsi="Times New Roman" w:cs="Times New Roman"/>
                      <w:b/>
                      <w:color w:val="auto"/>
                      <w:kern w:val="0"/>
                      <w:sz w:val="18"/>
                      <w:szCs w:val="18"/>
                      <w:highlight w:val="none"/>
                    </w:rPr>
                    <w:t>背景值</w:t>
                  </w:r>
                </w:p>
              </w:tc>
              <w:tc>
                <w:tcPr>
                  <w:tcW w:w="1217" w:type="pct"/>
                  <w:noWrap w:val="0"/>
                  <w:vAlign w:val="center"/>
                </w:tcPr>
                <w:p w14:paraId="157AE851">
                  <w:pPr>
                    <w:widowControl/>
                    <w:spacing w:line="300" w:lineRule="exact"/>
                    <w:jc w:val="center"/>
                    <w:rPr>
                      <w:rFonts w:hint="default" w:ascii="Times New Roman" w:hAnsi="Times New Roman" w:cs="Times New Roman"/>
                      <w:b/>
                      <w:color w:val="auto"/>
                      <w:kern w:val="0"/>
                      <w:sz w:val="18"/>
                      <w:szCs w:val="18"/>
                      <w:highlight w:val="none"/>
                    </w:rPr>
                  </w:pPr>
                  <w:r>
                    <w:rPr>
                      <w:rFonts w:hint="eastAsia" w:cs="Times New Roman"/>
                      <w:b/>
                      <w:color w:val="auto"/>
                      <w:kern w:val="0"/>
                      <w:sz w:val="18"/>
                      <w:szCs w:val="18"/>
                      <w:highlight w:val="none"/>
                      <w:lang w:val="en-US" w:eastAsia="zh-CN"/>
                    </w:rPr>
                    <w:t>预测</w:t>
                  </w:r>
                  <w:r>
                    <w:rPr>
                      <w:rFonts w:hint="default" w:ascii="Times New Roman" w:hAnsi="Times New Roman" w:cs="Times New Roman"/>
                      <w:b/>
                      <w:color w:val="auto"/>
                      <w:kern w:val="0"/>
                      <w:sz w:val="18"/>
                      <w:szCs w:val="18"/>
                      <w:highlight w:val="none"/>
                    </w:rPr>
                    <w:t>值</w:t>
                  </w:r>
                </w:p>
              </w:tc>
            </w:tr>
            <w:tr w14:paraId="0732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3" w:type="pct"/>
                  <w:noWrap w:val="0"/>
                  <w:vAlign w:val="center"/>
                </w:tcPr>
                <w:p w14:paraId="4785F542">
                  <w:pPr>
                    <w:widowControl/>
                    <w:spacing w:line="30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sz w:val="18"/>
                      <w:szCs w:val="18"/>
                      <w:highlight w:val="none"/>
                    </w:rPr>
                    <w:t>东厂界</w:t>
                  </w:r>
                </w:p>
              </w:tc>
              <w:tc>
                <w:tcPr>
                  <w:tcW w:w="2083" w:type="dxa"/>
                  <w:noWrap w:val="0"/>
                  <w:vAlign w:val="center"/>
                </w:tcPr>
                <w:p w14:paraId="69C860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27.3</w:t>
                  </w:r>
                </w:p>
              </w:tc>
              <w:tc>
                <w:tcPr>
                  <w:tcW w:w="935" w:type="pct"/>
                  <w:noWrap w:val="0"/>
                  <w:vAlign w:val="center"/>
                </w:tcPr>
                <w:p w14:paraId="57EC37C2">
                  <w:pPr>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51.7</w:t>
                  </w:r>
                </w:p>
              </w:tc>
              <w:tc>
                <w:tcPr>
                  <w:tcW w:w="1217" w:type="pct"/>
                  <w:noWrap w:val="0"/>
                  <w:vAlign w:val="center"/>
                </w:tcPr>
                <w:p w14:paraId="06AC951A">
                  <w:pPr>
                    <w:jc w:val="center"/>
                    <w:rPr>
                      <w:rFonts w:hint="default"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51.7</w:t>
                  </w:r>
                </w:p>
              </w:tc>
            </w:tr>
            <w:tr w14:paraId="6C48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3" w:type="pct"/>
                  <w:noWrap w:val="0"/>
                  <w:vAlign w:val="center"/>
                </w:tcPr>
                <w:p w14:paraId="6B2A2E6F">
                  <w:pPr>
                    <w:widowControl/>
                    <w:spacing w:line="30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sz w:val="18"/>
                      <w:szCs w:val="18"/>
                      <w:highlight w:val="none"/>
                    </w:rPr>
                    <w:t>南厂界</w:t>
                  </w:r>
                </w:p>
              </w:tc>
              <w:tc>
                <w:tcPr>
                  <w:tcW w:w="2083" w:type="dxa"/>
                  <w:noWrap w:val="0"/>
                  <w:vAlign w:val="center"/>
                </w:tcPr>
                <w:p w14:paraId="5FB887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32.8</w:t>
                  </w:r>
                </w:p>
              </w:tc>
              <w:tc>
                <w:tcPr>
                  <w:tcW w:w="935" w:type="pct"/>
                  <w:noWrap w:val="0"/>
                  <w:vAlign w:val="center"/>
                </w:tcPr>
                <w:p w14:paraId="4A4099F6">
                  <w:pPr>
                    <w:spacing w:line="360" w:lineRule="auto"/>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54.1</w:t>
                  </w:r>
                </w:p>
              </w:tc>
              <w:tc>
                <w:tcPr>
                  <w:tcW w:w="1217" w:type="pct"/>
                  <w:noWrap w:val="0"/>
                  <w:vAlign w:val="center"/>
                </w:tcPr>
                <w:p w14:paraId="6176C38D">
                  <w:pPr>
                    <w:jc w:val="center"/>
                    <w:rPr>
                      <w:rFonts w:hint="default"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54.1</w:t>
                  </w:r>
                </w:p>
              </w:tc>
            </w:tr>
            <w:tr w14:paraId="4CA6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3" w:type="pct"/>
                  <w:noWrap w:val="0"/>
                  <w:vAlign w:val="center"/>
                </w:tcPr>
                <w:p w14:paraId="3AC0B3D2">
                  <w:pPr>
                    <w:widowControl/>
                    <w:spacing w:line="30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sz w:val="18"/>
                      <w:szCs w:val="18"/>
                      <w:highlight w:val="none"/>
                    </w:rPr>
                    <w:t>西厂界</w:t>
                  </w:r>
                </w:p>
              </w:tc>
              <w:tc>
                <w:tcPr>
                  <w:tcW w:w="2083" w:type="dxa"/>
                  <w:noWrap w:val="0"/>
                  <w:vAlign w:val="center"/>
                </w:tcPr>
                <w:p w14:paraId="1D5DF1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36.9</w:t>
                  </w:r>
                </w:p>
              </w:tc>
              <w:tc>
                <w:tcPr>
                  <w:tcW w:w="935" w:type="pct"/>
                  <w:noWrap w:val="0"/>
                  <w:vAlign w:val="center"/>
                </w:tcPr>
                <w:p w14:paraId="2FF7779C">
                  <w:pPr>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56.3</w:t>
                  </w:r>
                </w:p>
              </w:tc>
              <w:tc>
                <w:tcPr>
                  <w:tcW w:w="1217" w:type="pct"/>
                  <w:noWrap w:val="0"/>
                  <w:vAlign w:val="center"/>
                </w:tcPr>
                <w:p w14:paraId="08EABBE0">
                  <w:pPr>
                    <w:jc w:val="center"/>
                    <w:rPr>
                      <w:rFonts w:hint="default"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56.4</w:t>
                  </w:r>
                </w:p>
              </w:tc>
            </w:tr>
            <w:tr w14:paraId="3E95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3" w:type="pct"/>
                  <w:noWrap w:val="0"/>
                  <w:vAlign w:val="center"/>
                </w:tcPr>
                <w:p w14:paraId="41828FD9">
                  <w:pPr>
                    <w:widowControl/>
                    <w:spacing w:line="30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sz w:val="18"/>
                      <w:szCs w:val="18"/>
                      <w:highlight w:val="none"/>
                    </w:rPr>
                    <w:t>北厂界</w:t>
                  </w:r>
                </w:p>
              </w:tc>
              <w:tc>
                <w:tcPr>
                  <w:tcW w:w="2083" w:type="dxa"/>
                  <w:noWrap w:val="0"/>
                  <w:vAlign w:val="center"/>
                </w:tcPr>
                <w:p w14:paraId="2ABC8F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38.4</w:t>
                  </w:r>
                </w:p>
              </w:tc>
              <w:tc>
                <w:tcPr>
                  <w:tcW w:w="935" w:type="pct"/>
                  <w:noWrap w:val="0"/>
                  <w:vAlign w:val="center"/>
                </w:tcPr>
                <w:p w14:paraId="5B468D4E">
                  <w:pPr>
                    <w:jc w:val="center"/>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56.7</w:t>
                  </w:r>
                </w:p>
              </w:tc>
              <w:tc>
                <w:tcPr>
                  <w:tcW w:w="1217" w:type="pct"/>
                  <w:noWrap w:val="0"/>
                  <w:vAlign w:val="center"/>
                </w:tcPr>
                <w:p w14:paraId="676A7FCC">
                  <w:pPr>
                    <w:jc w:val="center"/>
                    <w:rPr>
                      <w:rFonts w:hint="default"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56.8</w:t>
                  </w:r>
                </w:p>
              </w:tc>
            </w:tr>
            <w:tr w14:paraId="5DC8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3" w:type="pct"/>
                  <w:noWrap w:val="0"/>
                  <w:vAlign w:val="center"/>
                </w:tcPr>
                <w:p w14:paraId="08F7AADF">
                  <w:pPr>
                    <w:widowControl/>
                    <w:spacing w:line="30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标准值</w:t>
                  </w:r>
                </w:p>
              </w:tc>
              <w:tc>
                <w:tcPr>
                  <w:tcW w:w="3396" w:type="pct"/>
                  <w:gridSpan w:val="3"/>
                  <w:noWrap w:val="0"/>
                  <w:vAlign w:val="center"/>
                </w:tcPr>
                <w:p w14:paraId="48DA3914">
                  <w:pPr>
                    <w:widowControl/>
                    <w:spacing w:line="30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60</w:t>
                  </w:r>
                </w:p>
              </w:tc>
            </w:tr>
          </w:tbl>
          <w:p w14:paraId="0677E512">
            <w:pPr>
              <w:spacing w:line="360" w:lineRule="auto"/>
              <w:ind w:firstLine="420" w:firstLineChars="200"/>
              <w:rPr>
                <w:rFonts w:hint="default" w:ascii="Times New Roman" w:hAnsi="Times New Roman" w:cs="Times New Roman" w:eastAsiaTheme="minorEastAsia"/>
                <w:color w:val="auto"/>
                <w:szCs w:val="21"/>
                <w:highlight w:val="none"/>
              </w:rPr>
            </w:pPr>
            <w:r>
              <w:rPr>
                <w:rFonts w:hint="default" w:ascii="Times New Roman" w:hAnsi="Times New Roman" w:cs="Times New Roman"/>
                <w:color w:val="auto"/>
                <w:highlight w:val="none"/>
              </w:rPr>
              <w:t>由上表可知，</w:t>
            </w:r>
            <w:r>
              <w:rPr>
                <w:rFonts w:hint="default" w:ascii="Times New Roman" w:hAnsi="Times New Roman" w:cs="Times New Roman"/>
                <w:color w:val="auto"/>
                <w:highlight w:val="none"/>
                <w:lang w:eastAsia="zh-CN"/>
              </w:rPr>
              <w:t>本项目完成后，</w:t>
            </w:r>
            <w:r>
              <w:rPr>
                <w:rFonts w:hint="default" w:ascii="Times New Roman" w:hAnsi="Times New Roman" w:cs="Times New Roman"/>
                <w:color w:val="auto"/>
                <w:highlight w:val="none"/>
                <w:lang w:val="en-US" w:eastAsia="zh-CN"/>
              </w:rPr>
              <w:t>夜间不生产，</w:t>
            </w:r>
            <w:r>
              <w:rPr>
                <w:rFonts w:hint="default" w:ascii="Times New Roman" w:hAnsi="Times New Roman" w:cs="Times New Roman"/>
                <w:color w:val="auto"/>
                <w:highlight w:val="none"/>
              </w:rPr>
              <w:t>厂界昼间噪声能满足《工业企业厂界环境噪声排放标准》（GB12348-2008）中2类标准（昼间60dB（A））</w:t>
            </w:r>
            <w:r>
              <w:rPr>
                <w:rFonts w:hint="default" w:ascii="Times New Roman" w:hAnsi="Times New Roman" w:cs="Times New Roman" w:eastAsiaTheme="minorEastAsia"/>
                <w:color w:val="auto"/>
                <w:szCs w:val="21"/>
                <w:highlight w:val="none"/>
              </w:rPr>
              <w:t>。</w:t>
            </w:r>
          </w:p>
          <w:p w14:paraId="40F83CA0">
            <w:pPr>
              <w:snapToGrid w:val="0"/>
              <w:spacing w:line="360" w:lineRule="auto"/>
              <w:ind w:firstLine="420" w:firstLineChars="200"/>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7、监测要求</w:t>
            </w:r>
          </w:p>
          <w:p w14:paraId="24087133">
            <w:pPr>
              <w:spacing w:line="360" w:lineRule="auto"/>
              <w:ind w:firstLine="420" w:firstLineChars="200"/>
              <w:rPr>
                <w:rFonts w:hint="default" w:ascii="Times New Roman" w:hAnsi="Times New Roman" w:cs="Times New Roman" w:eastAsiaTheme="minorEastAsia"/>
                <w:color w:val="auto"/>
                <w:szCs w:val="21"/>
                <w:highlight w:val="none"/>
              </w:rPr>
            </w:pPr>
            <w:r>
              <w:rPr>
                <w:rFonts w:hint="default" w:ascii="Times New Roman" w:hAnsi="Times New Roman" w:cs="Times New Roman"/>
                <w:color w:val="auto"/>
                <w:highlight w:val="none"/>
              </w:rPr>
              <w:t>依据《排污单位自行监测技术指南 总则》（HJ819-2017）</w:t>
            </w:r>
            <w:r>
              <w:rPr>
                <w:rFonts w:hint="eastAsia" w:cs="Times New Roman"/>
                <w:color w:val="auto"/>
                <w:lang w:eastAsia="zh-CN"/>
              </w:rPr>
              <w:t>、《排污许可证申请与核发技术规范 石墨及其他非金属矿物制品制造》（HJ1119—2020）</w:t>
            </w:r>
            <w:r>
              <w:rPr>
                <w:rFonts w:hint="default" w:ascii="Times New Roman" w:hAnsi="Times New Roman" w:eastAsia="宋体" w:cs="Times New Roman"/>
                <w:color w:val="auto"/>
                <w:highlight w:val="none"/>
                <w:lang w:eastAsia="zh-CN"/>
              </w:rPr>
              <w:t>、《排污许可证申请与核发技术规范 工业噪声》（HJ 1301—2023）</w:t>
            </w:r>
            <w:r>
              <w:rPr>
                <w:rFonts w:hint="default" w:ascii="Times New Roman" w:hAnsi="Times New Roman" w:cs="Times New Roman"/>
                <w:color w:val="auto"/>
                <w:highlight w:val="none"/>
              </w:rPr>
              <w:t>和本项目情况</w:t>
            </w:r>
            <w:r>
              <w:rPr>
                <w:rFonts w:hint="default" w:ascii="Times New Roman" w:hAnsi="Times New Roman" w:cs="Times New Roman" w:eastAsiaTheme="minorEastAsia"/>
                <w:color w:val="auto"/>
                <w:szCs w:val="21"/>
                <w:highlight w:val="none"/>
              </w:rPr>
              <w:t>，对本项目噪声的日常监测要求见下表：</w:t>
            </w:r>
          </w:p>
          <w:p w14:paraId="07173C81">
            <w:pPr>
              <w:pStyle w:val="1385"/>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表4-</w:t>
            </w: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声监测要求</w:t>
            </w:r>
          </w:p>
          <w:tbl>
            <w:tblPr>
              <w:tblStyle w:val="86"/>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6711"/>
            </w:tblGrid>
            <w:tr w14:paraId="0C56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14:paraId="3185149C">
                  <w:pPr>
                    <w:pStyle w:val="378"/>
                    <w:spacing w:line="240" w:lineRule="exact"/>
                    <w:ind w:firstLine="0" w:firstLineChars="0"/>
                    <w:jc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rPr>
                    <w:t>监测点位</w:t>
                  </w:r>
                </w:p>
              </w:tc>
              <w:tc>
                <w:tcPr>
                  <w:tcW w:w="6712" w:type="dxa"/>
                  <w:tcBorders>
                    <w:top w:val="single" w:color="auto" w:sz="4" w:space="0"/>
                    <w:left w:val="single" w:color="auto" w:sz="4" w:space="0"/>
                    <w:bottom w:val="single" w:color="auto" w:sz="4" w:space="0"/>
                    <w:right w:val="single" w:color="auto" w:sz="4" w:space="0"/>
                  </w:tcBorders>
                  <w:vAlign w:val="center"/>
                </w:tcPr>
                <w:p w14:paraId="664286E0">
                  <w:pPr>
                    <w:pStyle w:val="378"/>
                    <w:spacing w:line="420" w:lineRule="exact"/>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rPr>
                    <w:t>厂界外1m</w:t>
                  </w:r>
                  <w:r>
                    <w:rPr>
                      <w:rFonts w:hint="default"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lang w:val="en-US" w:eastAsia="zh-CN"/>
                    </w:rPr>
                    <w:t>东、南、西</w:t>
                  </w:r>
                  <w:r>
                    <w:rPr>
                      <w:rFonts w:hint="eastAsia" w:cs="Times New Roman"/>
                      <w:color w:val="auto"/>
                      <w:sz w:val="18"/>
                      <w:szCs w:val="18"/>
                      <w:highlight w:val="none"/>
                      <w:lang w:val="en-US" w:eastAsia="zh-CN"/>
                    </w:rPr>
                    <w:t>、北</w:t>
                  </w:r>
                  <w:r>
                    <w:rPr>
                      <w:rFonts w:hint="default" w:ascii="Times New Roman" w:hAnsi="Times New Roman" w:cs="Times New Roman"/>
                      <w:color w:val="auto"/>
                      <w:sz w:val="18"/>
                      <w:szCs w:val="18"/>
                      <w:highlight w:val="none"/>
                      <w:lang w:eastAsia="zh-CN"/>
                    </w:rPr>
                    <w:t>）</w:t>
                  </w:r>
                </w:p>
              </w:tc>
            </w:tr>
            <w:tr w14:paraId="1453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14:paraId="5EB4F9A1">
                  <w:pPr>
                    <w:pStyle w:val="378"/>
                    <w:spacing w:line="240" w:lineRule="exact"/>
                    <w:ind w:firstLine="0" w:firstLineChars="0"/>
                    <w:jc w:val="center"/>
                    <w:rPr>
                      <w:rFonts w:hint="default" w:ascii="Times New Roman" w:hAnsi="Times New Roman" w:cs="Times New Roman"/>
                      <w:b/>
                      <w:bCs/>
                      <w:color w:val="auto"/>
                      <w:sz w:val="18"/>
                      <w:szCs w:val="18"/>
                      <w:highlight w:val="none"/>
                      <w:lang w:val="en-US"/>
                    </w:rPr>
                  </w:pPr>
                  <w:r>
                    <w:rPr>
                      <w:rFonts w:hint="default" w:ascii="Times New Roman" w:hAnsi="Times New Roman" w:cs="Times New Roman"/>
                      <w:b/>
                      <w:bCs/>
                      <w:color w:val="auto"/>
                      <w:sz w:val="18"/>
                      <w:szCs w:val="18"/>
                      <w:highlight w:val="none"/>
                      <w:lang w:val="en-US"/>
                    </w:rPr>
                    <w:t>监测项目</w:t>
                  </w:r>
                </w:p>
              </w:tc>
              <w:tc>
                <w:tcPr>
                  <w:tcW w:w="6712" w:type="dxa"/>
                  <w:tcBorders>
                    <w:top w:val="single" w:color="auto" w:sz="4" w:space="0"/>
                    <w:left w:val="single" w:color="auto" w:sz="4" w:space="0"/>
                    <w:bottom w:val="single" w:color="auto" w:sz="4" w:space="0"/>
                    <w:right w:val="single" w:color="auto" w:sz="4" w:space="0"/>
                  </w:tcBorders>
                  <w:vAlign w:val="center"/>
                </w:tcPr>
                <w:p w14:paraId="040B12FF">
                  <w:pPr>
                    <w:pStyle w:val="378"/>
                    <w:spacing w:line="240" w:lineRule="exact"/>
                    <w:ind w:firstLine="0" w:firstLineChars="0"/>
                    <w:jc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eastAsia="宋体" w:cs="Times New Roman"/>
                      <w:color w:val="auto"/>
                      <w:sz w:val="18"/>
                      <w:szCs w:val="18"/>
                      <w:highlight w:val="none"/>
                      <w:lang w:val="en-US" w:eastAsia="zh-CN"/>
                    </w:rPr>
                    <w:t>昼间</w:t>
                  </w:r>
                  <w:r>
                    <w:rPr>
                      <w:rFonts w:hint="default" w:ascii="Times New Roman" w:hAnsi="Times New Roman" w:eastAsia="宋体" w:cs="Times New Roman"/>
                      <w:color w:val="auto"/>
                      <w:sz w:val="18"/>
                      <w:szCs w:val="18"/>
                      <w:highlight w:val="none"/>
                      <w:lang w:val="en-US"/>
                    </w:rPr>
                    <w:t>等效连续 A 声级</w:t>
                  </w:r>
                </w:p>
              </w:tc>
            </w:tr>
            <w:tr w14:paraId="4D1E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14:paraId="147AC44F">
                  <w:pPr>
                    <w:pStyle w:val="378"/>
                    <w:spacing w:line="240" w:lineRule="exact"/>
                    <w:ind w:firstLine="0" w:firstLineChars="0"/>
                    <w:jc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rPr>
                    <w:t>监测频次</w:t>
                  </w:r>
                </w:p>
              </w:tc>
              <w:tc>
                <w:tcPr>
                  <w:tcW w:w="6712" w:type="dxa"/>
                  <w:tcBorders>
                    <w:top w:val="single" w:color="auto" w:sz="4" w:space="0"/>
                    <w:left w:val="single" w:color="auto" w:sz="4" w:space="0"/>
                    <w:bottom w:val="single" w:color="auto" w:sz="4" w:space="0"/>
                    <w:right w:val="single" w:color="auto" w:sz="4" w:space="0"/>
                  </w:tcBorders>
                  <w:vAlign w:val="center"/>
                </w:tcPr>
                <w:p w14:paraId="7893E59C">
                  <w:pPr>
                    <w:pStyle w:val="378"/>
                    <w:spacing w:line="420" w:lineRule="exact"/>
                    <w:ind w:firstLine="0" w:firstLineChars="0"/>
                    <w:jc w:val="center"/>
                    <w:rPr>
                      <w:rFonts w:hint="default" w:ascii="Times New Roman" w:hAnsi="Times New Roman" w:cs="Times New Roman" w:eastAsiaTheme="minorEastAsia"/>
                      <w:color w:val="auto"/>
                      <w:sz w:val="18"/>
                      <w:szCs w:val="18"/>
                      <w:highlight w:val="none"/>
                      <w:lang w:val="en-US"/>
                    </w:rPr>
                  </w:pPr>
                  <w:r>
                    <w:rPr>
                      <w:rFonts w:hint="default" w:ascii="Times New Roman" w:hAnsi="Times New Roman" w:cs="Times New Roman"/>
                      <w:color w:val="auto"/>
                      <w:sz w:val="18"/>
                      <w:szCs w:val="18"/>
                      <w:highlight w:val="none"/>
                      <w:lang w:val="en-US"/>
                    </w:rPr>
                    <w:t>每季度1次</w:t>
                  </w:r>
                </w:p>
              </w:tc>
            </w:tr>
            <w:tr w14:paraId="460D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14:paraId="0700A7BD">
                  <w:pPr>
                    <w:pStyle w:val="378"/>
                    <w:spacing w:line="240" w:lineRule="exact"/>
                    <w:ind w:firstLine="0" w:firstLineChars="0"/>
                    <w:jc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rPr>
                    <w:t>执行标准</w:t>
                  </w:r>
                </w:p>
              </w:tc>
              <w:tc>
                <w:tcPr>
                  <w:tcW w:w="6712" w:type="dxa"/>
                  <w:tcBorders>
                    <w:top w:val="single" w:color="auto" w:sz="4" w:space="0"/>
                    <w:left w:val="single" w:color="auto" w:sz="4" w:space="0"/>
                    <w:bottom w:val="single" w:color="auto" w:sz="4" w:space="0"/>
                    <w:right w:val="single" w:color="auto" w:sz="4" w:space="0"/>
                  </w:tcBorders>
                  <w:vAlign w:val="center"/>
                </w:tcPr>
                <w:p w14:paraId="348FEACE">
                  <w:pPr>
                    <w:pStyle w:val="378"/>
                    <w:spacing w:line="420" w:lineRule="exact"/>
                    <w:ind w:firstLine="0" w:firstLineChars="0"/>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color w:val="auto"/>
                      <w:sz w:val="18"/>
                      <w:szCs w:val="18"/>
                      <w:highlight w:val="none"/>
                    </w:rPr>
                    <w:t>《工业企业厂界环境噪声排放标准》（GB12348-2008）2类标准</w:t>
                  </w:r>
                </w:p>
              </w:tc>
            </w:tr>
          </w:tbl>
          <w:p w14:paraId="147E395D">
            <w:pPr>
              <w:spacing w:line="360" w:lineRule="auto"/>
              <w:ind w:firstLine="420" w:firstLineChars="20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四、固体废物</w:t>
            </w:r>
          </w:p>
          <w:p w14:paraId="678DB59D">
            <w:pPr>
              <w:spacing w:line="360" w:lineRule="auto"/>
              <w:ind w:firstLine="420" w:firstLineChars="20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1、固体废弃物产生环节及处置</w:t>
            </w:r>
          </w:p>
          <w:p w14:paraId="532C54D4">
            <w:pPr>
              <w:tabs>
                <w:tab w:val="left" w:pos="1800"/>
              </w:tabs>
              <w:adjustRightInd w:val="0"/>
              <w:snapToGrid w:val="0"/>
              <w:spacing w:line="360" w:lineRule="auto"/>
              <w:ind w:firstLine="420" w:firstLineChars="200"/>
              <w:rPr>
                <w:rFonts w:hint="default" w:ascii="Times New Roman" w:hAnsi="Times New Roman" w:cs="Times New Roman"/>
                <w:color w:val="auto"/>
                <w:highlight w:val="none"/>
                <w:lang w:eastAsia="zh-CN"/>
              </w:rPr>
            </w:pPr>
            <w:r>
              <w:rPr>
                <w:rFonts w:hint="default" w:ascii="Times New Roman" w:hAnsi="Times New Roman" w:cs="Times New Roman"/>
                <w:snapToGrid w:val="0"/>
                <w:color w:val="auto"/>
                <w:kern w:val="0"/>
                <w:highlight w:val="none"/>
              </w:rPr>
              <w:t>根据《固体废物鉴别标准通则》（GB34330-2017）第6条6.1的要求：a)任何不需要修复和加工即可用于其原始用途的物质，或者在产生点经过修复和加工后满足国家、地方制定或行业通行的产品质量标准并且用于其原始用途的物质</w:t>
            </w:r>
            <w:r>
              <w:rPr>
                <w:rFonts w:hint="eastAsia" w:cs="Times New Roman"/>
                <w:snapToGrid w:val="0"/>
                <w:color w:val="auto"/>
                <w:kern w:val="0"/>
                <w:highlight w:val="none"/>
                <w:lang w:eastAsia="zh-CN"/>
              </w:rPr>
              <w:t>；</w:t>
            </w:r>
            <w:r>
              <w:rPr>
                <w:rFonts w:hint="default" w:ascii="Times New Roman" w:hAnsi="Times New Roman" w:cs="Times New Roman"/>
                <w:snapToGrid w:val="0"/>
                <w:color w:val="auto"/>
                <w:kern w:val="0"/>
                <w:highlight w:val="none"/>
              </w:rPr>
              <w:t>b) 不经过贮存或堆积过程，而在现场直接返回到原生产过程或返回其产生过程的物质</w:t>
            </w:r>
            <w:r>
              <w:rPr>
                <w:rFonts w:hint="default" w:ascii="Times New Roman" w:hAnsi="Times New Roman" w:cs="Times New Roman"/>
                <w:color w:val="auto"/>
                <w:highlight w:val="none"/>
              </w:rPr>
              <w:t>，不作为固体废物管理。本项目</w:t>
            </w:r>
            <w:r>
              <w:rPr>
                <w:rFonts w:hint="eastAsia" w:cs="Times New Roman"/>
                <w:color w:val="auto"/>
                <w:highlight w:val="none"/>
                <w:lang w:val="en-US" w:eastAsia="zh-CN"/>
              </w:rPr>
              <w:t>除渣产生的渣球（97.5t/a）、烘干后产生的不合格品（4.5t/a）、精加工产生的边角料（18t/a）以及布袋</w:t>
            </w:r>
            <w:r>
              <w:rPr>
                <w:rFonts w:hint="default" w:ascii="Times New Roman" w:hAnsi="Times New Roman" w:cs="Times New Roman"/>
                <w:color w:val="auto"/>
                <w:highlight w:val="none"/>
              </w:rPr>
              <w:t>除尘器收尘</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0.0243</w:t>
            </w:r>
            <w:r>
              <w:rPr>
                <w:rFonts w:hint="eastAsia" w:cs="Times New Roman"/>
                <w:color w:val="auto"/>
                <w:highlight w:val="none"/>
                <w:lang w:val="en-US" w:eastAsia="zh-CN"/>
              </w:rPr>
              <w:t>t/a</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直接回用生产，所以不按固废进行管理</w:t>
            </w:r>
            <w:r>
              <w:rPr>
                <w:rFonts w:hint="eastAsia" w:cs="Times New Roman"/>
                <w:color w:val="auto"/>
                <w:highlight w:val="none"/>
                <w:lang w:eastAsia="zh-CN"/>
              </w:rPr>
              <w:t>；</w:t>
            </w:r>
            <w:r>
              <w:rPr>
                <w:rFonts w:hint="eastAsia" w:cs="Times New Roman"/>
                <w:color w:val="auto"/>
                <w:highlight w:val="none"/>
                <w:lang w:val="en-US" w:eastAsia="zh-CN"/>
              </w:rPr>
              <w:t>硅溶胶废包装桶（1500个/a）由供货厂家回收循环使用</w:t>
            </w:r>
            <w:r>
              <w:rPr>
                <w:rFonts w:hint="default" w:ascii="Times New Roman" w:hAnsi="Times New Roman" w:cs="Times New Roman"/>
                <w:color w:val="auto"/>
                <w:highlight w:val="none"/>
              </w:rPr>
              <w:t>，所以不按固废进行管理</w:t>
            </w:r>
            <w:r>
              <w:rPr>
                <w:rFonts w:hint="default" w:ascii="Times New Roman" w:hAnsi="Times New Roman" w:cs="Times New Roman"/>
                <w:color w:val="auto"/>
                <w:highlight w:val="none"/>
                <w:lang w:eastAsia="zh-CN"/>
              </w:rPr>
              <w:t>。</w:t>
            </w:r>
          </w:p>
          <w:p w14:paraId="0525CC50">
            <w:pPr>
              <w:adjustRightInd w:val="0"/>
              <w:snapToGrid w:val="0"/>
              <w:spacing w:line="360" w:lineRule="auto"/>
              <w:ind w:firstLine="480"/>
              <w:rPr>
                <w:rFonts w:hint="default" w:ascii="Times New Roman" w:hAnsi="Times New Roman" w:cs="Times New Roman"/>
                <w:color w:val="auto"/>
              </w:rPr>
            </w:pPr>
            <w:r>
              <w:rPr>
                <w:rFonts w:hint="default" w:ascii="Times New Roman" w:hAnsi="Times New Roman" w:cs="Times New Roman"/>
                <w:bCs/>
                <w:color w:val="auto"/>
                <w:szCs w:val="21"/>
                <w:highlight w:val="none"/>
              </w:rPr>
              <w:t>本项目产生的固体废物主要为</w:t>
            </w:r>
            <w:r>
              <w:rPr>
                <w:rFonts w:hint="eastAsia" w:cs="Times New Roman"/>
                <w:bCs/>
                <w:color w:val="auto"/>
                <w:szCs w:val="21"/>
                <w:highlight w:val="none"/>
                <w:lang w:val="en-US" w:eastAsia="zh-CN"/>
              </w:rPr>
              <w:t>废包装袋（S1）</w:t>
            </w:r>
            <w:r>
              <w:rPr>
                <w:rFonts w:hint="default" w:ascii="Times New Roman" w:hAnsi="Times New Roman" w:cs="Times New Roman"/>
                <w:bCs/>
                <w:color w:val="auto"/>
                <w:szCs w:val="21"/>
                <w:highlight w:val="none"/>
              </w:rPr>
              <w:t>以及生活垃圾</w:t>
            </w:r>
            <w:r>
              <w:rPr>
                <w:rFonts w:hint="default" w:ascii="Times New Roman" w:hAnsi="Times New Roman" w:cs="Times New Roman"/>
                <w:bCs/>
                <w:color w:val="auto"/>
                <w:szCs w:val="21"/>
                <w:highlight w:val="none"/>
                <w:lang w:eastAsia="zh-CN"/>
              </w:rPr>
              <w:t>（</w:t>
            </w:r>
            <w:r>
              <w:rPr>
                <w:rFonts w:hint="default" w:ascii="Times New Roman" w:hAnsi="Times New Roman" w:cs="Times New Roman"/>
                <w:bCs/>
                <w:color w:val="auto"/>
                <w:szCs w:val="21"/>
                <w:highlight w:val="none"/>
                <w:lang w:val="en-US" w:eastAsia="zh-CN"/>
              </w:rPr>
              <w:t>S</w:t>
            </w:r>
            <w:r>
              <w:rPr>
                <w:rFonts w:hint="eastAsia" w:cs="Times New Roman"/>
                <w:bCs/>
                <w:color w:val="auto"/>
                <w:szCs w:val="21"/>
                <w:highlight w:val="none"/>
                <w:lang w:val="en-US" w:eastAsia="zh-CN"/>
              </w:rPr>
              <w:t>2</w:t>
            </w:r>
            <w:r>
              <w:rPr>
                <w:rFonts w:hint="default" w:ascii="Times New Roman" w:hAnsi="Times New Roman" w:cs="Times New Roman"/>
                <w:bCs/>
                <w:color w:val="auto"/>
                <w:szCs w:val="21"/>
                <w:highlight w:val="none"/>
                <w:lang w:eastAsia="zh-CN"/>
              </w:rPr>
              <w:t>）</w:t>
            </w:r>
            <w:r>
              <w:rPr>
                <w:rFonts w:hint="default" w:ascii="Times New Roman" w:hAnsi="Times New Roman" w:cs="Times New Roman"/>
                <w:color w:val="auto"/>
              </w:rPr>
              <w:t>：</w:t>
            </w:r>
          </w:p>
          <w:p w14:paraId="617C8050">
            <w:pPr>
              <w:autoSpaceDE w:val="0"/>
              <w:autoSpaceDN w:val="0"/>
              <w:adjustRightInd w:val="0"/>
              <w:spacing w:line="360" w:lineRule="auto"/>
              <w:ind w:firstLine="420" w:firstLineChars="200"/>
              <w:rPr>
                <w:rFonts w:hint="default" w:ascii="Times New Roman" w:hAnsi="Times New Roman" w:eastAsia="宋体" w:cs="Times New Roman"/>
                <w:color w:val="auto"/>
                <w:szCs w:val="21"/>
                <w:lang w:val="en-US" w:eastAsia="zh-CN"/>
              </w:rPr>
            </w:pPr>
            <w:bookmarkStart w:id="19" w:name="_Hlk49542529"/>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lang w:eastAsia="zh-CN"/>
              </w:rPr>
              <w:t>）</w:t>
            </w:r>
            <w:r>
              <w:rPr>
                <w:rFonts w:hint="eastAsia" w:cs="Times New Roman"/>
                <w:bCs/>
                <w:color w:val="auto"/>
                <w:highlight w:val="none"/>
                <w:lang w:val="en-US" w:eastAsia="zh-CN"/>
              </w:rPr>
              <w:t>废包装袋（S1）：本项目陶瓷纤维棉用量为282t/a，为袋装，1t/袋，则产生282个包装袋，约0.75t/a，</w:t>
            </w:r>
            <w:r>
              <w:rPr>
                <w:rFonts w:hint="eastAsia" w:ascii="Times New Roman" w:hAnsi="Times New Roman" w:cs="Times New Roman"/>
                <w:color w:val="auto"/>
                <w:highlight w:val="none"/>
                <w:lang w:val="en-US" w:eastAsia="zh-CN"/>
              </w:rPr>
              <w:t>属于一般工业固废，代码为900-003-S17，</w:t>
            </w:r>
            <w:r>
              <w:rPr>
                <w:rFonts w:hint="default" w:ascii="Times New Roman" w:hAnsi="Times New Roman" w:cs="Times New Roman"/>
                <w:color w:val="auto"/>
                <w:highlight w:val="none"/>
                <w:lang w:val="en-US" w:eastAsia="zh-CN"/>
              </w:rPr>
              <w:t>集中收集后暂存于一般固废暂存处，定期外卖</w:t>
            </w:r>
            <w:r>
              <w:rPr>
                <w:rFonts w:hint="eastAsia" w:ascii="Times New Roman" w:hAnsi="Times New Roman" w:cs="Times New Roman"/>
                <w:color w:val="auto"/>
                <w:highlight w:val="none"/>
                <w:lang w:val="en-US" w:eastAsia="zh-CN"/>
              </w:rPr>
              <w:t>。</w:t>
            </w:r>
          </w:p>
          <w:p w14:paraId="2EE349B0">
            <w:pPr>
              <w:autoSpaceDE w:val="0"/>
              <w:autoSpaceDN w:val="0"/>
              <w:adjustRightIn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eastAsia" w:cs="Times New Roman"/>
                <w:color w:val="auto"/>
                <w:szCs w:val="21"/>
                <w:lang w:val="en-US" w:eastAsia="zh-CN"/>
              </w:rPr>
              <w:t>2</w:t>
            </w:r>
            <w:r>
              <w:rPr>
                <w:rFonts w:hint="default" w:ascii="Times New Roman" w:hAnsi="Times New Roman" w:cs="Times New Roman"/>
                <w:color w:val="auto"/>
                <w:szCs w:val="21"/>
              </w:rPr>
              <w:t>）生活垃圾</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S</w:t>
            </w:r>
            <w:r>
              <w:rPr>
                <w:rFonts w:hint="eastAsia" w:cs="Times New Roman"/>
                <w:color w:val="auto"/>
                <w:szCs w:val="21"/>
                <w:lang w:val="en-US" w:eastAsia="zh-CN"/>
              </w:rPr>
              <w:t>2</w:t>
            </w:r>
            <w:r>
              <w:rPr>
                <w:rFonts w:hint="default" w:ascii="Times New Roman" w:hAnsi="Times New Roman" w:cs="Times New Roman"/>
                <w:color w:val="auto"/>
                <w:szCs w:val="21"/>
                <w:lang w:eastAsia="zh-CN"/>
              </w:rPr>
              <w:t>）：项目新增员工</w:t>
            </w:r>
            <w:r>
              <w:rPr>
                <w:rFonts w:hint="eastAsia" w:cs="Times New Roman"/>
                <w:color w:val="auto"/>
                <w:szCs w:val="21"/>
                <w:lang w:val="en-US" w:eastAsia="zh-CN"/>
              </w:rPr>
              <w:t>16</w:t>
            </w:r>
            <w:r>
              <w:rPr>
                <w:rFonts w:hint="default" w:ascii="Times New Roman" w:hAnsi="Times New Roman" w:cs="Times New Roman"/>
                <w:color w:val="auto"/>
                <w:szCs w:val="21"/>
                <w:lang w:eastAsia="zh-CN"/>
              </w:rPr>
              <w:t>人，生活垃圾按照0.5kg/人·天进行计算，则生活垃圾产生量为</w:t>
            </w:r>
            <w:r>
              <w:rPr>
                <w:rFonts w:hint="eastAsia" w:cs="Times New Roman"/>
                <w:color w:val="auto"/>
                <w:szCs w:val="21"/>
                <w:lang w:val="en-US" w:eastAsia="zh-CN"/>
              </w:rPr>
              <w:t>2.4</w:t>
            </w:r>
            <w:r>
              <w:rPr>
                <w:rFonts w:hint="default" w:ascii="Times New Roman" w:hAnsi="Times New Roman" w:cs="Times New Roman"/>
                <w:color w:val="auto"/>
                <w:szCs w:val="21"/>
                <w:lang w:eastAsia="zh-CN"/>
              </w:rPr>
              <w:t>t/a，经收集后储存于厂区垃圾箱，由环卫部门定期清运处理</w:t>
            </w:r>
            <w:r>
              <w:rPr>
                <w:rFonts w:hint="default" w:ascii="Times New Roman" w:hAnsi="Times New Roman" w:cs="Times New Roman"/>
                <w:color w:val="auto"/>
                <w:szCs w:val="21"/>
              </w:rPr>
              <w:t>。</w:t>
            </w:r>
          </w:p>
          <w:bookmarkEnd w:id="19"/>
          <w:p w14:paraId="3C55A9B3">
            <w:pPr>
              <w:autoSpaceDE w:val="0"/>
              <w:autoSpaceDN w:val="0"/>
              <w:adjustRightIn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根据《固体废物鉴别标准通则》（GB 34330-2017）。项目产生的固废分为一般固体废物，一般固体废物产生情况分别如下所示：</w:t>
            </w:r>
          </w:p>
          <w:p w14:paraId="72B1065E">
            <w:pPr>
              <w:pStyle w:val="1385"/>
              <w:adjustRightInd w:val="0"/>
              <w:snapToGrid w:val="0"/>
              <w:spacing w:line="24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表4-</w:t>
            </w:r>
            <w:r>
              <w:rPr>
                <w:rFonts w:hint="eastAsia" w:ascii="Times New Roman" w:hAnsi="Times New Roman" w:cs="Times New Roman"/>
                <w:color w:val="auto"/>
                <w:sz w:val="21"/>
                <w:szCs w:val="21"/>
                <w:lang w:val="en-US" w:eastAsia="zh-CN"/>
              </w:rPr>
              <w:t>12</w:t>
            </w:r>
            <w:r>
              <w:rPr>
                <w:rFonts w:hint="default" w:ascii="Times New Roman" w:hAnsi="Times New Roman" w:cs="Times New Roman"/>
                <w:color w:val="auto"/>
                <w:sz w:val="21"/>
                <w:szCs w:val="21"/>
              </w:rPr>
              <w:t xml:space="preserve"> 本项目固体废物分析结果汇总表</w:t>
            </w:r>
          </w:p>
          <w:tbl>
            <w:tblPr>
              <w:tblStyle w:val="8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72"/>
              <w:gridCol w:w="1198"/>
              <w:gridCol w:w="697"/>
              <w:gridCol w:w="1074"/>
              <w:gridCol w:w="980"/>
              <w:gridCol w:w="980"/>
              <w:gridCol w:w="1872"/>
            </w:tblGrid>
            <w:tr w14:paraId="2B3E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38" w:type="pct"/>
                  <w:tcMar>
                    <w:top w:w="0" w:type="dxa"/>
                    <w:left w:w="28" w:type="dxa"/>
                    <w:bottom w:w="0" w:type="dxa"/>
                    <w:right w:w="28" w:type="dxa"/>
                  </w:tcMar>
                  <w:vAlign w:val="center"/>
                </w:tcPr>
                <w:p w14:paraId="01B058BA">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产生工序</w:t>
                  </w:r>
                </w:p>
              </w:tc>
              <w:tc>
                <w:tcPr>
                  <w:tcW w:w="715" w:type="pct"/>
                  <w:tcMar>
                    <w:top w:w="0" w:type="dxa"/>
                    <w:left w:w="28" w:type="dxa"/>
                    <w:bottom w:w="0" w:type="dxa"/>
                    <w:right w:w="28" w:type="dxa"/>
                  </w:tcMar>
                  <w:vAlign w:val="center"/>
                </w:tcPr>
                <w:p w14:paraId="79E85E6F">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固体废物名称</w:t>
                  </w:r>
                </w:p>
              </w:tc>
              <w:tc>
                <w:tcPr>
                  <w:tcW w:w="416" w:type="pct"/>
                  <w:tcMar>
                    <w:top w:w="0" w:type="dxa"/>
                    <w:left w:w="28" w:type="dxa"/>
                    <w:bottom w:w="0" w:type="dxa"/>
                    <w:right w:w="28" w:type="dxa"/>
                  </w:tcMar>
                  <w:vAlign w:val="center"/>
                </w:tcPr>
                <w:p w14:paraId="037FFDDA">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形态</w:t>
                  </w:r>
                </w:p>
              </w:tc>
              <w:tc>
                <w:tcPr>
                  <w:tcW w:w="641" w:type="pct"/>
                  <w:tcMar>
                    <w:top w:w="0" w:type="dxa"/>
                    <w:left w:w="28" w:type="dxa"/>
                    <w:bottom w:w="0" w:type="dxa"/>
                    <w:right w:w="28" w:type="dxa"/>
                  </w:tcMar>
                  <w:vAlign w:val="center"/>
                </w:tcPr>
                <w:p w14:paraId="78B9438A">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属性</w:t>
                  </w:r>
                </w:p>
              </w:tc>
              <w:tc>
                <w:tcPr>
                  <w:tcW w:w="585" w:type="pct"/>
                  <w:tcMar>
                    <w:top w:w="0" w:type="dxa"/>
                    <w:left w:w="28" w:type="dxa"/>
                    <w:bottom w:w="0" w:type="dxa"/>
                    <w:right w:w="28" w:type="dxa"/>
                  </w:tcMar>
                  <w:vAlign w:val="center"/>
                </w:tcPr>
                <w:p w14:paraId="440351EE">
                  <w:pPr>
                    <w:adjustRightInd w:val="0"/>
                    <w:snapToGrid w:val="0"/>
                    <w:jc w:val="center"/>
                    <w:rPr>
                      <w:rFonts w:hint="default" w:ascii="Times New Roman" w:hAnsi="Times New Roman" w:eastAsia="宋体" w:cs="Times New Roman"/>
                      <w:color w:val="auto"/>
                      <w:sz w:val="18"/>
                      <w:szCs w:val="18"/>
                      <w:lang w:val="en-US" w:eastAsia="zh-CN"/>
                    </w:rPr>
                  </w:pPr>
                  <w:r>
                    <w:rPr>
                      <w:rFonts w:hint="eastAsia" w:cs="Times New Roman"/>
                      <w:color w:val="auto"/>
                      <w:sz w:val="18"/>
                      <w:szCs w:val="18"/>
                      <w:lang w:val="en-US" w:eastAsia="zh-CN"/>
                    </w:rPr>
                    <w:t>固废代码</w:t>
                  </w:r>
                </w:p>
              </w:tc>
              <w:tc>
                <w:tcPr>
                  <w:tcW w:w="585" w:type="pct"/>
                  <w:tcMar>
                    <w:top w:w="0" w:type="dxa"/>
                    <w:left w:w="28" w:type="dxa"/>
                    <w:bottom w:w="0" w:type="dxa"/>
                    <w:right w:w="28" w:type="dxa"/>
                  </w:tcMar>
                  <w:vAlign w:val="center"/>
                </w:tcPr>
                <w:p w14:paraId="2347CEE3">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产生量t/a</w:t>
                  </w:r>
                </w:p>
              </w:tc>
              <w:tc>
                <w:tcPr>
                  <w:tcW w:w="1117" w:type="pct"/>
                  <w:tcMar>
                    <w:top w:w="0" w:type="dxa"/>
                    <w:left w:w="28" w:type="dxa"/>
                    <w:bottom w:w="0" w:type="dxa"/>
                    <w:right w:w="28" w:type="dxa"/>
                  </w:tcMar>
                  <w:vAlign w:val="center"/>
                </w:tcPr>
                <w:p w14:paraId="0F5516A5">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处理措施</w:t>
                  </w:r>
                </w:p>
              </w:tc>
            </w:tr>
            <w:tr w14:paraId="2857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38" w:type="pct"/>
                  <w:shd w:val="clear" w:color="auto" w:fill="auto"/>
                  <w:tcMar>
                    <w:top w:w="0" w:type="dxa"/>
                    <w:left w:w="28" w:type="dxa"/>
                    <w:bottom w:w="0" w:type="dxa"/>
                    <w:right w:w="28" w:type="dxa"/>
                  </w:tcMar>
                  <w:vAlign w:val="center"/>
                </w:tcPr>
                <w:p w14:paraId="24BE444C">
                  <w:pPr>
                    <w:jc w:val="center"/>
                    <w:rPr>
                      <w:rFonts w:hint="default" w:ascii="Times New Roman" w:hAnsi="Times New Roman" w:eastAsia="宋体" w:cs="Times New Roman"/>
                      <w:bCs/>
                      <w:color w:val="auto"/>
                      <w:kern w:val="2"/>
                      <w:sz w:val="18"/>
                      <w:szCs w:val="18"/>
                      <w:lang w:val="en-US" w:eastAsia="zh-CN" w:bidi="ar-SA"/>
                    </w:rPr>
                  </w:pPr>
                  <w:r>
                    <w:rPr>
                      <w:rFonts w:hint="eastAsia" w:cs="Times New Roman"/>
                      <w:bCs/>
                      <w:color w:val="auto"/>
                      <w:sz w:val="18"/>
                      <w:szCs w:val="18"/>
                      <w:lang w:val="en-US" w:eastAsia="zh-CN"/>
                    </w:rPr>
                    <w:t>原料包装</w:t>
                  </w:r>
                </w:p>
              </w:tc>
              <w:tc>
                <w:tcPr>
                  <w:tcW w:w="715" w:type="pct"/>
                  <w:shd w:val="clear" w:color="auto" w:fill="auto"/>
                  <w:tcMar>
                    <w:top w:w="0" w:type="dxa"/>
                    <w:left w:w="28" w:type="dxa"/>
                    <w:bottom w:w="0" w:type="dxa"/>
                    <w:right w:w="28" w:type="dxa"/>
                  </w:tcMar>
                  <w:vAlign w:val="center"/>
                </w:tcPr>
                <w:p w14:paraId="3300F2E0">
                  <w:pPr>
                    <w:jc w:val="center"/>
                    <w:rPr>
                      <w:rFonts w:hint="default" w:ascii="Times New Roman" w:hAnsi="Times New Roman" w:eastAsia="宋体" w:cs="Times New Roman"/>
                      <w:bCs/>
                      <w:color w:val="auto"/>
                      <w:kern w:val="2"/>
                      <w:sz w:val="18"/>
                      <w:szCs w:val="18"/>
                      <w:lang w:val="en-US" w:eastAsia="zh-CN" w:bidi="ar-SA"/>
                    </w:rPr>
                  </w:pPr>
                  <w:r>
                    <w:rPr>
                      <w:rFonts w:hint="default" w:ascii="Times New Roman" w:hAnsi="Times New Roman" w:cs="Times New Roman"/>
                      <w:bCs/>
                      <w:color w:val="auto"/>
                      <w:sz w:val="18"/>
                      <w:szCs w:val="18"/>
                      <w:lang w:val="en-US" w:eastAsia="zh-CN"/>
                    </w:rPr>
                    <w:t>废包装袋</w:t>
                  </w:r>
                </w:p>
              </w:tc>
              <w:tc>
                <w:tcPr>
                  <w:tcW w:w="416" w:type="pct"/>
                  <w:shd w:val="clear" w:color="auto" w:fill="auto"/>
                  <w:tcMar>
                    <w:top w:w="0" w:type="dxa"/>
                    <w:left w:w="28" w:type="dxa"/>
                    <w:bottom w:w="0" w:type="dxa"/>
                    <w:right w:w="28" w:type="dxa"/>
                  </w:tcMar>
                  <w:vAlign w:val="center"/>
                </w:tcPr>
                <w:p w14:paraId="07063837">
                  <w:pPr>
                    <w:adjustRightInd w:val="0"/>
                    <w:snapToGrid w:val="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lang w:val="en-US" w:eastAsia="zh-CN"/>
                    </w:rPr>
                    <w:t>固体</w:t>
                  </w:r>
                </w:p>
              </w:tc>
              <w:tc>
                <w:tcPr>
                  <w:tcW w:w="641" w:type="pct"/>
                  <w:shd w:val="clear" w:color="auto" w:fill="auto"/>
                  <w:tcMar>
                    <w:top w:w="0" w:type="dxa"/>
                    <w:left w:w="28" w:type="dxa"/>
                    <w:bottom w:w="0" w:type="dxa"/>
                    <w:right w:w="28" w:type="dxa"/>
                  </w:tcMar>
                  <w:vAlign w:val="center"/>
                </w:tcPr>
                <w:p w14:paraId="1046F42E">
                  <w:pPr>
                    <w:adjustRightInd w:val="0"/>
                    <w:snapToGrid w:val="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rPr>
                    <w:t>一般固废</w:t>
                  </w:r>
                </w:p>
              </w:tc>
              <w:tc>
                <w:tcPr>
                  <w:tcW w:w="585" w:type="pct"/>
                  <w:shd w:val="clear" w:color="auto" w:fill="auto"/>
                  <w:tcMar>
                    <w:top w:w="0" w:type="dxa"/>
                    <w:left w:w="28" w:type="dxa"/>
                    <w:bottom w:w="0" w:type="dxa"/>
                    <w:right w:w="28" w:type="dxa"/>
                  </w:tcMar>
                  <w:vAlign w:val="center"/>
                </w:tcPr>
                <w:p w14:paraId="4DC2E1E4">
                  <w:pPr>
                    <w:adjustRightInd w:val="0"/>
                    <w:snapToGrid w:val="0"/>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lang w:val="en-US" w:eastAsia="zh-CN"/>
                    </w:rPr>
                    <w:t>900-003-S17</w:t>
                  </w:r>
                </w:p>
              </w:tc>
              <w:tc>
                <w:tcPr>
                  <w:tcW w:w="585" w:type="pct"/>
                  <w:shd w:val="clear" w:color="auto" w:fill="auto"/>
                  <w:tcMar>
                    <w:top w:w="0" w:type="dxa"/>
                    <w:left w:w="28" w:type="dxa"/>
                    <w:bottom w:w="0" w:type="dxa"/>
                    <w:right w:w="28" w:type="dxa"/>
                  </w:tcMar>
                  <w:vAlign w:val="center"/>
                </w:tcPr>
                <w:p w14:paraId="1C4A8FF6">
                  <w:pPr>
                    <w:adjustRightInd w:val="0"/>
                    <w:snapToGrid w:val="0"/>
                    <w:jc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sz w:val="18"/>
                      <w:szCs w:val="18"/>
                      <w:lang w:val="en-US" w:eastAsia="zh-CN"/>
                    </w:rPr>
                    <w:t>0.75</w:t>
                  </w:r>
                </w:p>
              </w:tc>
              <w:tc>
                <w:tcPr>
                  <w:tcW w:w="1117" w:type="pct"/>
                  <w:vMerge w:val="restart"/>
                  <w:tcMar>
                    <w:top w:w="0" w:type="dxa"/>
                    <w:left w:w="28" w:type="dxa"/>
                    <w:bottom w:w="0" w:type="dxa"/>
                    <w:right w:w="28" w:type="dxa"/>
                  </w:tcMar>
                  <w:vAlign w:val="center"/>
                </w:tcPr>
                <w:p w14:paraId="67C955EB">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集中收集后暂存于一般固废暂存处，定期外卖</w:t>
                  </w:r>
                </w:p>
              </w:tc>
            </w:tr>
            <w:tr w14:paraId="156A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38" w:type="pct"/>
                  <w:tcMar>
                    <w:top w:w="0" w:type="dxa"/>
                    <w:left w:w="28" w:type="dxa"/>
                    <w:bottom w:w="0" w:type="dxa"/>
                    <w:right w:w="28" w:type="dxa"/>
                  </w:tcMar>
                  <w:vAlign w:val="center"/>
                </w:tcPr>
                <w:p w14:paraId="6CD60C54">
                  <w:pPr>
                    <w:jc w:val="center"/>
                    <w:rPr>
                      <w:rFonts w:hint="default" w:ascii="Times New Roman" w:hAnsi="Times New Roman" w:cs="Times New Roman"/>
                      <w:bCs/>
                      <w:color w:val="auto"/>
                      <w:sz w:val="18"/>
                      <w:szCs w:val="18"/>
                      <w:lang w:val="en-US" w:eastAsia="zh-CN"/>
                    </w:rPr>
                  </w:pPr>
                  <w:r>
                    <w:rPr>
                      <w:rFonts w:hint="default" w:ascii="Times New Roman" w:hAnsi="Times New Roman" w:cs="Times New Roman"/>
                      <w:bCs/>
                      <w:color w:val="auto"/>
                      <w:sz w:val="18"/>
                      <w:szCs w:val="18"/>
                      <w:lang w:val="en-US" w:eastAsia="zh-CN"/>
                    </w:rPr>
                    <w:t>职工生活</w:t>
                  </w:r>
                </w:p>
              </w:tc>
              <w:tc>
                <w:tcPr>
                  <w:tcW w:w="715" w:type="pct"/>
                  <w:tcMar>
                    <w:top w:w="0" w:type="dxa"/>
                    <w:left w:w="28" w:type="dxa"/>
                    <w:bottom w:w="0" w:type="dxa"/>
                    <w:right w:w="28" w:type="dxa"/>
                  </w:tcMar>
                  <w:vAlign w:val="center"/>
                </w:tcPr>
                <w:p w14:paraId="62A31F17">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生活垃圾</w:t>
                  </w:r>
                </w:p>
              </w:tc>
              <w:tc>
                <w:tcPr>
                  <w:tcW w:w="416" w:type="pct"/>
                  <w:tcMar>
                    <w:top w:w="0" w:type="dxa"/>
                    <w:left w:w="28" w:type="dxa"/>
                    <w:bottom w:w="0" w:type="dxa"/>
                    <w:right w:w="28" w:type="dxa"/>
                  </w:tcMar>
                  <w:vAlign w:val="center"/>
                </w:tcPr>
                <w:p w14:paraId="5569C31B">
                  <w:pPr>
                    <w:adjustRightInd w:val="0"/>
                    <w:snapToGrid w:val="0"/>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固体</w:t>
                  </w:r>
                </w:p>
              </w:tc>
              <w:tc>
                <w:tcPr>
                  <w:tcW w:w="641" w:type="pct"/>
                  <w:tcMar>
                    <w:top w:w="0" w:type="dxa"/>
                    <w:left w:w="28" w:type="dxa"/>
                    <w:bottom w:w="0" w:type="dxa"/>
                    <w:right w:w="28" w:type="dxa"/>
                  </w:tcMar>
                  <w:vAlign w:val="center"/>
                </w:tcPr>
                <w:p w14:paraId="768DF5D2">
                  <w:pPr>
                    <w:adjustRightInd w:val="0"/>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w:t>
                  </w:r>
                </w:p>
              </w:tc>
              <w:tc>
                <w:tcPr>
                  <w:tcW w:w="585" w:type="pct"/>
                  <w:tcMar>
                    <w:top w:w="0" w:type="dxa"/>
                    <w:left w:w="28" w:type="dxa"/>
                    <w:bottom w:w="0" w:type="dxa"/>
                    <w:right w:w="28" w:type="dxa"/>
                  </w:tcMar>
                  <w:vAlign w:val="center"/>
                </w:tcPr>
                <w:p w14:paraId="58477659">
                  <w:pPr>
                    <w:adjustRightInd w:val="0"/>
                    <w:snapToGrid w:val="0"/>
                    <w:jc w:val="center"/>
                    <w:rPr>
                      <w:rFonts w:hint="default" w:ascii="Times New Roman" w:hAnsi="Times New Roman" w:cs="Times New Roman"/>
                      <w:color w:val="auto"/>
                      <w:sz w:val="18"/>
                      <w:szCs w:val="18"/>
                      <w:lang w:val="en-US" w:eastAsia="zh-CN"/>
                    </w:rPr>
                  </w:pPr>
                </w:p>
              </w:tc>
              <w:tc>
                <w:tcPr>
                  <w:tcW w:w="585" w:type="pct"/>
                  <w:tcMar>
                    <w:top w:w="0" w:type="dxa"/>
                    <w:left w:w="28" w:type="dxa"/>
                    <w:bottom w:w="0" w:type="dxa"/>
                    <w:right w:w="28" w:type="dxa"/>
                  </w:tcMar>
                  <w:vAlign w:val="center"/>
                </w:tcPr>
                <w:p w14:paraId="59C562E3">
                  <w:pPr>
                    <w:adjustRightInd w:val="0"/>
                    <w:snapToGrid w:val="0"/>
                    <w:jc w:val="center"/>
                    <w:rPr>
                      <w:rFonts w:hint="default" w:ascii="Times New Roman" w:hAnsi="Times New Roman" w:cs="Times New Roman"/>
                      <w:color w:val="auto"/>
                      <w:sz w:val="18"/>
                      <w:szCs w:val="18"/>
                      <w:lang w:val="en-US" w:eastAsia="zh-CN"/>
                    </w:rPr>
                  </w:pPr>
                  <w:r>
                    <w:rPr>
                      <w:rFonts w:hint="eastAsia" w:cs="Times New Roman"/>
                      <w:color w:val="auto"/>
                      <w:sz w:val="18"/>
                      <w:szCs w:val="18"/>
                      <w:lang w:val="en-US" w:eastAsia="zh-CN"/>
                    </w:rPr>
                    <w:t>2.4</w:t>
                  </w:r>
                </w:p>
              </w:tc>
              <w:tc>
                <w:tcPr>
                  <w:tcW w:w="1117" w:type="pct"/>
                  <w:tcMar>
                    <w:top w:w="0" w:type="dxa"/>
                    <w:left w:w="28" w:type="dxa"/>
                    <w:bottom w:w="0" w:type="dxa"/>
                    <w:right w:w="28" w:type="dxa"/>
                  </w:tcMar>
                  <w:vAlign w:val="center"/>
                </w:tcPr>
                <w:p w14:paraId="713546E4">
                  <w:pPr>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由环卫部门定期清运处理</w:t>
                  </w:r>
                </w:p>
              </w:tc>
            </w:tr>
          </w:tbl>
          <w:p w14:paraId="7E1B5409">
            <w:pPr>
              <w:spacing w:line="360" w:lineRule="auto"/>
              <w:ind w:firstLine="420" w:firstLineChars="20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2、环境管理要求</w:t>
            </w:r>
          </w:p>
          <w:p w14:paraId="721675B8">
            <w:pPr>
              <w:autoSpaceDE w:val="0"/>
              <w:autoSpaceDN w:val="0"/>
              <w:adjustRightIn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一般固体废物执行《中华人民共和国固体废物污染环境防治法》相关要求，采取防扬散、防流失、防渗漏或者其他防止污染环境的措施，不得擅自倾倒、堆放、丢弃、遗撒，管理过程中应符合《一般工业固体废物管理台账制定指南（试行）》（公告2021年第82号）要求</w:t>
            </w:r>
            <w:r>
              <w:rPr>
                <w:rFonts w:hint="default" w:ascii="Times New Roman" w:hAnsi="Times New Roman" w:cs="Times New Roman"/>
                <w:color w:val="auto"/>
              </w:rPr>
              <w:t>。贮存区采取防风防雨措施；各类固废应分类收集；贮存区按照《环境保护图形标志——固体废物贮存（处置）场》（GB15562.2）的要求设置环保图形标志；指定专人进行日常管理；做好一般固体废物台账记录，记录一般固废的产生及处置情况</w:t>
            </w:r>
            <w:r>
              <w:rPr>
                <w:rFonts w:hint="default" w:ascii="Times New Roman" w:hAnsi="Times New Roman" w:cs="Times New Roman"/>
                <w:color w:val="auto"/>
                <w:szCs w:val="21"/>
              </w:rPr>
              <w:t>。</w:t>
            </w:r>
          </w:p>
          <w:p w14:paraId="1C4585B8">
            <w:pPr>
              <w:spacing w:line="360" w:lineRule="auto"/>
              <w:ind w:firstLine="420" w:firstLineChars="200"/>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五、地下水</w:t>
            </w:r>
          </w:p>
          <w:p w14:paraId="4A6E2150">
            <w:pPr>
              <w:adjustRightInd w:val="0"/>
              <w:snapToGrid w:val="0"/>
              <w:spacing w:line="360" w:lineRule="auto"/>
              <w:ind w:firstLine="420" w:firstLineChars="200"/>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1、污染途径、类型</w:t>
            </w:r>
          </w:p>
          <w:p w14:paraId="598BB7BE">
            <w:pPr>
              <w:adjustRightInd w:val="0"/>
              <w:snapToGrid w:val="0"/>
              <w:spacing w:line="360" w:lineRule="auto"/>
              <w:ind w:firstLine="420" w:firstLineChars="200"/>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本项目污染源主要为化粪池。化粪池需检查其防渗效果，并使其满足重点防渗区的要求，采取防渗措施后，即使上述污染源发生泄漏，在防渗层完好的情况下也不会发生垂直入渗现象。故而本项目对地下水几乎无影响途径。</w:t>
            </w:r>
          </w:p>
          <w:p w14:paraId="5E2AE17A">
            <w:pPr>
              <w:adjustRightInd w:val="0"/>
              <w:snapToGrid w:val="0"/>
              <w:spacing w:line="360" w:lineRule="auto"/>
              <w:ind w:firstLine="420" w:firstLineChars="200"/>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2、采取保护措施及影响分析</w:t>
            </w:r>
          </w:p>
          <w:p w14:paraId="6C63CBC4">
            <w:pPr>
              <w:adjustRightInd w:val="0"/>
              <w:snapToGrid w:val="0"/>
              <w:spacing w:line="360" w:lineRule="auto"/>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本项目</w:t>
            </w:r>
            <w:r>
              <w:rPr>
                <w:rFonts w:hint="default" w:ascii="Times New Roman" w:hAnsi="Times New Roman" w:cs="Times New Roman" w:eastAsiaTheme="minorEastAsia"/>
                <w:bCs/>
                <w:color w:val="auto"/>
                <w:szCs w:val="21"/>
              </w:rPr>
              <w:t>化粪池需检查其防渗效果，并使其满足重点防渗区的要求，</w:t>
            </w:r>
            <w:r>
              <w:rPr>
                <w:rFonts w:hint="default" w:ascii="Times New Roman" w:hAnsi="Times New Roman" w:cs="Times New Roman" w:eastAsiaTheme="minorEastAsia"/>
                <w:bCs/>
                <w:color w:val="auto"/>
                <w:szCs w:val="21"/>
                <w:lang w:val="en-US" w:eastAsia="zh-CN"/>
              </w:rPr>
              <w:t>生产车间</w:t>
            </w:r>
            <w:r>
              <w:rPr>
                <w:rFonts w:hint="eastAsia" w:ascii="Times New Roman" w:hAnsi="Times New Roman" w:cs="Times New Roman" w:eastAsiaTheme="minorEastAsia"/>
                <w:bCs/>
                <w:color w:val="auto"/>
                <w:szCs w:val="21"/>
                <w:lang w:val="en-US" w:eastAsia="zh-CN"/>
              </w:rPr>
              <w:t>（含配浆池）、仓库、一般固废暂存处等</w:t>
            </w:r>
            <w:r>
              <w:rPr>
                <w:rFonts w:hint="default" w:ascii="Times New Roman" w:hAnsi="Times New Roman" w:cs="Times New Roman" w:eastAsiaTheme="minorEastAsia"/>
                <w:bCs/>
                <w:color w:val="auto"/>
                <w:szCs w:val="21"/>
              </w:rPr>
              <w:t>进行一</w:t>
            </w:r>
            <w:r>
              <w:rPr>
                <w:rFonts w:hint="default" w:ascii="Times New Roman" w:hAnsi="Times New Roman" w:cs="Times New Roman"/>
                <w:bCs/>
                <w:color w:val="auto"/>
                <w:szCs w:val="21"/>
              </w:rPr>
              <w:t>般防渗。分区防渗措施见表4-</w:t>
            </w:r>
            <w:r>
              <w:rPr>
                <w:rFonts w:hint="eastAsia" w:cs="Times New Roman"/>
                <w:bCs/>
                <w:color w:val="auto"/>
                <w:szCs w:val="21"/>
                <w:lang w:val="en-US" w:eastAsia="zh-CN"/>
              </w:rPr>
              <w:t>13</w:t>
            </w:r>
            <w:r>
              <w:rPr>
                <w:rFonts w:hint="default" w:ascii="Times New Roman" w:hAnsi="Times New Roman" w:cs="Times New Roman"/>
                <w:bCs/>
                <w:color w:val="auto"/>
                <w:szCs w:val="21"/>
              </w:rPr>
              <w:t>。企业定期对地面进行检查维护，防止防渗层的破坏，在采取相应的措施后，即使发生泄漏由于进行防渗处理，废液也无法进行下渗，本项目的运营几乎没有影响途径，对地下水影响较小。</w:t>
            </w:r>
          </w:p>
          <w:p w14:paraId="28479965">
            <w:pPr>
              <w:autoSpaceDE w:val="0"/>
              <w:autoSpaceDN w:val="0"/>
              <w:adjustRightInd w:val="0"/>
              <w:snapToGrid w:val="0"/>
              <w:ind w:firstLine="25" w:firstLineChars="12"/>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表4-</w:t>
            </w:r>
            <w:r>
              <w:rPr>
                <w:rFonts w:hint="eastAsia" w:eastAsia="黑体" w:cs="Times New Roman"/>
                <w:color w:val="auto"/>
                <w:szCs w:val="21"/>
                <w:lang w:val="en-US" w:eastAsia="zh-CN"/>
              </w:rPr>
              <w:t>13</w:t>
            </w:r>
            <w:r>
              <w:rPr>
                <w:rFonts w:hint="default" w:ascii="Times New Roman" w:hAnsi="Times New Roman" w:eastAsia="黑体" w:cs="Times New Roman"/>
                <w:color w:val="auto"/>
                <w:szCs w:val="21"/>
              </w:rPr>
              <w:t xml:space="preserve"> 本项目拟采取的防腐、防渗措施</w:t>
            </w:r>
          </w:p>
          <w:tbl>
            <w:tblPr>
              <w:tblStyle w:val="86"/>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9"/>
              <w:gridCol w:w="968"/>
              <w:gridCol w:w="1867"/>
              <w:gridCol w:w="3969"/>
              <w:gridCol w:w="1089"/>
            </w:tblGrid>
            <w:tr w14:paraId="5936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9" w:type="dxa"/>
                  <w:tcBorders>
                    <w:top w:val="single" w:color="auto" w:sz="4" w:space="0"/>
                    <w:left w:val="single" w:color="auto" w:sz="4" w:space="0"/>
                    <w:bottom w:val="single" w:color="auto" w:sz="4" w:space="0"/>
                    <w:right w:val="single" w:color="auto" w:sz="4" w:space="0"/>
                  </w:tcBorders>
                  <w:vAlign w:val="center"/>
                </w:tcPr>
                <w:p w14:paraId="2AE879FD">
                  <w:pPr>
                    <w:adjustRightInd w:val="0"/>
                    <w:snapToGrid w:val="0"/>
                    <w:jc w:val="center"/>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b/>
                      <w:bCs/>
                      <w:color w:val="auto"/>
                      <w:sz w:val="18"/>
                      <w:szCs w:val="18"/>
                    </w:rPr>
                    <w:t>序号</w:t>
                  </w:r>
                </w:p>
              </w:tc>
              <w:tc>
                <w:tcPr>
                  <w:tcW w:w="968" w:type="dxa"/>
                  <w:tcBorders>
                    <w:top w:val="single" w:color="auto" w:sz="4" w:space="0"/>
                    <w:left w:val="single" w:color="auto" w:sz="4" w:space="0"/>
                    <w:bottom w:val="single" w:color="auto" w:sz="4" w:space="0"/>
                    <w:right w:val="single" w:color="auto" w:sz="4" w:space="0"/>
                  </w:tcBorders>
                  <w:vAlign w:val="center"/>
                </w:tcPr>
                <w:p w14:paraId="0EA06E22">
                  <w:pPr>
                    <w:adjustRightInd w:val="0"/>
                    <w:snapToGrid w:val="0"/>
                    <w:jc w:val="center"/>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b/>
                      <w:bCs/>
                      <w:color w:val="auto"/>
                      <w:sz w:val="18"/>
                      <w:szCs w:val="18"/>
                    </w:rPr>
                    <w:t>分区</w:t>
                  </w:r>
                </w:p>
              </w:tc>
              <w:tc>
                <w:tcPr>
                  <w:tcW w:w="1867" w:type="dxa"/>
                  <w:tcBorders>
                    <w:top w:val="single" w:color="auto" w:sz="4" w:space="0"/>
                    <w:left w:val="single" w:color="auto" w:sz="4" w:space="0"/>
                    <w:bottom w:val="single" w:color="auto" w:sz="4" w:space="0"/>
                    <w:right w:val="single" w:color="auto" w:sz="4" w:space="0"/>
                  </w:tcBorders>
                  <w:vAlign w:val="center"/>
                </w:tcPr>
                <w:p w14:paraId="0563D744">
                  <w:pPr>
                    <w:adjustRightInd w:val="0"/>
                    <w:snapToGrid w:val="0"/>
                    <w:jc w:val="center"/>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b/>
                      <w:bCs/>
                      <w:color w:val="auto"/>
                      <w:sz w:val="18"/>
                      <w:szCs w:val="18"/>
                    </w:rPr>
                    <w:t>名称</w:t>
                  </w:r>
                </w:p>
              </w:tc>
              <w:tc>
                <w:tcPr>
                  <w:tcW w:w="3969" w:type="dxa"/>
                  <w:tcBorders>
                    <w:top w:val="single" w:color="auto" w:sz="4" w:space="0"/>
                    <w:left w:val="single" w:color="auto" w:sz="4" w:space="0"/>
                    <w:bottom w:val="single" w:color="auto" w:sz="4" w:space="0"/>
                    <w:right w:val="single" w:color="auto" w:sz="4" w:space="0"/>
                  </w:tcBorders>
                  <w:vAlign w:val="center"/>
                </w:tcPr>
                <w:p w14:paraId="0CEC7608">
                  <w:pPr>
                    <w:adjustRightInd w:val="0"/>
                    <w:snapToGrid w:val="0"/>
                    <w:jc w:val="center"/>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b/>
                      <w:bCs/>
                      <w:color w:val="auto"/>
                      <w:sz w:val="18"/>
                      <w:szCs w:val="18"/>
                    </w:rPr>
                    <w:t>防渗要求</w:t>
                  </w:r>
                </w:p>
              </w:tc>
              <w:tc>
                <w:tcPr>
                  <w:tcW w:w="1089" w:type="dxa"/>
                  <w:tcBorders>
                    <w:top w:val="single" w:color="auto" w:sz="4" w:space="0"/>
                    <w:left w:val="single" w:color="auto" w:sz="4" w:space="0"/>
                    <w:bottom w:val="single" w:color="auto" w:sz="4" w:space="0"/>
                    <w:right w:val="single" w:color="auto" w:sz="4" w:space="0"/>
                  </w:tcBorders>
                  <w:vAlign w:val="center"/>
                </w:tcPr>
                <w:p w14:paraId="3AB7562F">
                  <w:pPr>
                    <w:adjustRightInd w:val="0"/>
                    <w:snapToGrid w:val="0"/>
                    <w:jc w:val="center"/>
                    <w:rPr>
                      <w:rFonts w:hint="default" w:ascii="Times New Roman" w:hAnsi="Times New Roman" w:cs="Times New Roman" w:eastAsiaTheme="minorEastAsia"/>
                      <w:b/>
                      <w:bCs/>
                      <w:color w:val="auto"/>
                      <w:sz w:val="18"/>
                      <w:szCs w:val="18"/>
                    </w:rPr>
                  </w:pPr>
                  <w:r>
                    <w:rPr>
                      <w:rFonts w:hint="default" w:ascii="Times New Roman" w:hAnsi="Times New Roman" w:cs="Times New Roman" w:eastAsiaTheme="minorEastAsia"/>
                      <w:b/>
                      <w:bCs/>
                      <w:color w:val="auto"/>
                      <w:sz w:val="18"/>
                      <w:szCs w:val="18"/>
                    </w:rPr>
                    <w:t>效果</w:t>
                  </w:r>
                </w:p>
              </w:tc>
            </w:tr>
            <w:tr w14:paraId="17CE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14:paraId="1445FC41">
                  <w:pPr>
                    <w:adjustRightInd w:val="0"/>
                    <w:snapToGrid w:val="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1</w:t>
                  </w:r>
                </w:p>
              </w:tc>
              <w:tc>
                <w:tcPr>
                  <w:tcW w:w="968" w:type="dxa"/>
                  <w:tcBorders>
                    <w:top w:val="single" w:color="auto" w:sz="4" w:space="0"/>
                    <w:left w:val="single" w:color="auto" w:sz="4" w:space="0"/>
                    <w:bottom w:val="single" w:color="auto" w:sz="4" w:space="0"/>
                    <w:right w:val="single" w:color="auto" w:sz="4" w:space="0"/>
                  </w:tcBorders>
                  <w:vAlign w:val="center"/>
                </w:tcPr>
                <w:p w14:paraId="5A9DFA98">
                  <w:pPr>
                    <w:adjustRightInd w:val="0"/>
                    <w:snapToGrid w:val="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重点防渗区</w:t>
                  </w:r>
                </w:p>
              </w:tc>
              <w:tc>
                <w:tcPr>
                  <w:tcW w:w="1867" w:type="dxa"/>
                  <w:tcBorders>
                    <w:top w:val="single" w:color="auto" w:sz="4" w:space="0"/>
                    <w:left w:val="single" w:color="auto" w:sz="4" w:space="0"/>
                    <w:right w:val="single" w:color="auto" w:sz="4" w:space="0"/>
                  </w:tcBorders>
                  <w:vAlign w:val="center"/>
                </w:tcPr>
                <w:p w14:paraId="3174889D">
                  <w:pPr>
                    <w:adjustRightInd w:val="0"/>
                    <w:snapToGri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eastAsiaTheme="minorEastAsia"/>
                      <w:color w:val="auto"/>
                      <w:sz w:val="18"/>
                      <w:szCs w:val="18"/>
                    </w:rPr>
                    <w:t>化粪池</w:t>
                  </w:r>
                </w:p>
              </w:tc>
              <w:tc>
                <w:tcPr>
                  <w:tcW w:w="3969" w:type="dxa"/>
                  <w:tcBorders>
                    <w:top w:val="single" w:color="auto" w:sz="4" w:space="0"/>
                    <w:left w:val="single" w:color="auto" w:sz="4" w:space="0"/>
                    <w:right w:val="single" w:color="auto" w:sz="4" w:space="0"/>
                  </w:tcBorders>
                  <w:vAlign w:val="center"/>
                </w:tcPr>
                <w:p w14:paraId="5820BDE0">
                  <w:pPr>
                    <w:adjustRightInd w:val="0"/>
                    <w:snapToGrid w:val="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至少1m厚黏土层（渗透系数K≤1×10</w:t>
                  </w:r>
                  <w:r>
                    <w:rPr>
                      <w:rFonts w:hint="default" w:ascii="Times New Roman" w:hAnsi="Times New Roman" w:cs="Times New Roman" w:eastAsiaTheme="minorEastAsia"/>
                      <w:color w:val="auto"/>
                      <w:sz w:val="18"/>
                      <w:szCs w:val="18"/>
                      <w:vertAlign w:val="superscript"/>
                    </w:rPr>
                    <w:t>-7</w:t>
                  </w:r>
                  <w:r>
                    <w:rPr>
                      <w:rFonts w:hint="default" w:ascii="Times New Roman" w:hAnsi="Times New Roman" w:cs="Times New Roman" w:eastAsiaTheme="minorEastAsia"/>
                      <w:color w:val="auto"/>
                      <w:sz w:val="18"/>
                      <w:szCs w:val="18"/>
                    </w:rPr>
                    <w:t>cm/s），或2mm厚高密度聚乙烯膜，或至少2mm厚的其他人工材料，渗透系数≤10</w:t>
                  </w:r>
                  <w:r>
                    <w:rPr>
                      <w:rFonts w:hint="default" w:ascii="Times New Roman" w:hAnsi="Times New Roman" w:cs="Times New Roman" w:eastAsiaTheme="minorEastAsia"/>
                      <w:color w:val="auto"/>
                      <w:sz w:val="18"/>
                      <w:szCs w:val="18"/>
                      <w:vertAlign w:val="superscript"/>
                    </w:rPr>
                    <w:t>-10</w:t>
                  </w:r>
                  <w:r>
                    <w:rPr>
                      <w:rFonts w:hint="default" w:ascii="Times New Roman" w:hAnsi="Times New Roman" w:cs="Times New Roman" w:eastAsiaTheme="minorEastAsia"/>
                      <w:color w:val="auto"/>
                      <w:sz w:val="18"/>
                      <w:szCs w:val="18"/>
                    </w:rPr>
                    <w:t>cm/s</w:t>
                  </w:r>
                </w:p>
              </w:tc>
              <w:tc>
                <w:tcPr>
                  <w:tcW w:w="1089" w:type="dxa"/>
                  <w:tcBorders>
                    <w:top w:val="single" w:color="auto" w:sz="4" w:space="0"/>
                    <w:left w:val="single" w:color="auto" w:sz="4" w:space="0"/>
                    <w:right w:val="single" w:color="auto" w:sz="4" w:space="0"/>
                  </w:tcBorders>
                  <w:vAlign w:val="center"/>
                </w:tcPr>
                <w:p w14:paraId="510BBEA9">
                  <w:pPr>
                    <w:adjustRightInd w:val="0"/>
                    <w:snapToGrid w:val="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满足</w:t>
                  </w:r>
                </w:p>
              </w:tc>
            </w:tr>
            <w:tr w14:paraId="0080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9" w:type="dxa"/>
                  <w:tcBorders>
                    <w:top w:val="single" w:color="auto" w:sz="4" w:space="0"/>
                    <w:left w:val="single" w:color="auto" w:sz="4" w:space="0"/>
                    <w:bottom w:val="single" w:color="auto" w:sz="4" w:space="0"/>
                    <w:right w:val="single" w:color="auto" w:sz="4" w:space="0"/>
                  </w:tcBorders>
                  <w:vAlign w:val="center"/>
                </w:tcPr>
                <w:p w14:paraId="6A31B853">
                  <w:pPr>
                    <w:adjustRightInd w:val="0"/>
                    <w:snapToGrid w:val="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2</w:t>
                  </w:r>
                </w:p>
              </w:tc>
              <w:tc>
                <w:tcPr>
                  <w:tcW w:w="968" w:type="dxa"/>
                  <w:tcBorders>
                    <w:top w:val="single" w:color="auto" w:sz="4" w:space="0"/>
                    <w:left w:val="single" w:color="auto" w:sz="4" w:space="0"/>
                    <w:bottom w:val="single" w:color="auto" w:sz="4" w:space="0"/>
                    <w:right w:val="single" w:color="auto" w:sz="4" w:space="0"/>
                  </w:tcBorders>
                  <w:vAlign w:val="center"/>
                </w:tcPr>
                <w:p w14:paraId="2FC8C028">
                  <w:pPr>
                    <w:adjustRightInd w:val="0"/>
                    <w:snapToGrid w:val="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一般防渗区</w:t>
                  </w:r>
                </w:p>
              </w:tc>
              <w:tc>
                <w:tcPr>
                  <w:tcW w:w="1867" w:type="dxa"/>
                  <w:tcBorders>
                    <w:top w:val="single" w:color="auto" w:sz="4" w:space="0"/>
                    <w:left w:val="single" w:color="auto" w:sz="4" w:space="0"/>
                    <w:bottom w:val="single" w:color="auto" w:sz="4" w:space="0"/>
                    <w:right w:val="single" w:color="auto" w:sz="4" w:space="0"/>
                  </w:tcBorders>
                  <w:vAlign w:val="center"/>
                </w:tcPr>
                <w:p w14:paraId="40E7C67E">
                  <w:pPr>
                    <w:adjustRightInd w:val="0"/>
                    <w:snapToGrid w:val="0"/>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生产车间</w:t>
                  </w:r>
                  <w:r>
                    <w:rPr>
                      <w:rFonts w:hint="eastAsia" w:cs="Times New Roman" w:eastAsiaTheme="minorEastAsia"/>
                      <w:color w:val="auto"/>
                      <w:sz w:val="18"/>
                      <w:szCs w:val="18"/>
                      <w:lang w:val="en-US" w:eastAsia="zh-CN"/>
                    </w:rPr>
                    <w:t>（含配浆池）、仓库、一般固废暂存处</w:t>
                  </w:r>
                </w:p>
              </w:tc>
              <w:tc>
                <w:tcPr>
                  <w:tcW w:w="3969" w:type="dxa"/>
                  <w:tcBorders>
                    <w:top w:val="single" w:color="auto" w:sz="4" w:space="0"/>
                    <w:left w:val="single" w:color="auto" w:sz="4" w:space="0"/>
                    <w:bottom w:val="single" w:color="auto" w:sz="4" w:space="0"/>
                    <w:right w:val="single" w:color="auto" w:sz="4" w:space="0"/>
                  </w:tcBorders>
                  <w:vAlign w:val="center"/>
                </w:tcPr>
                <w:p w14:paraId="212B573C">
                  <w:pPr>
                    <w:adjustRightInd w:val="0"/>
                    <w:snapToGrid w:val="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等效黏土防渗层Mb≥1.5m，K≤1×10</w:t>
                  </w:r>
                  <w:r>
                    <w:rPr>
                      <w:rFonts w:hint="default" w:ascii="Times New Roman" w:hAnsi="Times New Roman" w:cs="Times New Roman" w:eastAsiaTheme="minorEastAsia"/>
                      <w:color w:val="auto"/>
                      <w:sz w:val="18"/>
                      <w:szCs w:val="18"/>
                      <w:vertAlign w:val="superscript"/>
                    </w:rPr>
                    <w:t>-7</w:t>
                  </w:r>
                  <w:r>
                    <w:rPr>
                      <w:rFonts w:hint="default" w:ascii="Times New Roman" w:hAnsi="Times New Roman" w:cs="Times New Roman" w:eastAsiaTheme="minorEastAsia"/>
                      <w:color w:val="auto"/>
                      <w:sz w:val="18"/>
                      <w:szCs w:val="18"/>
                    </w:rPr>
                    <w:t>cm/s</w:t>
                  </w:r>
                </w:p>
              </w:tc>
              <w:tc>
                <w:tcPr>
                  <w:tcW w:w="1089" w:type="dxa"/>
                  <w:tcBorders>
                    <w:top w:val="single" w:color="auto" w:sz="4" w:space="0"/>
                    <w:left w:val="single" w:color="auto" w:sz="4" w:space="0"/>
                    <w:right w:val="single" w:color="auto" w:sz="4" w:space="0"/>
                  </w:tcBorders>
                  <w:vAlign w:val="center"/>
                </w:tcPr>
                <w:p w14:paraId="4D9FE1A7">
                  <w:pPr>
                    <w:adjustRightInd w:val="0"/>
                    <w:snapToGrid w:val="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满足</w:t>
                  </w:r>
                </w:p>
              </w:tc>
            </w:tr>
            <w:tr w14:paraId="481A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9" w:type="dxa"/>
                  <w:tcBorders>
                    <w:top w:val="single" w:color="auto" w:sz="4" w:space="0"/>
                    <w:left w:val="single" w:color="auto" w:sz="4" w:space="0"/>
                    <w:bottom w:val="single" w:color="auto" w:sz="4" w:space="0"/>
                    <w:right w:val="single" w:color="auto" w:sz="4" w:space="0"/>
                  </w:tcBorders>
                  <w:vAlign w:val="center"/>
                </w:tcPr>
                <w:p w14:paraId="2B717969">
                  <w:pPr>
                    <w:adjustRightInd w:val="0"/>
                    <w:snapToGrid w:val="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3</w:t>
                  </w:r>
                </w:p>
              </w:tc>
              <w:tc>
                <w:tcPr>
                  <w:tcW w:w="968" w:type="dxa"/>
                  <w:tcBorders>
                    <w:top w:val="single" w:color="auto" w:sz="4" w:space="0"/>
                    <w:left w:val="single" w:color="auto" w:sz="4" w:space="0"/>
                    <w:bottom w:val="single" w:color="auto" w:sz="4" w:space="0"/>
                    <w:right w:val="single" w:color="auto" w:sz="4" w:space="0"/>
                  </w:tcBorders>
                  <w:vAlign w:val="center"/>
                </w:tcPr>
                <w:p w14:paraId="0F852313">
                  <w:pPr>
                    <w:adjustRightInd w:val="0"/>
                    <w:snapToGrid w:val="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简单防渗区</w:t>
                  </w:r>
                </w:p>
              </w:tc>
              <w:tc>
                <w:tcPr>
                  <w:tcW w:w="1867" w:type="dxa"/>
                  <w:tcBorders>
                    <w:top w:val="single" w:color="auto" w:sz="4" w:space="0"/>
                    <w:left w:val="single" w:color="auto" w:sz="4" w:space="0"/>
                    <w:bottom w:val="single" w:color="auto" w:sz="4" w:space="0"/>
                    <w:right w:val="single" w:color="auto" w:sz="4" w:space="0"/>
                  </w:tcBorders>
                  <w:vAlign w:val="center"/>
                </w:tcPr>
                <w:p w14:paraId="66553EF7">
                  <w:pPr>
                    <w:adjustRightInd w:val="0"/>
                    <w:snapToGrid w:val="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其他区域</w:t>
                  </w:r>
                </w:p>
              </w:tc>
              <w:tc>
                <w:tcPr>
                  <w:tcW w:w="3969" w:type="dxa"/>
                  <w:tcBorders>
                    <w:top w:val="single" w:color="auto" w:sz="4" w:space="0"/>
                    <w:left w:val="single" w:color="auto" w:sz="4" w:space="0"/>
                    <w:bottom w:val="single" w:color="auto" w:sz="4" w:space="0"/>
                    <w:right w:val="single" w:color="auto" w:sz="4" w:space="0"/>
                  </w:tcBorders>
                  <w:vAlign w:val="center"/>
                </w:tcPr>
                <w:p w14:paraId="67E64BB3">
                  <w:pPr>
                    <w:adjustRightInd w:val="0"/>
                    <w:snapToGrid w:val="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一般地面硬化措施</w:t>
                  </w:r>
                </w:p>
              </w:tc>
              <w:tc>
                <w:tcPr>
                  <w:tcW w:w="1089" w:type="dxa"/>
                  <w:tcBorders>
                    <w:top w:val="single" w:color="auto" w:sz="4" w:space="0"/>
                    <w:left w:val="single" w:color="auto" w:sz="4" w:space="0"/>
                    <w:bottom w:val="single" w:color="auto" w:sz="4" w:space="0"/>
                    <w:right w:val="single" w:color="auto" w:sz="4" w:space="0"/>
                  </w:tcBorders>
                  <w:vAlign w:val="center"/>
                </w:tcPr>
                <w:p w14:paraId="6C081F2A">
                  <w:pPr>
                    <w:adjustRightInd w:val="0"/>
                    <w:snapToGrid w:val="0"/>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满足</w:t>
                  </w:r>
                </w:p>
              </w:tc>
            </w:tr>
          </w:tbl>
          <w:p w14:paraId="06A0C7D6">
            <w:pPr>
              <w:spacing w:line="360" w:lineRule="auto"/>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在日常运行时应当加强化粪池的防渗的巡检和维护工作，确保防渗层不破损。在污染防治措施到位，严格管理的前提下，本项目对土壤和地下水影响极小。</w:t>
            </w:r>
          </w:p>
          <w:p w14:paraId="1352A1A5">
            <w:pPr>
              <w:adjustRightInd w:val="0"/>
              <w:snapToGrid w:val="0"/>
              <w:spacing w:line="360" w:lineRule="auto"/>
              <w:ind w:left="420"/>
              <w:rPr>
                <w:rFonts w:hint="default" w:ascii="Times New Roman" w:hAnsi="Times New Roman" w:eastAsia="黑体" w:cs="Times New Roman"/>
                <w:bCs/>
                <w:color w:val="auto"/>
              </w:rPr>
            </w:pPr>
            <w:r>
              <w:rPr>
                <w:rFonts w:hint="default" w:ascii="Times New Roman" w:hAnsi="Times New Roman" w:eastAsia="黑体" w:cs="Times New Roman"/>
                <w:bCs/>
                <w:color w:val="auto"/>
              </w:rPr>
              <w:t>3、跟踪监测要求</w:t>
            </w:r>
          </w:p>
          <w:p w14:paraId="758128A8">
            <w:pPr>
              <w:adjustRightInd w:val="0"/>
              <w:snapToGrid w:val="0"/>
              <w:spacing w:line="360" w:lineRule="auto"/>
              <w:ind w:firstLine="420" w:firstLineChars="200"/>
              <w:rPr>
                <w:rFonts w:hint="default" w:ascii="Times New Roman" w:hAnsi="Times New Roman" w:cs="Times New Roman"/>
                <w:bCs/>
                <w:color w:val="auto"/>
                <w:lang w:val="zh-CN"/>
              </w:rPr>
            </w:pPr>
            <w:r>
              <w:rPr>
                <w:rFonts w:hint="default" w:ascii="Times New Roman" w:hAnsi="Times New Roman" w:cs="Times New Roman"/>
                <w:bCs/>
                <w:color w:val="auto"/>
                <w:lang w:val="zh-CN"/>
              </w:rPr>
              <w:t>根据以上分析，本项目正常工况下无污染地下水、土壤环境等重大危险源，且项目500米范围内无地下水集中式饮用水水源和热水、矿泉水、温泉等特殊地下水资源，运营期正常工况下不需要针对地下水、土壤环境污染进行跟踪监测。</w:t>
            </w:r>
          </w:p>
          <w:p w14:paraId="7285A1CE">
            <w:pPr>
              <w:spacing w:line="360" w:lineRule="auto"/>
              <w:ind w:firstLine="420" w:firstLineChars="200"/>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六、土壤</w:t>
            </w:r>
          </w:p>
          <w:p w14:paraId="7F9D676E">
            <w:pPr>
              <w:adjustRightInd w:val="0"/>
              <w:snapToGrid w:val="0"/>
              <w:spacing w:line="360" w:lineRule="auto"/>
              <w:ind w:firstLine="420" w:firstLineChars="200"/>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1、污染途径、类型</w:t>
            </w:r>
          </w:p>
          <w:p w14:paraId="628FCF75">
            <w:pPr>
              <w:pStyle w:val="27"/>
              <w:spacing w:line="360" w:lineRule="auto"/>
              <w:ind w:firstLine="420" w:firstLineChars="200"/>
              <w:jc w:val="both"/>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本项目主要土壤污染源主要分布在生产车间（含配浆池）、仓库、一般固废暂存处、化粪池</w:t>
            </w:r>
            <w:r>
              <w:rPr>
                <w:rFonts w:hint="default"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lang w:val="en-US" w:eastAsia="zh-CN"/>
              </w:rPr>
              <w:t>含隔油池）</w:t>
            </w:r>
            <w:r>
              <w:rPr>
                <w:rFonts w:hint="default" w:ascii="Times New Roman" w:hAnsi="Times New Roman" w:cs="Times New Roman" w:eastAsiaTheme="minorEastAsia"/>
                <w:bCs/>
                <w:color w:val="auto"/>
                <w:sz w:val="21"/>
                <w:szCs w:val="21"/>
              </w:rPr>
              <w:t>，主要污染因子主要为颗粒物</w:t>
            </w:r>
            <w:r>
              <w:rPr>
                <w:rFonts w:hint="default"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lang w:val="en-US" w:eastAsia="zh-CN"/>
              </w:rPr>
              <w:t>COD、氨氮</w:t>
            </w:r>
            <w:r>
              <w:rPr>
                <w:rFonts w:hint="default" w:ascii="Times New Roman" w:hAnsi="Times New Roman" w:cs="Times New Roman" w:eastAsiaTheme="minorEastAsia"/>
                <w:bCs/>
                <w:color w:val="auto"/>
                <w:sz w:val="21"/>
                <w:szCs w:val="21"/>
              </w:rPr>
              <w:t>，主要污染途径为大气沉降和垂直入渗。</w:t>
            </w:r>
          </w:p>
          <w:p w14:paraId="4B635062">
            <w:pPr>
              <w:adjustRightInd w:val="0"/>
              <w:snapToGrid w:val="0"/>
              <w:spacing w:line="360" w:lineRule="auto"/>
              <w:ind w:firstLine="420" w:firstLineChars="200"/>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2、采取保护措施及影响分析</w:t>
            </w:r>
          </w:p>
          <w:p w14:paraId="667C3996">
            <w:pPr>
              <w:adjustRightInd w:val="0"/>
              <w:snapToGrid w:val="0"/>
              <w:spacing w:line="360" w:lineRule="auto"/>
              <w:ind w:firstLine="420" w:firstLineChars="200"/>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本项目厂区</w:t>
            </w:r>
            <w:r>
              <w:rPr>
                <w:rFonts w:hint="default" w:ascii="Times New Roman" w:hAnsi="Times New Roman" w:cs="Times New Roman" w:eastAsiaTheme="minorEastAsia"/>
                <w:bCs/>
                <w:color w:val="auto"/>
                <w:szCs w:val="21"/>
                <w:lang w:val="en-US" w:eastAsia="zh-CN"/>
              </w:rPr>
              <w:t>生产车间（含配浆池）、仓库、一般固废暂存处</w:t>
            </w:r>
            <w:r>
              <w:rPr>
                <w:rFonts w:hint="default" w:ascii="Times New Roman" w:hAnsi="Times New Roman" w:cs="Times New Roman" w:eastAsiaTheme="minorEastAsia"/>
                <w:bCs/>
                <w:color w:val="auto"/>
                <w:sz w:val="21"/>
                <w:szCs w:val="21"/>
              </w:rPr>
              <w:t>、化粪池</w:t>
            </w:r>
            <w:r>
              <w:rPr>
                <w:rFonts w:hint="default"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lang w:val="en-US" w:eastAsia="zh-CN"/>
              </w:rPr>
              <w:t>含隔油池）</w:t>
            </w:r>
            <w:r>
              <w:rPr>
                <w:rFonts w:hint="default" w:ascii="Times New Roman" w:hAnsi="Times New Roman" w:cs="Times New Roman" w:eastAsiaTheme="minorEastAsia"/>
                <w:bCs/>
                <w:color w:val="auto"/>
                <w:szCs w:val="21"/>
              </w:rPr>
              <w:t>根据生产情况的防渗硬化处理，防渗措施详见表4-</w:t>
            </w:r>
            <w:r>
              <w:rPr>
                <w:rFonts w:hint="eastAsia" w:cs="Times New Roman" w:eastAsiaTheme="minorEastAsia"/>
                <w:bCs/>
                <w:color w:val="auto"/>
                <w:szCs w:val="21"/>
                <w:lang w:val="en-US" w:eastAsia="zh-CN"/>
              </w:rPr>
              <w:t>13</w:t>
            </w:r>
            <w:r>
              <w:rPr>
                <w:rFonts w:hint="default" w:ascii="Times New Roman" w:hAnsi="Times New Roman" w:cs="Times New Roman" w:eastAsiaTheme="minorEastAsia"/>
                <w:bCs/>
                <w:color w:val="auto"/>
                <w:szCs w:val="21"/>
              </w:rPr>
              <w:t>。企业定期对地面进行检查维护，防止防渗层的破坏，在采取相应的措施后，本项目厂区及周边50m范围内均硬化，基本不会存在污染途径，不会对周边土壤产生影响。综上，本项目的运营对土壤影响较小。</w:t>
            </w:r>
          </w:p>
          <w:p w14:paraId="7C12DCD2">
            <w:pPr>
              <w:adjustRightInd w:val="0"/>
              <w:snapToGrid w:val="0"/>
              <w:spacing w:line="360" w:lineRule="auto"/>
              <w:ind w:firstLine="420" w:firstLineChars="200"/>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3、跟踪监测</w:t>
            </w:r>
          </w:p>
          <w:p w14:paraId="2C73B698">
            <w:pPr>
              <w:adjustRightInd w:val="0"/>
              <w:snapToGrid w:val="0"/>
              <w:spacing w:line="360" w:lineRule="auto"/>
              <w:ind w:firstLine="420" w:firstLineChars="200"/>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由于</w:t>
            </w:r>
            <w:r>
              <w:rPr>
                <w:rFonts w:hint="eastAsia" w:cs="Times New Roman" w:eastAsiaTheme="minorEastAsia"/>
                <w:bCs/>
                <w:color w:val="auto"/>
                <w:szCs w:val="21"/>
                <w:lang w:eastAsia="zh-CN"/>
              </w:rPr>
              <w:t>本项目</w:t>
            </w:r>
            <w:r>
              <w:rPr>
                <w:rFonts w:hint="default" w:ascii="Times New Roman" w:hAnsi="Times New Roman" w:cs="Times New Roman" w:eastAsiaTheme="minorEastAsia"/>
                <w:bCs/>
                <w:color w:val="auto"/>
                <w:szCs w:val="21"/>
              </w:rPr>
              <w:t>厂区内均硬化，在采取土壤污染防治措施后基本不会存在污染途径，不会对周边土壤产生影响。无需进行土壤跟踪监测。</w:t>
            </w:r>
          </w:p>
          <w:p w14:paraId="16323382">
            <w:pPr>
              <w:adjustRightInd w:val="0"/>
              <w:snapToGrid w:val="0"/>
              <w:spacing w:line="360" w:lineRule="auto"/>
              <w:ind w:firstLine="420" w:firstLineChars="200"/>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七、生态</w:t>
            </w:r>
          </w:p>
          <w:p w14:paraId="6A0892EA">
            <w:pPr>
              <w:spacing w:line="360" w:lineRule="auto"/>
              <w:ind w:firstLine="420" w:firstLineChars="200"/>
              <w:rPr>
                <w:rFonts w:hint="default" w:ascii="Times New Roman" w:hAnsi="Times New Roman" w:eastAsia="Calibri" w:cs="Times New Roman"/>
                <w:color w:val="auto"/>
                <w:sz w:val="22"/>
                <w:szCs w:val="22"/>
              </w:rPr>
            </w:pPr>
            <w:r>
              <w:rPr>
                <w:rFonts w:hint="eastAsia" w:cs="Times New Roman"/>
                <w:color w:val="auto"/>
                <w:lang w:eastAsia="zh-CN"/>
              </w:rPr>
              <w:t>本项目</w:t>
            </w:r>
            <w:r>
              <w:rPr>
                <w:rFonts w:hint="default" w:ascii="Times New Roman" w:hAnsi="Times New Roman" w:cs="Times New Roman"/>
                <w:color w:val="auto"/>
              </w:rPr>
              <w:t>利用现有车间技改，不新增占地，用地范围内无生态环境保护目标，无需进行生态现状调查。</w:t>
            </w:r>
            <w:r>
              <w:rPr>
                <w:rFonts w:hint="default" w:ascii="Times New Roman" w:hAnsi="Times New Roman" w:cs="Times New Roman"/>
                <w:bCs/>
                <w:color w:val="auto"/>
                <w:szCs w:val="21"/>
              </w:rPr>
              <w:t>项目占地内原有生物物种在项目周围地域广泛存在，基本不影响评价区域的生物多样性，项目运营对周围生态环境基本上没有产生明显的影响。</w:t>
            </w:r>
          </w:p>
          <w:p w14:paraId="4024427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黑体" w:cs="Times New Roman"/>
                <w:bCs/>
                <w:color w:val="auto"/>
                <w:szCs w:val="21"/>
              </w:rPr>
            </w:pPr>
            <w:r>
              <w:rPr>
                <w:rFonts w:hint="default" w:ascii="Times New Roman" w:hAnsi="Times New Roman" w:eastAsia="黑体" w:cs="Times New Roman"/>
                <w:bCs/>
                <w:color w:val="auto"/>
                <w:szCs w:val="21"/>
              </w:rPr>
              <w:t>八、环境风险分析</w:t>
            </w:r>
          </w:p>
          <w:p w14:paraId="5D86E43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1、现有风险防范措施的回顾</w:t>
            </w:r>
          </w:p>
          <w:p w14:paraId="27D9CBD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根据现有环评及验收可知，</w:t>
            </w:r>
            <w:r>
              <w:rPr>
                <w:rFonts w:hint="default" w:ascii="Times New Roman" w:hAnsi="Times New Roman" w:cs="Times New Roman"/>
                <w:color w:val="auto"/>
                <w:szCs w:val="21"/>
                <w:lang w:val="en-US" w:eastAsia="zh-CN"/>
              </w:rPr>
              <w:t>现有项目风险物质</w:t>
            </w:r>
            <w:r>
              <w:rPr>
                <w:rFonts w:hint="eastAsia" w:cs="Times New Roman"/>
                <w:color w:val="auto"/>
                <w:szCs w:val="21"/>
                <w:lang w:val="en-US" w:eastAsia="zh-CN"/>
              </w:rPr>
              <w:t>主要为废活性炭，储存于危废间，</w:t>
            </w:r>
            <w:r>
              <w:rPr>
                <w:rFonts w:hint="eastAsia"/>
                <w:color w:val="auto"/>
                <w:highlight w:val="none"/>
              </w:rPr>
              <w:t>Q值为</w:t>
            </w:r>
            <w:r>
              <w:rPr>
                <w:rFonts w:hint="eastAsia"/>
                <w:color w:val="auto"/>
                <w:highlight w:val="none"/>
                <w:lang w:val="en-US" w:eastAsia="zh-CN"/>
              </w:rPr>
              <w:t>小于1</w:t>
            </w:r>
            <w:r>
              <w:rPr>
                <w:rFonts w:hint="eastAsia"/>
                <w:color w:val="auto"/>
                <w:highlight w:val="none"/>
              </w:rPr>
              <w:t>，未达到临界量</w:t>
            </w:r>
            <w:r>
              <w:rPr>
                <w:rFonts w:hint="default" w:ascii="Times New Roman" w:hAnsi="Times New Roman" w:cs="Times New Roman"/>
                <w:color w:val="auto"/>
                <w:szCs w:val="21"/>
                <w:lang w:val="en-US" w:eastAsia="zh-CN"/>
              </w:rPr>
              <w:t>，主要环境风险为</w:t>
            </w:r>
            <w:r>
              <w:rPr>
                <w:rFonts w:hint="default" w:ascii="Times New Roman" w:hAnsi="Times New Roman" w:cs="Times New Roman"/>
                <w:color w:val="auto"/>
              </w:rPr>
              <w:t>电器设备维护管理和使用不当，明火管理不当，吸烟等，</w:t>
            </w:r>
            <w:r>
              <w:rPr>
                <w:rFonts w:hint="default" w:ascii="Times New Roman" w:hAnsi="Times New Roman" w:cs="Times New Roman"/>
                <w:color w:val="auto"/>
                <w:lang w:val="en-US" w:eastAsia="zh-CN"/>
              </w:rPr>
              <w:t>引起的</w:t>
            </w:r>
            <w:r>
              <w:rPr>
                <w:rFonts w:hint="default" w:ascii="Times New Roman" w:hAnsi="Times New Roman" w:cs="Times New Roman"/>
                <w:color w:val="auto"/>
              </w:rPr>
              <w:t>火灾事故</w:t>
            </w:r>
            <w:r>
              <w:rPr>
                <w:rFonts w:hint="default" w:ascii="Times New Roman" w:hAnsi="Times New Roman" w:cs="Times New Roman"/>
                <w:color w:val="auto"/>
                <w:lang w:eastAsia="zh-CN"/>
              </w:rPr>
              <w:t>。</w:t>
            </w:r>
            <w:r>
              <w:rPr>
                <w:rFonts w:hint="default" w:ascii="Times New Roman" w:hAnsi="Times New Roman" w:cs="Times New Roman"/>
                <w:color w:val="auto"/>
              </w:rPr>
              <w:t>主要采取以下物料泄漏事故的预防措施</w:t>
            </w:r>
            <w:r>
              <w:rPr>
                <w:rFonts w:hint="default" w:ascii="Times New Roman" w:hAnsi="Times New Roman" w:cs="Times New Roman"/>
                <w:color w:val="auto"/>
                <w:lang w:eastAsia="zh-CN"/>
              </w:rPr>
              <w:t>：</w:t>
            </w:r>
          </w:p>
          <w:p w14:paraId="53D57B6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(1)设备的安全管理:定期对设备进行安全检测，检测内容、时间、人员应有记录保存。安全检测应根据设备的安全性、危险性设定检测频次。</w:t>
            </w:r>
          </w:p>
          <w:p w14:paraId="7CEBD8D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(2)设置永久性接地装置；在装液体物料时防止静电产生，防止操作人员带电作业；在危险操作时，操作人员应使用抗静电工作帽和具有导电性的作业鞋；要有防雷装置，特别防止雷击。</w:t>
            </w:r>
          </w:p>
          <w:p w14:paraId="5B06E4F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(3)应加强火源的管理，严禁烟火带入，对设备需进行维修焊接，应经安全部门确认、准许，并有记录。机动车在厂内行驶，须安装阻火器，必要设备安装防火、防爆装置。</w:t>
            </w:r>
          </w:p>
          <w:p w14:paraId="2700E73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(4)要有完善的安全消防措施。各功能区之间应按国家消防安全规定，设置足够的安全距离和道路，以便安全疏散和消防。仓库和生产车间设置完善的报警系统、以及水消防系统、 手提式灭火器等</w:t>
            </w:r>
            <w:r>
              <w:rPr>
                <w:rFonts w:hint="default" w:ascii="Times New Roman" w:hAnsi="Times New Roman" w:cs="Times New Roman"/>
                <w:color w:val="auto"/>
                <w:szCs w:val="21"/>
                <w:lang w:eastAsia="zh-CN"/>
              </w:rPr>
              <w:t>。</w:t>
            </w:r>
          </w:p>
          <w:p w14:paraId="2863493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2</w:t>
            </w:r>
            <w:r>
              <w:rPr>
                <w:rFonts w:hint="default" w:ascii="Times New Roman" w:hAnsi="Times New Roman" w:cs="Times New Roman"/>
                <w:color w:val="auto"/>
                <w:szCs w:val="21"/>
              </w:rPr>
              <w:t>、本项目危险物质和风险源分布及可能影响途径</w:t>
            </w:r>
          </w:p>
          <w:p w14:paraId="3100542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（1）危险物质和风险源分布</w:t>
            </w:r>
          </w:p>
          <w:p w14:paraId="6B28F28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本项目不涉及《建设项目环境风险评价技术导则》（HJ169-2018）附录B.1中的</w:t>
            </w:r>
            <w:r>
              <w:rPr>
                <w:rFonts w:hint="default" w:ascii="Times New Roman" w:hAnsi="Times New Roman" w:cs="Times New Roman"/>
                <w:color w:val="auto"/>
                <w:lang w:val="en-US" w:eastAsia="zh-CN"/>
              </w:rPr>
              <w:t>风险</w:t>
            </w:r>
            <w:r>
              <w:rPr>
                <w:rFonts w:hint="default" w:ascii="Times New Roman" w:hAnsi="Times New Roman" w:cs="Times New Roman"/>
                <w:color w:val="auto"/>
              </w:rPr>
              <w:t>物质。风险评价等级为简单分析。</w:t>
            </w:r>
          </w:p>
          <w:p w14:paraId="676347F1">
            <w:pPr>
              <w:spacing w:line="42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（2）可能影响途径</w:t>
            </w:r>
          </w:p>
          <w:p w14:paraId="60842DC6">
            <w:pPr>
              <w:spacing w:line="42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本项目电器设备维护管理和使用不当，明火管理不当，吸烟等，均可能导致火灾事故发生。产生的消防废水等若是收集处理不当一旦流出厂界会对周边土壤造成影响，下渗会对地下水造成污染，若是进入雨排系统则有可能进入附近地表水体造成污染。</w:t>
            </w:r>
          </w:p>
          <w:p w14:paraId="0934A1A4">
            <w:pPr>
              <w:spacing w:line="420" w:lineRule="exact"/>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、风险防范措施</w:t>
            </w:r>
          </w:p>
          <w:p w14:paraId="4FBDE898">
            <w:pPr>
              <w:spacing w:line="420" w:lineRule="exact"/>
              <w:ind w:firstLine="420" w:firstLineChars="200"/>
              <w:rPr>
                <w:rFonts w:hint="default" w:ascii="Times New Roman" w:hAnsi="Times New Roman" w:cs="Times New Roman"/>
                <w:bCs/>
                <w:color w:val="auto"/>
              </w:rPr>
            </w:pPr>
            <w:r>
              <w:rPr>
                <w:rFonts w:hint="default" w:ascii="Times New Roman" w:hAnsi="Times New Roman" w:cs="Times New Roman"/>
                <w:bCs/>
                <w:color w:val="auto"/>
              </w:rPr>
              <w:t>①在总图布置中，考虑各建筑物的防火间距，安全疏散以及自然条件等方面的问题，确保其符合国家的有关规定。完善相关消防设施，严格划分生产区和储存区。企业按照《建筑设计防火规范》（GB50016-2014）和《工业企业总平面布置设计规范》（GB51087-2012）等规范要求进行设计。</w:t>
            </w:r>
          </w:p>
          <w:p w14:paraId="1796326E">
            <w:pPr>
              <w:tabs>
                <w:tab w:val="left" w:pos="1152"/>
                <w:tab w:val="left" w:pos="1680"/>
              </w:tabs>
              <w:spacing w:line="420" w:lineRule="exact"/>
              <w:ind w:firstLine="420" w:firstLineChars="200"/>
              <w:rPr>
                <w:rFonts w:hint="default" w:ascii="Times New Roman" w:hAnsi="Times New Roman" w:cs="Times New Roman"/>
                <w:bCs/>
                <w:color w:val="auto"/>
              </w:rPr>
            </w:pPr>
            <w:r>
              <w:rPr>
                <w:rFonts w:hint="default" w:ascii="Times New Roman" w:hAnsi="Times New Roman" w:cs="Times New Roman"/>
                <w:bCs/>
                <w:color w:val="auto"/>
              </w:rPr>
              <w:t>②配电室的结构、基础应根据水文地理状况进行建设，符合安全规定，预防遭大水淹没，引起电器短路事故。各车间、仓库设立消防水收集管道收集消防废水。</w:t>
            </w:r>
          </w:p>
          <w:p w14:paraId="59DA4D94">
            <w:pPr>
              <w:tabs>
                <w:tab w:val="left" w:pos="1152"/>
                <w:tab w:val="left" w:pos="1680"/>
              </w:tabs>
              <w:spacing w:line="420" w:lineRule="exact"/>
              <w:ind w:firstLine="420" w:firstLineChars="200"/>
              <w:rPr>
                <w:rFonts w:hint="default" w:ascii="Times New Roman" w:hAnsi="Times New Roman" w:cs="Times New Roman"/>
                <w:bCs/>
                <w:color w:val="auto"/>
              </w:rPr>
            </w:pPr>
            <w:r>
              <w:rPr>
                <w:rFonts w:hint="default" w:ascii="Times New Roman" w:hAnsi="Times New Roman" w:cs="Times New Roman"/>
                <w:bCs/>
                <w:color w:val="auto"/>
              </w:rPr>
              <w:t>③生产装置的供电、供水等公用设施必须加强日常管理，确保满足正常生产和事故状态下的要求。</w:t>
            </w:r>
          </w:p>
          <w:p w14:paraId="6D1F8E2B">
            <w:pPr>
              <w:tabs>
                <w:tab w:val="left" w:pos="1152"/>
                <w:tab w:val="left" w:pos="1680"/>
              </w:tabs>
              <w:adjustRightInd w:val="0"/>
              <w:snapToGrid w:val="0"/>
              <w:spacing w:line="360" w:lineRule="auto"/>
              <w:ind w:firstLine="420" w:firstLineChars="200"/>
              <w:rPr>
                <w:rFonts w:hint="default" w:ascii="Times New Roman" w:hAnsi="Times New Roman" w:cs="Times New Roman"/>
                <w:bCs/>
                <w:color w:val="auto"/>
              </w:rPr>
            </w:pPr>
            <w:r>
              <w:rPr>
                <w:rFonts w:hint="default" w:ascii="Times New Roman" w:hAnsi="Times New Roman" w:cs="Times New Roman"/>
                <w:bCs/>
                <w:color w:val="auto"/>
              </w:rPr>
              <w:t>④企业要加强消防安全管理，开展好消防安全检查和消防安全宣传教育，加强消防安全培训，建立健全各项消防安全制度，落实消防安全责任，提高职工的消防素质，按规范配置灭火器材和消防装备。</w:t>
            </w:r>
          </w:p>
          <w:p w14:paraId="5919F247">
            <w:pPr>
              <w:adjustRightInd w:val="0"/>
              <w:snapToGrid w:val="0"/>
              <w:spacing w:line="360" w:lineRule="auto"/>
              <w:ind w:firstLine="420" w:firstLineChars="200"/>
              <w:rPr>
                <w:rFonts w:hint="default" w:ascii="Times New Roman" w:hAnsi="Times New Roman" w:cs="Times New Roman"/>
                <w:bCs/>
                <w:color w:val="auto"/>
              </w:rPr>
            </w:pPr>
            <w:r>
              <w:rPr>
                <w:rFonts w:hint="default" w:ascii="Times New Roman" w:hAnsi="Times New Roman" w:cs="Times New Roman"/>
                <w:bCs/>
                <w:color w:val="auto"/>
              </w:rPr>
              <w:t>⑤为预防事故的发生，应成立应急事故领导小组。</w:t>
            </w:r>
          </w:p>
          <w:p w14:paraId="49FC5F50">
            <w:pPr>
              <w:adjustRightInd w:val="0"/>
              <w:snapToGrid w:val="0"/>
              <w:spacing w:line="360" w:lineRule="auto"/>
              <w:ind w:firstLine="420" w:firstLineChars="200"/>
              <w:rPr>
                <w:rFonts w:hint="default" w:ascii="Times New Roman" w:hAnsi="Times New Roman" w:cs="Times New Roman"/>
                <w:bCs/>
                <w:color w:val="auto"/>
              </w:rPr>
            </w:pPr>
            <w:r>
              <w:rPr>
                <w:rFonts w:hint="default" w:ascii="Times New Roman" w:hAnsi="Times New Roman" w:cs="Times New Roman"/>
                <w:bCs/>
                <w:color w:val="auto"/>
              </w:rPr>
              <w:t>⑥编制突发环境事件应急预案，包括预案适用范围、环境事件分类与分级、组织机构与职责、监控和预警、应急响应、应急保障、善后处置、预案管理与演练等内容。应急预案应体现分级响应、区域联动的原则，与地方政府突发环境事件应急预案相衔接，明确分级响应程序。</w:t>
            </w:r>
          </w:p>
          <w:p w14:paraId="1A7AB5AA">
            <w:pPr>
              <w:spacing w:line="360" w:lineRule="auto"/>
              <w:ind w:firstLine="420" w:firstLineChars="200"/>
              <w:rPr>
                <w:rFonts w:hint="default" w:ascii="Times New Roman" w:hAnsi="Times New Roman" w:cs="Times New Roman"/>
                <w:b/>
                <w:bCs/>
                <w:color w:val="auto"/>
                <w:szCs w:val="21"/>
              </w:rPr>
            </w:pPr>
            <w:r>
              <w:rPr>
                <w:rFonts w:hint="default" w:ascii="Times New Roman" w:hAnsi="Times New Roman" w:cs="Times New Roman"/>
                <w:bCs/>
                <w:color w:val="auto"/>
              </w:rPr>
              <w:t>在采取以上分析防范措施后，本项目的风险可控</w:t>
            </w:r>
            <w:r>
              <w:rPr>
                <w:rFonts w:hint="default" w:ascii="Times New Roman" w:hAnsi="Times New Roman" w:cs="Times New Roman"/>
                <w:bCs/>
                <w:color w:val="auto"/>
                <w:szCs w:val="21"/>
              </w:rPr>
              <w:t>。</w:t>
            </w:r>
          </w:p>
          <w:p w14:paraId="1D4C9A9F">
            <w:pPr>
              <w:spacing w:line="360" w:lineRule="auto"/>
              <w:ind w:firstLine="420" w:firstLineChars="20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九、环保投资及三同时分析</w:t>
            </w:r>
          </w:p>
          <w:p w14:paraId="2098DF5B">
            <w:pPr>
              <w:spacing w:line="360" w:lineRule="auto"/>
              <w:ind w:firstLine="420" w:firstLineChars="200"/>
              <w:rPr>
                <w:rFonts w:hint="default" w:ascii="Times New Roman" w:hAnsi="Times New Roman" w:cs="Times New Roman"/>
                <w:bCs/>
                <w:color w:val="auto"/>
                <w:szCs w:val="21"/>
              </w:rPr>
            </w:pPr>
            <w:r>
              <w:rPr>
                <w:rFonts w:hint="default" w:ascii="Times New Roman" w:hAnsi="Times New Roman" w:cs="Times New Roman"/>
                <w:color w:val="auto"/>
                <w:szCs w:val="21"/>
              </w:rPr>
              <w:t>本项目总投资</w:t>
            </w:r>
            <w:r>
              <w:rPr>
                <w:rFonts w:hint="eastAsia" w:cs="Times New Roman"/>
                <w:color w:val="auto"/>
                <w:szCs w:val="21"/>
                <w:lang w:val="en-US" w:eastAsia="zh-CN"/>
              </w:rPr>
              <w:t>50</w:t>
            </w:r>
            <w:r>
              <w:rPr>
                <w:rFonts w:hint="default" w:ascii="Times New Roman" w:hAnsi="Times New Roman" w:cs="Times New Roman"/>
                <w:color w:val="auto"/>
                <w:szCs w:val="21"/>
                <w:lang w:val="en-US" w:eastAsia="zh-CN"/>
              </w:rPr>
              <w:t>0</w:t>
            </w:r>
            <w:r>
              <w:rPr>
                <w:rFonts w:hint="default" w:ascii="Times New Roman" w:hAnsi="Times New Roman" w:cs="Times New Roman"/>
                <w:color w:val="auto"/>
                <w:szCs w:val="21"/>
              </w:rPr>
              <w:t>万元，其中环保投资</w:t>
            </w:r>
            <w:r>
              <w:rPr>
                <w:rFonts w:hint="default" w:ascii="Times New Roman" w:hAnsi="Times New Roman" w:cs="Times New Roman"/>
                <w:color w:val="auto"/>
                <w:szCs w:val="21"/>
                <w:lang w:val="en-US" w:eastAsia="zh-CN"/>
              </w:rPr>
              <w:t>30</w:t>
            </w:r>
            <w:r>
              <w:rPr>
                <w:rFonts w:hint="default" w:ascii="Times New Roman" w:hAnsi="Times New Roman" w:cs="Times New Roman"/>
                <w:color w:val="auto"/>
                <w:szCs w:val="21"/>
              </w:rPr>
              <w:t>万元，环保投资占总投资的</w:t>
            </w:r>
            <w:r>
              <w:rPr>
                <w:rFonts w:hint="eastAsia" w:cs="Times New Roman"/>
                <w:color w:val="auto"/>
                <w:szCs w:val="21"/>
                <w:lang w:val="en-US" w:eastAsia="zh-CN"/>
              </w:rPr>
              <w:t>6</w:t>
            </w:r>
            <w:r>
              <w:rPr>
                <w:rFonts w:hint="default" w:ascii="Times New Roman" w:hAnsi="Times New Roman" w:cs="Times New Roman"/>
                <w:color w:val="auto"/>
                <w:szCs w:val="21"/>
              </w:rPr>
              <w:t>%。</w:t>
            </w:r>
            <w:r>
              <w:rPr>
                <w:rFonts w:hint="default" w:ascii="Times New Roman" w:hAnsi="Times New Roman" w:cs="Times New Roman"/>
                <w:bCs/>
                <w:color w:val="auto"/>
                <w:szCs w:val="21"/>
              </w:rPr>
              <w:t>根据项目的工程分析，污染因素分析及治理对策分析和调查，项目环保投资及三同时一览表如下：</w:t>
            </w:r>
          </w:p>
          <w:p w14:paraId="330A83DB">
            <w:pPr>
              <w:autoSpaceDE w:val="0"/>
              <w:autoSpaceDN w:val="0"/>
              <w:adjustRightInd w:val="0"/>
              <w:ind w:firstLine="25" w:firstLineChars="12"/>
              <w:jc w:val="center"/>
              <w:rPr>
                <w:rFonts w:hint="default" w:ascii="Times New Roman" w:hAnsi="Times New Roman" w:eastAsia="黑体" w:cs="Times New Roman"/>
                <w:color w:val="auto"/>
                <w:szCs w:val="21"/>
              </w:rPr>
            </w:pPr>
          </w:p>
          <w:p w14:paraId="50E2905D">
            <w:pPr>
              <w:autoSpaceDE w:val="0"/>
              <w:autoSpaceDN w:val="0"/>
              <w:adjustRightInd w:val="0"/>
              <w:ind w:firstLine="25" w:firstLineChars="12"/>
              <w:jc w:val="center"/>
              <w:rPr>
                <w:rFonts w:hint="default" w:ascii="Times New Roman" w:hAnsi="Times New Roman" w:eastAsia="黑体" w:cs="Times New Roman"/>
                <w:color w:val="auto"/>
                <w:szCs w:val="21"/>
              </w:rPr>
            </w:pPr>
          </w:p>
          <w:p w14:paraId="4F474380">
            <w:pPr>
              <w:autoSpaceDE w:val="0"/>
              <w:autoSpaceDN w:val="0"/>
              <w:adjustRightInd w:val="0"/>
              <w:ind w:firstLine="25" w:firstLineChars="12"/>
              <w:jc w:val="center"/>
              <w:rPr>
                <w:rFonts w:hint="default" w:ascii="Times New Roman" w:hAnsi="Times New Roman" w:eastAsia="黑体" w:cs="Times New Roman"/>
                <w:color w:val="auto"/>
                <w:szCs w:val="21"/>
              </w:rPr>
            </w:pPr>
          </w:p>
          <w:p w14:paraId="75E0D30D">
            <w:pPr>
              <w:autoSpaceDE w:val="0"/>
              <w:autoSpaceDN w:val="0"/>
              <w:adjustRightInd w:val="0"/>
              <w:ind w:firstLine="25" w:firstLineChars="12"/>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表4-</w:t>
            </w:r>
            <w:r>
              <w:rPr>
                <w:rFonts w:hint="eastAsia" w:eastAsia="黑体" w:cs="Times New Roman"/>
                <w:color w:val="auto"/>
                <w:szCs w:val="21"/>
                <w:lang w:val="en-US" w:eastAsia="zh-CN"/>
              </w:rPr>
              <w:t>14</w:t>
            </w:r>
            <w:r>
              <w:rPr>
                <w:rFonts w:hint="default" w:ascii="Times New Roman" w:hAnsi="Times New Roman" w:eastAsia="黑体" w:cs="Times New Roman"/>
                <w:color w:val="auto"/>
                <w:szCs w:val="21"/>
              </w:rPr>
              <w:t xml:space="preserve">  项目环保投资及“三同时”一览表     单位：万元</w:t>
            </w:r>
          </w:p>
          <w:tbl>
            <w:tblPr>
              <w:tblStyle w:val="8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2114"/>
              <w:gridCol w:w="3960"/>
              <w:gridCol w:w="746"/>
              <w:gridCol w:w="946"/>
            </w:tblGrid>
            <w:tr w14:paraId="0A6F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3D75DA18">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序号</w:t>
                  </w:r>
                </w:p>
              </w:tc>
              <w:tc>
                <w:tcPr>
                  <w:tcW w:w="2118" w:type="dxa"/>
                  <w:tcBorders>
                    <w:top w:val="single" w:color="auto" w:sz="4" w:space="0"/>
                    <w:left w:val="single" w:color="auto" w:sz="4" w:space="0"/>
                    <w:bottom w:val="single" w:color="auto" w:sz="4" w:space="0"/>
                    <w:right w:val="single" w:color="auto" w:sz="4" w:space="0"/>
                  </w:tcBorders>
                  <w:vAlign w:val="center"/>
                </w:tcPr>
                <w:p w14:paraId="417F7281">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项目</w:t>
                  </w:r>
                </w:p>
              </w:tc>
              <w:tc>
                <w:tcPr>
                  <w:tcW w:w="3969" w:type="dxa"/>
                  <w:tcBorders>
                    <w:top w:val="single" w:color="auto" w:sz="4" w:space="0"/>
                    <w:left w:val="single" w:color="auto" w:sz="4" w:space="0"/>
                    <w:bottom w:val="single" w:color="auto" w:sz="4" w:space="0"/>
                    <w:right w:val="single" w:color="auto" w:sz="4" w:space="0"/>
                  </w:tcBorders>
                  <w:vAlign w:val="center"/>
                </w:tcPr>
                <w:p w14:paraId="7C49B1D1">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环保措施及验收内容</w:t>
                  </w:r>
                </w:p>
              </w:tc>
              <w:tc>
                <w:tcPr>
                  <w:tcW w:w="747" w:type="dxa"/>
                  <w:tcBorders>
                    <w:top w:val="single" w:color="auto" w:sz="4" w:space="0"/>
                    <w:left w:val="single" w:color="auto" w:sz="4" w:space="0"/>
                    <w:bottom w:val="single" w:color="auto" w:sz="4" w:space="0"/>
                    <w:right w:val="single" w:color="auto" w:sz="4" w:space="0"/>
                  </w:tcBorders>
                  <w:vAlign w:val="center"/>
                </w:tcPr>
                <w:p w14:paraId="66F27B13">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投资估算</w:t>
                  </w:r>
                </w:p>
              </w:tc>
              <w:tc>
                <w:tcPr>
                  <w:tcW w:w="947" w:type="dxa"/>
                  <w:tcBorders>
                    <w:top w:val="single" w:color="auto" w:sz="4" w:space="0"/>
                    <w:left w:val="single" w:color="auto" w:sz="4" w:space="0"/>
                    <w:bottom w:val="single" w:color="auto" w:sz="4" w:space="0"/>
                    <w:right w:val="single" w:color="auto" w:sz="4" w:space="0"/>
                  </w:tcBorders>
                  <w:vAlign w:val="center"/>
                </w:tcPr>
                <w:p w14:paraId="0011EF5C">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备注</w:t>
                  </w:r>
                </w:p>
              </w:tc>
            </w:tr>
            <w:tr w14:paraId="69EB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1E72E972">
                  <w:pPr>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1</w:t>
                  </w:r>
                </w:p>
              </w:tc>
              <w:tc>
                <w:tcPr>
                  <w:tcW w:w="2118" w:type="dxa"/>
                  <w:tcBorders>
                    <w:top w:val="single" w:color="auto" w:sz="4" w:space="0"/>
                    <w:left w:val="single" w:color="auto" w:sz="4" w:space="0"/>
                    <w:bottom w:val="single" w:color="auto" w:sz="4" w:space="0"/>
                    <w:right w:val="single" w:color="auto" w:sz="4" w:space="0"/>
                  </w:tcBorders>
                  <w:vAlign w:val="center"/>
                </w:tcPr>
                <w:p w14:paraId="3D3338EF">
                  <w:pPr>
                    <w:widowControl/>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大气污染防治措施</w:t>
                  </w:r>
                </w:p>
              </w:tc>
              <w:tc>
                <w:tcPr>
                  <w:tcW w:w="3969" w:type="dxa"/>
                  <w:tcBorders>
                    <w:top w:val="single" w:color="auto" w:sz="4" w:space="0"/>
                    <w:left w:val="single" w:color="auto" w:sz="4" w:space="0"/>
                    <w:bottom w:val="single" w:color="auto" w:sz="4" w:space="0"/>
                    <w:right w:val="single" w:color="auto" w:sz="4" w:space="0"/>
                  </w:tcBorders>
                  <w:vAlign w:val="center"/>
                </w:tcPr>
                <w:p w14:paraId="218A1FF8">
                  <w:pPr>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sz w:val="18"/>
                      <w:szCs w:val="21"/>
                    </w:rPr>
                    <w:t>布袋除尘器</w:t>
                  </w:r>
                </w:p>
              </w:tc>
              <w:tc>
                <w:tcPr>
                  <w:tcW w:w="747" w:type="dxa"/>
                  <w:tcBorders>
                    <w:top w:val="single" w:color="auto" w:sz="4" w:space="0"/>
                    <w:left w:val="single" w:color="auto" w:sz="4" w:space="0"/>
                    <w:bottom w:val="single" w:color="auto" w:sz="4" w:space="0"/>
                    <w:right w:val="single" w:color="auto" w:sz="4" w:space="0"/>
                  </w:tcBorders>
                  <w:vAlign w:val="center"/>
                </w:tcPr>
                <w:p w14:paraId="39E3F309">
                  <w:pPr>
                    <w:jc w:val="center"/>
                    <w:rPr>
                      <w:rFonts w:hint="default" w:ascii="Times New Roman" w:hAnsi="Times New Roman" w:eastAsia="宋体" w:cs="Times New Roman"/>
                      <w:bCs/>
                      <w:color w:val="auto"/>
                      <w:sz w:val="18"/>
                      <w:szCs w:val="18"/>
                      <w:lang w:val="en-US" w:eastAsia="zh-CN"/>
                    </w:rPr>
                  </w:pPr>
                  <w:r>
                    <w:rPr>
                      <w:rFonts w:hint="eastAsia" w:cs="Times New Roman"/>
                      <w:bCs/>
                      <w:color w:val="auto"/>
                      <w:sz w:val="18"/>
                      <w:szCs w:val="18"/>
                      <w:lang w:val="en-US" w:eastAsia="zh-CN"/>
                    </w:rPr>
                    <w:t>10</w:t>
                  </w:r>
                </w:p>
              </w:tc>
              <w:tc>
                <w:tcPr>
                  <w:tcW w:w="947" w:type="dxa"/>
                  <w:vMerge w:val="restart"/>
                  <w:tcBorders>
                    <w:top w:val="single" w:color="auto" w:sz="4" w:space="0"/>
                    <w:left w:val="single" w:color="auto" w:sz="4" w:space="0"/>
                    <w:bottom w:val="single" w:color="auto" w:sz="4" w:space="0"/>
                    <w:right w:val="single" w:color="auto" w:sz="4" w:space="0"/>
                  </w:tcBorders>
                  <w:vAlign w:val="center"/>
                </w:tcPr>
                <w:p w14:paraId="5019B216">
                  <w:pPr>
                    <w:widowControl/>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项目的污染治理设施与主体工程同时设计、同时施工、同时投入使用</w:t>
                  </w:r>
                </w:p>
              </w:tc>
            </w:tr>
            <w:tr w14:paraId="17FB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21C0C991">
                  <w:pPr>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2</w:t>
                  </w:r>
                </w:p>
              </w:tc>
              <w:tc>
                <w:tcPr>
                  <w:tcW w:w="2118" w:type="dxa"/>
                  <w:tcBorders>
                    <w:top w:val="single" w:color="auto" w:sz="4" w:space="0"/>
                    <w:left w:val="single" w:color="auto" w:sz="4" w:space="0"/>
                    <w:bottom w:val="single" w:color="auto" w:sz="4" w:space="0"/>
                    <w:right w:val="single" w:color="auto" w:sz="4" w:space="0"/>
                  </w:tcBorders>
                  <w:vAlign w:val="center"/>
                </w:tcPr>
                <w:p w14:paraId="28B093AF">
                  <w:pPr>
                    <w:widowControl/>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水污染物防治措施</w:t>
                  </w:r>
                </w:p>
              </w:tc>
              <w:tc>
                <w:tcPr>
                  <w:tcW w:w="3969" w:type="dxa"/>
                  <w:tcBorders>
                    <w:top w:val="single" w:color="auto" w:sz="4" w:space="0"/>
                    <w:left w:val="single" w:color="auto" w:sz="4" w:space="0"/>
                    <w:bottom w:val="single" w:color="auto" w:sz="4" w:space="0"/>
                    <w:right w:val="single" w:color="auto" w:sz="4" w:space="0"/>
                  </w:tcBorders>
                  <w:vAlign w:val="center"/>
                </w:tcPr>
                <w:p w14:paraId="7C684EC8">
                  <w:pPr>
                    <w:adjustRightInd w:val="0"/>
                    <w:snapToGrid w:val="0"/>
                    <w:jc w:val="center"/>
                    <w:rPr>
                      <w:rFonts w:hint="default" w:ascii="Times New Roman" w:hAnsi="Times New Roman" w:eastAsia="宋体" w:cs="Times New Roman"/>
                      <w:bCs/>
                      <w:color w:val="auto"/>
                      <w:sz w:val="18"/>
                      <w:szCs w:val="18"/>
                      <w:lang w:val="en-US" w:eastAsia="zh-CN"/>
                    </w:rPr>
                  </w:pPr>
                  <w:r>
                    <w:rPr>
                      <w:rFonts w:hint="default" w:ascii="Times New Roman" w:hAnsi="Times New Roman" w:cs="Times New Roman"/>
                      <w:color w:val="auto"/>
                      <w:sz w:val="18"/>
                      <w:szCs w:val="16"/>
                    </w:rPr>
                    <w:t>化粪池</w:t>
                  </w:r>
                  <w:r>
                    <w:rPr>
                      <w:rFonts w:hint="eastAsia" w:cs="Times New Roman"/>
                      <w:color w:val="auto"/>
                      <w:sz w:val="18"/>
                      <w:szCs w:val="16"/>
                      <w:lang w:eastAsia="zh-CN"/>
                    </w:rPr>
                    <w:t>（</w:t>
                  </w:r>
                  <w:r>
                    <w:rPr>
                      <w:rFonts w:hint="eastAsia" w:cs="Times New Roman"/>
                      <w:color w:val="auto"/>
                      <w:sz w:val="18"/>
                      <w:szCs w:val="16"/>
                      <w:lang w:val="en-US" w:eastAsia="zh-CN"/>
                    </w:rPr>
                    <w:t>利旧</w:t>
                  </w:r>
                  <w:r>
                    <w:rPr>
                      <w:rFonts w:hint="eastAsia" w:cs="Times New Roman"/>
                      <w:color w:val="auto"/>
                      <w:sz w:val="18"/>
                      <w:szCs w:val="16"/>
                      <w:lang w:eastAsia="zh-CN"/>
                    </w:rPr>
                    <w:t>）、</w:t>
                  </w:r>
                  <w:r>
                    <w:rPr>
                      <w:rFonts w:hint="eastAsia" w:cs="Times New Roman"/>
                      <w:color w:val="auto"/>
                      <w:sz w:val="18"/>
                      <w:szCs w:val="16"/>
                      <w:lang w:val="en-US" w:eastAsia="zh-CN"/>
                    </w:rPr>
                    <w:t>循环水池</w:t>
                  </w:r>
                </w:p>
              </w:tc>
              <w:tc>
                <w:tcPr>
                  <w:tcW w:w="747" w:type="dxa"/>
                  <w:tcBorders>
                    <w:top w:val="single" w:color="auto" w:sz="4" w:space="0"/>
                    <w:left w:val="single" w:color="auto" w:sz="4" w:space="0"/>
                    <w:bottom w:val="single" w:color="auto" w:sz="4" w:space="0"/>
                    <w:right w:val="single" w:color="auto" w:sz="4" w:space="0"/>
                  </w:tcBorders>
                  <w:vAlign w:val="center"/>
                </w:tcPr>
                <w:p w14:paraId="0A94F91F">
                  <w:pPr>
                    <w:jc w:val="center"/>
                    <w:rPr>
                      <w:rFonts w:hint="eastAsia" w:ascii="Times New Roman" w:hAnsi="Times New Roman" w:eastAsia="宋体" w:cs="Times New Roman"/>
                      <w:bCs/>
                      <w:color w:val="auto"/>
                      <w:sz w:val="18"/>
                      <w:szCs w:val="18"/>
                      <w:lang w:eastAsia="zh-CN"/>
                    </w:rPr>
                  </w:pPr>
                  <w:r>
                    <w:rPr>
                      <w:rFonts w:hint="eastAsia" w:cs="Times New Roman"/>
                      <w:bCs/>
                      <w:color w:val="auto"/>
                      <w:sz w:val="18"/>
                      <w:szCs w:val="18"/>
                      <w:lang w:val="en-US" w:eastAsia="zh-CN"/>
                    </w:rPr>
                    <w:t>5</w:t>
                  </w:r>
                </w:p>
              </w:tc>
              <w:tc>
                <w:tcPr>
                  <w:tcW w:w="947" w:type="dxa"/>
                  <w:vMerge w:val="continue"/>
                  <w:tcBorders>
                    <w:top w:val="single" w:color="auto" w:sz="4" w:space="0"/>
                    <w:left w:val="single" w:color="auto" w:sz="4" w:space="0"/>
                    <w:bottom w:val="single" w:color="auto" w:sz="4" w:space="0"/>
                    <w:right w:val="single" w:color="auto" w:sz="4" w:space="0"/>
                  </w:tcBorders>
                  <w:vAlign w:val="center"/>
                </w:tcPr>
                <w:p w14:paraId="1D200F49">
                  <w:pPr>
                    <w:widowControl/>
                    <w:jc w:val="center"/>
                    <w:rPr>
                      <w:rFonts w:hint="default" w:ascii="Times New Roman" w:hAnsi="Times New Roman" w:cs="Times New Roman"/>
                      <w:bCs/>
                      <w:color w:val="auto"/>
                      <w:sz w:val="18"/>
                      <w:szCs w:val="18"/>
                    </w:rPr>
                  </w:pPr>
                </w:p>
              </w:tc>
            </w:tr>
            <w:tr w14:paraId="0C3E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10855B58">
                  <w:pPr>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3</w:t>
                  </w:r>
                </w:p>
              </w:tc>
              <w:tc>
                <w:tcPr>
                  <w:tcW w:w="2118" w:type="dxa"/>
                  <w:tcBorders>
                    <w:top w:val="single" w:color="auto" w:sz="4" w:space="0"/>
                    <w:left w:val="single" w:color="auto" w:sz="4" w:space="0"/>
                    <w:bottom w:val="single" w:color="auto" w:sz="4" w:space="0"/>
                    <w:right w:val="single" w:color="auto" w:sz="4" w:space="0"/>
                  </w:tcBorders>
                  <w:vAlign w:val="center"/>
                </w:tcPr>
                <w:p w14:paraId="4E28F9EE">
                  <w:pPr>
                    <w:widowControl/>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噪声污染防治措施</w:t>
                  </w:r>
                </w:p>
              </w:tc>
              <w:tc>
                <w:tcPr>
                  <w:tcW w:w="3969" w:type="dxa"/>
                  <w:tcBorders>
                    <w:top w:val="single" w:color="auto" w:sz="4" w:space="0"/>
                    <w:left w:val="single" w:color="auto" w:sz="4" w:space="0"/>
                    <w:bottom w:val="single" w:color="auto" w:sz="4" w:space="0"/>
                    <w:right w:val="single" w:color="auto" w:sz="4" w:space="0"/>
                  </w:tcBorders>
                  <w:vAlign w:val="center"/>
                </w:tcPr>
                <w:p w14:paraId="404CAA13">
                  <w:pPr>
                    <w:widowControl/>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合理布置，高噪声设备采用减震、消声、隔声等降噪措施</w:t>
                  </w:r>
                </w:p>
              </w:tc>
              <w:tc>
                <w:tcPr>
                  <w:tcW w:w="747" w:type="dxa"/>
                  <w:tcBorders>
                    <w:top w:val="single" w:color="auto" w:sz="4" w:space="0"/>
                    <w:left w:val="single" w:color="auto" w:sz="4" w:space="0"/>
                    <w:bottom w:val="single" w:color="auto" w:sz="4" w:space="0"/>
                    <w:right w:val="single" w:color="auto" w:sz="4" w:space="0"/>
                  </w:tcBorders>
                  <w:vAlign w:val="center"/>
                </w:tcPr>
                <w:p w14:paraId="31BF5D53">
                  <w:pPr>
                    <w:jc w:val="center"/>
                    <w:rPr>
                      <w:rFonts w:hint="default" w:ascii="Times New Roman" w:hAnsi="Times New Roman" w:eastAsia="宋体" w:cs="Times New Roman"/>
                      <w:bCs/>
                      <w:color w:val="auto"/>
                      <w:sz w:val="18"/>
                      <w:szCs w:val="18"/>
                      <w:lang w:val="en-US" w:eastAsia="zh-CN"/>
                    </w:rPr>
                  </w:pPr>
                  <w:r>
                    <w:rPr>
                      <w:rFonts w:hint="eastAsia" w:cs="Times New Roman"/>
                      <w:bCs/>
                      <w:color w:val="auto"/>
                      <w:sz w:val="18"/>
                      <w:szCs w:val="18"/>
                      <w:lang w:val="en-US" w:eastAsia="zh-CN"/>
                    </w:rPr>
                    <w:t>10</w:t>
                  </w:r>
                </w:p>
              </w:tc>
              <w:tc>
                <w:tcPr>
                  <w:tcW w:w="947" w:type="dxa"/>
                  <w:vMerge w:val="continue"/>
                  <w:tcBorders>
                    <w:top w:val="single" w:color="auto" w:sz="4" w:space="0"/>
                    <w:left w:val="single" w:color="auto" w:sz="4" w:space="0"/>
                    <w:bottom w:val="single" w:color="auto" w:sz="4" w:space="0"/>
                    <w:right w:val="single" w:color="auto" w:sz="4" w:space="0"/>
                  </w:tcBorders>
                  <w:vAlign w:val="center"/>
                </w:tcPr>
                <w:p w14:paraId="4981911F">
                  <w:pPr>
                    <w:widowControl/>
                    <w:jc w:val="center"/>
                    <w:rPr>
                      <w:rFonts w:hint="default" w:ascii="Times New Roman" w:hAnsi="Times New Roman" w:cs="Times New Roman"/>
                      <w:bCs/>
                      <w:color w:val="auto"/>
                      <w:sz w:val="18"/>
                      <w:szCs w:val="18"/>
                    </w:rPr>
                  </w:pPr>
                </w:p>
              </w:tc>
            </w:tr>
            <w:tr w14:paraId="2547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5185C2B1">
                  <w:pPr>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4</w:t>
                  </w:r>
                </w:p>
              </w:tc>
              <w:tc>
                <w:tcPr>
                  <w:tcW w:w="2118" w:type="dxa"/>
                  <w:tcBorders>
                    <w:top w:val="single" w:color="auto" w:sz="4" w:space="0"/>
                    <w:left w:val="single" w:color="auto" w:sz="4" w:space="0"/>
                    <w:bottom w:val="single" w:color="auto" w:sz="4" w:space="0"/>
                    <w:right w:val="single" w:color="auto" w:sz="4" w:space="0"/>
                  </w:tcBorders>
                  <w:vAlign w:val="center"/>
                </w:tcPr>
                <w:p w14:paraId="2A9742E9">
                  <w:pPr>
                    <w:widowControl/>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固体废物处理处置措施</w:t>
                  </w:r>
                </w:p>
              </w:tc>
              <w:tc>
                <w:tcPr>
                  <w:tcW w:w="3969" w:type="dxa"/>
                  <w:tcBorders>
                    <w:top w:val="single" w:color="auto" w:sz="4" w:space="0"/>
                    <w:left w:val="single" w:color="auto" w:sz="4" w:space="0"/>
                    <w:bottom w:val="single" w:color="auto" w:sz="4" w:space="0"/>
                    <w:right w:val="single" w:color="auto" w:sz="4" w:space="0"/>
                  </w:tcBorders>
                  <w:vAlign w:val="center"/>
                </w:tcPr>
                <w:p w14:paraId="728B4A6E">
                  <w:pPr>
                    <w:widowControl/>
                    <w:jc w:val="center"/>
                    <w:rPr>
                      <w:rFonts w:hint="default" w:ascii="Times New Roman" w:hAnsi="Times New Roman" w:eastAsia="宋体" w:cs="Times New Roman"/>
                      <w:bCs/>
                      <w:color w:val="auto"/>
                      <w:sz w:val="18"/>
                      <w:szCs w:val="18"/>
                      <w:lang w:eastAsia="zh-CN"/>
                    </w:rPr>
                  </w:pPr>
                  <w:r>
                    <w:rPr>
                      <w:rFonts w:hint="default" w:ascii="Times New Roman" w:hAnsi="Times New Roman" w:cs="Times New Roman"/>
                      <w:bCs/>
                      <w:color w:val="auto"/>
                      <w:sz w:val="18"/>
                      <w:szCs w:val="18"/>
                    </w:rPr>
                    <w:t>一般固体废物间</w:t>
                  </w:r>
                  <w:r>
                    <w:rPr>
                      <w:rFonts w:hint="default" w:ascii="Times New Roman" w:hAnsi="Times New Roman" w:cs="Times New Roman"/>
                      <w:bCs/>
                      <w:color w:val="auto"/>
                      <w:sz w:val="18"/>
                      <w:szCs w:val="18"/>
                      <w:lang w:eastAsia="zh-CN"/>
                    </w:rPr>
                    <w:t>（</w:t>
                  </w:r>
                  <w:r>
                    <w:rPr>
                      <w:rFonts w:hint="default" w:ascii="Times New Roman" w:hAnsi="Times New Roman" w:cs="Times New Roman"/>
                      <w:bCs/>
                      <w:color w:val="auto"/>
                      <w:sz w:val="18"/>
                      <w:szCs w:val="18"/>
                      <w:lang w:val="en-US" w:eastAsia="zh-CN"/>
                    </w:rPr>
                    <w:t>利旧</w:t>
                  </w:r>
                  <w:r>
                    <w:rPr>
                      <w:rFonts w:hint="default" w:ascii="Times New Roman" w:hAnsi="Times New Roman" w:cs="Times New Roman"/>
                      <w:bCs/>
                      <w:color w:val="auto"/>
                      <w:sz w:val="18"/>
                      <w:szCs w:val="18"/>
                      <w:lang w:eastAsia="zh-CN"/>
                    </w:rPr>
                    <w:t>）</w:t>
                  </w:r>
                </w:p>
              </w:tc>
              <w:tc>
                <w:tcPr>
                  <w:tcW w:w="747" w:type="dxa"/>
                  <w:tcBorders>
                    <w:top w:val="single" w:color="auto" w:sz="4" w:space="0"/>
                    <w:left w:val="single" w:color="auto" w:sz="4" w:space="0"/>
                    <w:bottom w:val="single" w:color="auto" w:sz="4" w:space="0"/>
                    <w:right w:val="single" w:color="auto" w:sz="4" w:space="0"/>
                  </w:tcBorders>
                  <w:vAlign w:val="center"/>
                </w:tcPr>
                <w:p w14:paraId="7A2B3389">
                  <w:pPr>
                    <w:jc w:val="center"/>
                    <w:rPr>
                      <w:rFonts w:hint="default" w:ascii="Times New Roman" w:hAnsi="Times New Roman" w:eastAsia="宋体" w:cs="Times New Roman"/>
                      <w:bCs/>
                      <w:color w:val="auto"/>
                      <w:sz w:val="18"/>
                      <w:szCs w:val="18"/>
                      <w:lang w:eastAsia="zh-CN"/>
                    </w:rPr>
                  </w:pPr>
                  <w:r>
                    <w:rPr>
                      <w:rFonts w:hint="default" w:ascii="Times New Roman" w:hAnsi="Times New Roman" w:cs="Times New Roman"/>
                      <w:bCs/>
                      <w:color w:val="auto"/>
                      <w:sz w:val="18"/>
                      <w:szCs w:val="18"/>
                      <w:lang w:val="en-US" w:eastAsia="zh-CN"/>
                    </w:rPr>
                    <w:t>0</w:t>
                  </w:r>
                </w:p>
              </w:tc>
              <w:tc>
                <w:tcPr>
                  <w:tcW w:w="947" w:type="dxa"/>
                  <w:vMerge w:val="continue"/>
                  <w:tcBorders>
                    <w:top w:val="single" w:color="auto" w:sz="4" w:space="0"/>
                    <w:left w:val="single" w:color="auto" w:sz="4" w:space="0"/>
                    <w:bottom w:val="single" w:color="auto" w:sz="4" w:space="0"/>
                    <w:right w:val="single" w:color="auto" w:sz="4" w:space="0"/>
                  </w:tcBorders>
                  <w:vAlign w:val="center"/>
                </w:tcPr>
                <w:p w14:paraId="09DCABA0">
                  <w:pPr>
                    <w:widowControl/>
                    <w:jc w:val="center"/>
                    <w:rPr>
                      <w:rFonts w:hint="default" w:ascii="Times New Roman" w:hAnsi="Times New Roman" w:cs="Times New Roman"/>
                      <w:bCs/>
                      <w:color w:val="auto"/>
                      <w:sz w:val="18"/>
                      <w:szCs w:val="18"/>
                    </w:rPr>
                  </w:pPr>
                </w:p>
              </w:tc>
            </w:tr>
            <w:tr w14:paraId="5BE2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19A0F2D0">
                  <w:pPr>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5</w:t>
                  </w:r>
                </w:p>
              </w:tc>
              <w:tc>
                <w:tcPr>
                  <w:tcW w:w="2118" w:type="dxa"/>
                  <w:tcBorders>
                    <w:top w:val="single" w:color="auto" w:sz="4" w:space="0"/>
                    <w:left w:val="single" w:color="auto" w:sz="4" w:space="0"/>
                    <w:bottom w:val="single" w:color="auto" w:sz="4" w:space="0"/>
                    <w:right w:val="single" w:color="auto" w:sz="4" w:space="0"/>
                  </w:tcBorders>
                  <w:vAlign w:val="center"/>
                </w:tcPr>
                <w:p w14:paraId="0C9ABA52">
                  <w:pPr>
                    <w:widowControl/>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地下水、土壤防治措施</w:t>
                  </w:r>
                </w:p>
              </w:tc>
              <w:tc>
                <w:tcPr>
                  <w:tcW w:w="3969" w:type="dxa"/>
                  <w:tcBorders>
                    <w:top w:val="single" w:color="auto" w:sz="4" w:space="0"/>
                    <w:left w:val="single" w:color="auto" w:sz="4" w:space="0"/>
                    <w:bottom w:val="single" w:color="auto" w:sz="4" w:space="0"/>
                    <w:right w:val="single" w:color="auto" w:sz="4" w:space="0"/>
                  </w:tcBorders>
                  <w:vAlign w:val="center"/>
                </w:tcPr>
                <w:p w14:paraId="39329014">
                  <w:pPr>
                    <w:widowControl/>
                    <w:jc w:val="center"/>
                    <w:rPr>
                      <w:rFonts w:hint="default" w:ascii="Times New Roman" w:hAnsi="Times New Roman" w:cs="Times New Roman"/>
                      <w:bCs/>
                      <w:color w:val="auto"/>
                      <w:sz w:val="18"/>
                      <w:szCs w:val="18"/>
                    </w:rPr>
                  </w:pPr>
                  <w:r>
                    <w:rPr>
                      <w:rStyle w:val="100"/>
                      <w:rFonts w:hint="default" w:ascii="Times New Roman" w:hAnsi="Times New Roman" w:cs="Times New Roman"/>
                      <w:color w:val="auto"/>
                      <w:kern w:val="24"/>
                      <w:sz w:val="18"/>
                      <w:szCs w:val="21"/>
                    </w:rPr>
                    <w:t>厂房内</w:t>
                  </w:r>
                  <w:r>
                    <w:rPr>
                      <w:rFonts w:hint="default" w:ascii="Times New Roman" w:hAnsi="Times New Roman" w:cs="Times New Roman"/>
                      <w:bCs/>
                      <w:color w:val="auto"/>
                      <w:sz w:val="18"/>
                      <w:szCs w:val="18"/>
                    </w:rPr>
                    <w:t>地面硬化+防渗处理</w:t>
                  </w:r>
                </w:p>
              </w:tc>
              <w:tc>
                <w:tcPr>
                  <w:tcW w:w="747" w:type="dxa"/>
                  <w:tcBorders>
                    <w:top w:val="single" w:color="auto" w:sz="4" w:space="0"/>
                    <w:left w:val="single" w:color="auto" w:sz="4" w:space="0"/>
                    <w:bottom w:val="single" w:color="auto" w:sz="4" w:space="0"/>
                    <w:right w:val="single" w:color="auto" w:sz="4" w:space="0"/>
                  </w:tcBorders>
                  <w:vAlign w:val="center"/>
                </w:tcPr>
                <w:p w14:paraId="496E5CFC">
                  <w:pPr>
                    <w:jc w:val="center"/>
                    <w:rPr>
                      <w:rFonts w:hint="default" w:ascii="Times New Roman" w:hAnsi="Times New Roman" w:eastAsia="宋体" w:cs="Times New Roman"/>
                      <w:bCs/>
                      <w:color w:val="auto"/>
                      <w:sz w:val="18"/>
                      <w:szCs w:val="18"/>
                      <w:lang w:eastAsia="zh-CN"/>
                    </w:rPr>
                  </w:pPr>
                  <w:r>
                    <w:rPr>
                      <w:rFonts w:hint="default" w:ascii="Times New Roman" w:hAnsi="Times New Roman" w:cs="Times New Roman"/>
                      <w:bCs/>
                      <w:color w:val="auto"/>
                      <w:sz w:val="18"/>
                      <w:szCs w:val="18"/>
                      <w:lang w:val="en-US" w:eastAsia="zh-CN"/>
                    </w:rPr>
                    <w:t>5</w:t>
                  </w:r>
                </w:p>
              </w:tc>
              <w:tc>
                <w:tcPr>
                  <w:tcW w:w="947" w:type="dxa"/>
                  <w:vMerge w:val="continue"/>
                  <w:tcBorders>
                    <w:top w:val="single" w:color="auto" w:sz="4" w:space="0"/>
                    <w:left w:val="single" w:color="auto" w:sz="4" w:space="0"/>
                    <w:bottom w:val="single" w:color="auto" w:sz="4" w:space="0"/>
                    <w:right w:val="single" w:color="auto" w:sz="4" w:space="0"/>
                  </w:tcBorders>
                  <w:vAlign w:val="center"/>
                </w:tcPr>
                <w:p w14:paraId="219868BC">
                  <w:pPr>
                    <w:widowControl/>
                    <w:jc w:val="center"/>
                    <w:rPr>
                      <w:rFonts w:hint="default" w:ascii="Times New Roman" w:hAnsi="Times New Roman" w:cs="Times New Roman"/>
                      <w:bCs/>
                      <w:color w:val="auto"/>
                      <w:sz w:val="18"/>
                      <w:szCs w:val="18"/>
                    </w:rPr>
                  </w:pPr>
                </w:p>
              </w:tc>
            </w:tr>
            <w:tr w14:paraId="55AC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15" w:type="dxa"/>
                  <w:gridSpan w:val="3"/>
                  <w:tcBorders>
                    <w:top w:val="single" w:color="auto" w:sz="4" w:space="0"/>
                    <w:left w:val="single" w:color="auto" w:sz="4" w:space="0"/>
                    <w:bottom w:val="single" w:color="auto" w:sz="4" w:space="0"/>
                    <w:right w:val="single" w:color="auto" w:sz="4" w:space="0"/>
                  </w:tcBorders>
                  <w:vAlign w:val="center"/>
                </w:tcPr>
                <w:p w14:paraId="589CDEC8">
                  <w:pPr>
                    <w:pStyle w:val="847"/>
                    <w:tabs>
                      <w:tab w:val="clear" w:pos="400"/>
                    </w:tabs>
                    <w:spacing w:line="240" w:lineRule="auto"/>
                    <w:ind w:firstLine="0"/>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合计</w:t>
                  </w:r>
                </w:p>
              </w:tc>
              <w:tc>
                <w:tcPr>
                  <w:tcW w:w="747" w:type="dxa"/>
                  <w:tcBorders>
                    <w:top w:val="single" w:color="auto" w:sz="4" w:space="0"/>
                    <w:left w:val="single" w:color="auto" w:sz="4" w:space="0"/>
                    <w:bottom w:val="single" w:color="auto" w:sz="4" w:space="0"/>
                    <w:right w:val="single" w:color="auto" w:sz="4" w:space="0"/>
                  </w:tcBorders>
                  <w:vAlign w:val="center"/>
                </w:tcPr>
                <w:p w14:paraId="2F8A7344">
                  <w:pPr>
                    <w:pStyle w:val="847"/>
                    <w:tabs>
                      <w:tab w:val="clear" w:pos="400"/>
                    </w:tabs>
                    <w:spacing w:line="240" w:lineRule="auto"/>
                    <w:ind w:firstLine="0"/>
                    <w:jc w:val="center"/>
                    <w:rPr>
                      <w:rFonts w:hint="default" w:ascii="Times New Roman" w:hAnsi="Times New Roman" w:eastAsia="宋体" w:cs="Times New Roman"/>
                      <w:bCs/>
                      <w:color w:val="auto"/>
                      <w:sz w:val="18"/>
                      <w:szCs w:val="18"/>
                      <w:lang w:val="en-US" w:eastAsia="zh-CN"/>
                    </w:rPr>
                  </w:pPr>
                  <w:r>
                    <w:rPr>
                      <w:rFonts w:hint="default" w:ascii="Times New Roman" w:hAnsi="Times New Roman" w:cs="Times New Roman"/>
                      <w:bCs/>
                      <w:color w:val="auto"/>
                      <w:sz w:val="18"/>
                      <w:szCs w:val="18"/>
                      <w:lang w:val="en-US" w:eastAsia="zh-CN"/>
                    </w:rPr>
                    <w:t>30</w:t>
                  </w:r>
                </w:p>
              </w:tc>
              <w:tc>
                <w:tcPr>
                  <w:tcW w:w="947" w:type="dxa"/>
                  <w:vMerge w:val="continue"/>
                  <w:tcBorders>
                    <w:top w:val="single" w:color="auto" w:sz="4" w:space="0"/>
                    <w:left w:val="single" w:color="auto" w:sz="4" w:space="0"/>
                    <w:bottom w:val="single" w:color="auto" w:sz="4" w:space="0"/>
                    <w:right w:val="single" w:color="auto" w:sz="4" w:space="0"/>
                  </w:tcBorders>
                  <w:vAlign w:val="center"/>
                </w:tcPr>
                <w:p w14:paraId="7D831C85">
                  <w:pPr>
                    <w:jc w:val="center"/>
                    <w:rPr>
                      <w:rFonts w:hint="default" w:ascii="Times New Roman" w:hAnsi="Times New Roman" w:cs="Times New Roman"/>
                      <w:bCs/>
                      <w:color w:val="auto"/>
                      <w:sz w:val="18"/>
                      <w:szCs w:val="18"/>
                    </w:rPr>
                  </w:pPr>
                </w:p>
              </w:tc>
            </w:tr>
          </w:tbl>
          <w:p w14:paraId="6EDAB86F">
            <w:pPr>
              <w:pStyle w:val="85"/>
              <w:ind w:left="0" w:leftChars="0" w:firstLine="0" w:firstLineChars="0"/>
              <w:rPr>
                <w:rFonts w:hint="eastAsia" w:cs="Times New Roman"/>
                <w:color w:val="auto"/>
                <w:lang w:eastAsia="zh-CN"/>
              </w:rPr>
            </w:pPr>
          </w:p>
          <w:p w14:paraId="5D5AAE6A">
            <w:pPr>
              <w:pStyle w:val="85"/>
              <w:ind w:left="0" w:leftChars="0" w:firstLine="0" w:firstLineChars="0"/>
              <w:rPr>
                <w:rFonts w:hint="eastAsia" w:cs="Times New Roman"/>
                <w:color w:val="auto"/>
                <w:lang w:eastAsia="zh-CN"/>
              </w:rPr>
            </w:pPr>
          </w:p>
          <w:p w14:paraId="72EFA9ED">
            <w:pPr>
              <w:pStyle w:val="85"/>
              <w:ind w:left="0" w:leftChars="0" w:firstLine="0" w:firstLineChars="0"/>
              <w:rPr>
                <w:rFonts w:hint="eastAsia" w:cs="Times New Roman"/>
                <w:color w:val="auto"/>
                <w:lang w:eastAsia="zh-CN"/>
              </w:rPr>
            </w:pPr>
          </w:p>
          <w:p w14:paraId="718B613E">
            <w:pPr>
              <w:pStyle w:val="85"/>
              <w:ind w:left="0" w:leftChars="0" w:firstLine="0" w:firstLineChars="0"/>
              <w:rPr>
                <w:rFonts w:hint="eastAsia" w:cs="Times New Roman"/>
                <w:color w:val="FF0000"/>
                <w:lang w:eastAsia="zh-CN"/>
              </w:rPr>
            </w:pPr>
          </w:p>
          <w:p w14:paraId="13AE30A4">
            <w:pPr>
              <w:pStyle w:val="85"/>
              <w:ind w:left="0" w:leftChars="0" w:firstLine="0" w:firstLineChars="0"/>
              <w:rPr>
                <w:rFonts w:hint="eastAsia" w:cs="Times New Roman"/>
                <w:color w:val="FF0000"/>
                <w:lang w:eastAsia="zh-CN"/>
              </w:rPr>
            </w:pPr>
          </w:p>
          <w:p w14:paraId="0ECD230C">
            <w:pPr>
              <w:pStyle w:val="85"/>
              <w:ind w:left="0" w:leftChars="0" w:firstLine="0" w:firstLineChars="0"/>
              <w:rPr>
                <w:rFonts w:hint="eastAsia" w:cs="Times New Roman"/>
                <w:color w:val="FF0000"/>
                <w:lang w:eastAsia="zh-CN"/>
              </w:rPr>
            </w:pPr>
          </w:p>
          <w:p w14:paraId="42EC0E3D">
            <w:pPr>
              <w:pStyle w:val="85"/>
              <w:ind w:left="0" w:leftChars="0" w:firstLine="0" w:firstLineChars="0"/>
              <w:rPr>
                <w:rFonts w:hint="eastAsia" w:cs="Times New Roman"/>
                <w:color w:val="FF0000"/>
                <w:lang w:eastAsia="zh-CN"/>
              </w:rPr>
            </w:pPr>
          </w:p>
          <w:p w14:paraId="7A6B8290">
            <w:pPr>
              <w:pStyle w:val="85"/>
              <w:ind w:left="0" w:leftChars="0" w:firstLine="0" w:firstLineChars="0"/>
              <w:rPr>
                <w:rFonts w:hint="eastAsia" w:cs="Times New Roman"/>
                <w:color w:val="FF0000"/>
                <w:lang w:eastAsia="zh-CN"/>
              </w:rPr>
            </w:pPr>
          </w:p>
          <w:p w14:paraId="72DE90D1">
            <w:pPr>
              <w:pStyle w:val="85"/>
              <w:ind w:left="0" w:leftChars="0" w:firstLine="0" w:firstLineChars="0"/>
              <w:rPr>
                <w:rFonts w:hint="eastAsia" w:cs="Times New Roman"/>
                <w:color w:val="FF0000"/>
                <w:lang w:eastAsia="zh-CN"/>
              </w:rPr>
            </w:pPr>
          </w:p>
          <w:p w14:paraId="6B1D1817">
            <w:pPr>
              <w:pStyle w:val="85"/>
              <w:ind w:left="0" w:leftChars="0" w:firstLine="0" w:firstLineChars="0"/>
              <w:rPr>
                <w:rFonts w:hint="eastAsia" w:cs="Times New Roman"/>
                <w:color w:val="FF0000"/>
                <w:lang w:eastAsia="zh-CN"/>
              </w:rPr>
            </w:pPr>
          </w:p>
          <w:p w14:paraId="5A6A80B7">
            <w:pPr>
              <w:pStyle w:val="85"/>
              <w:ind w:left="0" w:leftChars="0" w:firstLine="0" w:firstLineChars="0"/>
              <w:rPr>
                <w:rFonts w:hint="eastAsia" w:cs="Times New Roman"/>
                <w:color w:val="FF0000"/>
                <w:lang w:eastAsia="zh-CN"/>
              </w:rPr>
            </w:pPr>
          </w:p>
          <w:p w14:paraId="7AAACEB4">
            <w:pPr>
              <w:pStyle w:val="85"/>
              <w:ind w:left="0" w:leftChars="0" w:firstLine="0" w:firstLineChars="0"/>
              <w:rPr>
                <w:rFonts w:hint="eastAsia" w:cs="Times New Roman"/>
                <w:color w:val="FF0000"/>
                <w:lang w:eastAsia="zh-CN"/>
              </w:rPr>
            </w:pPr>
          </w:p>
          <w:p w14:paraId="6E634C6E">
            <w:pPr>
              <w:pStyle w:val="85"/>
              <w:ind w:left="0" w:leftChars="0" w:firstLine="0" w:firstLineChars="0"/>
              <w:rPr>
                <w:rFonts w:hint="eastAsia" w:cs="Times New Roman"/>
                <w:color w:val="FF0000"/>
                <w:lang w:eastAsia="zh-CN"/>
              </w:rPr>
            </w:pPr>
          </w:p>
          <w:p w14:paraId="356298AB">
            <w:pPr>
              <w:pStyle w:val="85"/>
              <w:ind w:left="0" w:leftChars="0" w:firstLine="0" w:firstLineChars="0"/>
              <w:rPr>
                <w:rFonts w:hint="eastAsia" w:cs="Times New Roman"/>
                <w:color w:val="FF0000"/>
                <w:lang w:eastAsia="zh-CN"/>
              </w:rPr>
            </w:pPr>
          </w:p>
          <w:p w14:paraId="1C6CFEA0">
            <w:pPr>
              <w:pStyle w:val="85"/>
              <w:ind w:left="0" w:leftChars="0" w:firstLine="0" w:firstLineChars="0"/>
              <w:rPr>
                <w:rFonts w:hint="eastAsia" w:cs="Times New Roman"/>
                <w:color w:val="FF0000"/>
                <w:lang w:eastAsia="zh-CN"/>
              </w:rPr>
            </w:pPr>
          </w:p>
          <w:p w14:paraId="735B09E8">
            <w:pPr>
              <w:pStyle w:val="85"/>
              <w:ind w:left="0" w:leftChars="0" w:firstLine="0" w:firstLineChars="0"/>
              <w:rPr>
                <w:rFonts w:hint="eastAsia" w:cs="Times New Roman"/>
                <w:color w:val="FF0000"/>
                <w:lang w:eastAsia="zh-CN"/>
              </w:rPr>
            </w:pPr>
          </w:p>
          <w:p w14:paraId="19EA8397">
            <w:pPr>
              <w:pStyle w:val="85"/>
              <w:ind w:left="0" w:leftChars="0" w:firstLine="0" w:firstLineChars="0"/>
              <w:rPr>
                <w:rFonts w:hint="eastAsia" w:cs="Times New Roman"/>
                <w:color w:val="FF0000"/>
                <w:lang w:eastAsia="zh-CN"/>
              </w:rPr>
            </w:pPr>
          </w:p>
          <w:p w14:paraId="1C604A90">
            <w:pPr>
              <w:pStyle w:val="85"/>
              <w:ind w:left="0" w:leftChars="0" w:firstLine="0" w:firstLineChars="0"/>
              <w:rPr>
                <w:rFonts w:hint="eastAsia" w:cs="Times New Roman"/>
                <w:color w:val="FF0000"/>
                <w:lang w:eastAsia="zh-CN"/>
              </w:rPr>
            </w:pPr>
          </w:p>
          <w:p w14:paraId="71001E90">
            <w:pPr>
              <w:pStyle w:val="85"/>
              <w:ind w:left="0" w:leftChars="0" w:firstLine="0" w:firstLineChars="0"/>
              <w:rPr>
                <w:rFonts w:hint="eastAsia" w:cs="Times New Roman"/>
                <w:color w:val="FF0000"/>
                <w:lang w:eastAsia="zh-CN"/>
              </w:rPr>
            </w:pPr>
          </w:p>
          <w:p w14:paraId="546AF6C2">
            <w:pPr>
              <w:pStyle w:val="85"/>
              <w:ind w:left="0" w:leftChars="0" w:firstLine="0" w:firstLineChars="0"/>
              <w:rPr>
                <w:rFonts w:hint="eastAsia" w:cs="Times New Roman"/>
                <w:color w:val="FF0000"/>
                <w:lang w:eastAsia="zh-CN"/>
              </w:rPr>
            </w:pPr>
          </w:p>
          <w:p w14:paraId="5EC24A3D">
            <w:pPr>
              <w:pStyle w:val="85"/>
              <w:ind w:left="0" w:leftChars="0" w:firstLine="0" w:firstLineChars="0"/>
              <w:rPr>
                <w:rFonts w:hint="eastAsia" w:cs="Times New Roman"/>
                <w:color w:val="FF0000"/>
                <w:lang w:eastAsia="zh-CN"/>
              </w:rPr>
            </w:pPr>
          </w:p>
          <w:p w14:paraId="46F8C9F4">
            <w:pPr>
              <w:pStyle w:val="85"/>
              <w:ind w:left="0" w:leftChars="0" w:firstLine="0" w:firstLineChars="0"/>
              <w:rPr>
                <w:rFonts w:hint="eastAsia" w:cs="Times New Roman"/>
                <w:color w:val="FF0000"/>
                <w:lang w:eastAsia="zh-CN"/>
              </w:rPr>
            </w:pPr>
          </w:p>
          <w:p w14:paraId="0643F93D">
            <w:pPr>
              <w:pStyle w:val="85"/>
              <w:ind w:left="0" w:leftChars="0" w:firstLine="0" w:firstLineChars="0"/>
              <w:rPr>
                <w:rFonts w:hint="eastAsia" w:cs="Times New Roman"/>
                <w:color w:val="FF0000"/>
                <w:lang w:eastAsia="zh-CN"/>
              </w:rPr>
            </w:pPr>
          </w:p>
          <w:p w14:paraId="48124DBA">
            <w:pPr>
              <w:pStyle w:val="85"/>
              <w:ind w:left="0" w:leftChars="0" w:firstLine="0" w:firstLineChars="0"/>
              <w:rPr>
                <w:rFonts w:hint="eastAsia" w:cs="Times New Roman"/>
                <w:color w:val="FF0000"/>
                <w:lang w:eastAsia="zh-CN"/>
              </w:rPr>
            </w:pPr>
          </w:p>
          <w:p w14:paraId="13AB8FC2">
            <w:pPr>
              <w:pStyle w:val="85"/>
              <w:ind w:left="0" w:leftChars="0" w:firstLine="0" w:firstLineChars="0"/>
              <w:rPr>
                <w:rFonts w:hint="eastAsia" w:cs="Times New Roman"/>
                <w:color w:val="FF0000"/>
                <w:lang w:eastAsia="zh-CN"/>
              </w:rPr>
            </w:pPr>
          </w:p>
          <w:p w14:paraId="5D748006">
            <w:pPr>
              <w:pStyle w:val="85"/>
              <w:ind w:left="0" w:leftChars="0" w:firstLine="0" w:firstLineChars="0"/>
              <w:rPr>
                <w:rFonts w:hint="eastAsia" w:cs="Times New Roman"/>
                <w:color w:val="FF0000"/>
                <w:lang w:eastAsia="zh-CN"/>
              </w:rPr>
            </w:pPr>
          </w:p>
          <w:p w14:paraId="3BEF1C35">
            <w:pPr>
              <w:pStyle w:val="85"/>
              <w:ind w:left="0" w:leftChars="0" w:firstLine="0" w:firstLineChars="0"/>
              <w:rPr>
                <w:rFonts w:hint="eastAsia" w:cs="Times New Roman"/>
                <w:color w:val="FF0000"/>
                <w:lang w:eastAsia="zh-CN"/>
              </w:rPr>
            </w:pPr>
          </w:p>
          <w:p w14:paraId="5EAD3B70">
            <w:pPr>
              <w:pStyle w:val="85"/>
              <w:ind w:left="0" w:leftChars="0" w:firstLine="0" w:firstLineChars="0"/>
              <w:rPr>
                <w:rFonts w:hint="eastAsia" w:cs="Times New Roman"/>
                <w:color w:val="FF0000"/>
                <w:lang w:eastAsia="zh-CN"/>
              </w:rPr>
            </w:pPr>
          </w:p>
          <w:p w14:paraId="552BD665">
            <w:pPr>
              <w:pStyle w:val="85"/>
              <w:ind w:left="0" w:leftChars="0" w:firstLine="0" w:firstLineChars="0"/>
              <w:rPr>
                <w:rFonts w:hint="eastAsia" w:cs="Times New Roman"/>
                <w:color w:val="FF0000"/>
                <w:lang w:eastAsia="zh-CN"/>
              </w:rPr>
            </w:pPr>
          </w:p>
          <w:p w14:paraId="7EAE5B8A">
            <w:pPr>
              <w:pStyle w:val="85"/>
              <w:ind w:left="0" w:leftChars="0" w:firstLine="0" w:firstLineChars="0"/>
              <w:rPr>
                <w:rFonts w:hint="default" w:ascii="Times New Roman" w:hAnsi="Times New Roman" w:eastAsia="宋体" w:cs="Times New Roman"/>
                <w:color w:val="FF0000"/>
                <w:lang w:eastAsia="zh-CN"/>
              </w:rPr>
            </w:pPr>
          </w:p>
        </w:tc>
      </w:tr>
    </w:tbl>
    <w:p w14:paraId="28D4BA45">
      <w:pPr>
        <w:pStyle w:val="80"/>
        <w:spacing w:before="0" w:beforeAutospacing="0" w:after="0" w:afterAutospacing="0" w:line="420" w:lineRule="exact"/>
        <w:jc w:val="center"/>
        <w:outlineLvl w:val="0"/>
        <w:rPr>
          <w:rFonts w:hint="default" w:ascii="Times New Roman" w:hAnsi="Times New Roman" w:cs="Times New Roman"/>
          <w:b/>
          <w:bCs/>
          <w:snapToGrid w:val="0"/>
          <w:color w:val="auto"/>
          <w:sz w:val="30"/>
          <w:szCs w:val="30"/>
        </w:rPr>
      </w:pPr>
      <w:r>
        <w:rPr>
          <w:rFonts w:hint="default" w:ascii="Times New Roman" w:hAnsi="Times New Roman" w:cs="Times New Roman"/>
          <w:snapToGrid w:val="0"/>
          <w:color w:val="FF0000"/>
          <w:sz w:val="30"/>
          <w:szCs w:val="30"/>
        </w:rPr>
        <w:br w:type="page"/>
      </w:r>
      <w:bookmarkStart w:id="20" w:name="_Toc154582839"/>
      <w:bookmarkStart w:id="21" w:name="_Toc148608321"/>
      <w:r>
        <w:rPr>
          <w:rFonts w:hint="default" w:ascii="Times New Roman" w:hAnsi="Times New Roman" w:cs="Times New Roman"/>
          <w:b/>
          <w:bCs/>
          <w:snapToGrid w:val="0"/>
          <w:color w:val="auto"/>
          <w:sz w:val="30"/>
          <w:szCs w:val="30"/>
        </w:rPr>
        <w:t>五、</w:t>
      </w:r>
      <w:bookmarkStart w:id="22" w:name="_Hlk54167917"/>
      <w:r>
        <w:rPr>
          <w:rFonts w:hint="default" w:ascii="Times New Roman" w:hAnsi="Times New Roman" w:cs="Times New Roman"/>
          <w:b/>
          <w:bCs/>
          <w:snapToGrid w:val="0"/>
          <w:color w:val="auto"/>
          <w:sz w:val="30"/>
          <w:szCs w:val="30"/>
        </w:rPr>
        <w:t>环境保护措施监督检查清单</w:t>
      </w:r>
      <w:bookmarkEnd w:id="20"/>
      <w:bookmarkEnd w:id="21"/>
      <w:bookmarkEnd w:id="22"/>
    </w:p>
    <w:tbl>
      <w:tblPr>
        <w:tblStyle w:val="86"/>
        <w:tblW w:w="506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49"/>
        <w:gridCol w:w="1102"/>
        <w:gridCol w:w="1806"/>
        <w:gridCol w:w="2449"/>
        <w:gridCol w:w="2872"/>
      </w:tblGrid>
      <w:tr w14:paraId="624E5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jc w:val="center"/>
        </w:trPr>
        <w:tc>
          <w:tcPr>
            <w:tcW w:w="1546" w:type="dxa"/>
            <w:tcBorders>
              <w:top w:val="single" w:color="auto" w:sz="8" w:space="0"/>
              <w:tl2br w:val="single" w:color="auto" w:sz="4" w:space="0"/>
            </w:tcBorders>
          </w:tcPr>
          <w:p w14:paraId="7F8D2987">
            <w:pPr>
              <w:adjustRightInd w:val="0"/>
              <w:snapToGrid w:val="0"/>
              <w:spacing w:line="240" w:lineRule="exact"/>
              <w:ind w:firstLine="721"/>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内容</w:t>
            </w:r>
          </w:p>
          <w:p w14:paraId="799AC2A8">
            <w:pPr>
              <w:adjustRightInd w:val="0"/>
              <w:snapToGrid w:val="0"/>
              <w:spacing w:line="240" w:lineRule="exact"/>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要素</w:t>
            </w:r>
          </w:p>
        </w:tc>
        <w:tc>
          <w:tcPr>
            <w:tcW w:w="1100" w:type="dxa"/>
            <w:tcBorders>
              <w:top w:val="single" w:color="auto" w:sz="8" w:space="0"/>
            </w:tcBorders>
            <w:vAlign w:val="center"/>
          </w:tcPr>
          <w:p w14:paraId="1CB52676">
            <w:pPr>
              <w:adjustRightInd w:val="0"/>
              <w:snapToGrid w:val="0"/>
              <w:spacing w:line="240" w:lineRule="exact"/>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排放口</w:t>
            </w:r>
            <w:r>
              <w:rPr>
                <w:rFonts w:hint="default" w:ascii="Times New Roman" w:hAnsi="Times New Roman" w:cs="Times New Roman" w:eastAsiaTheme="minorEastAsia"/>
                <w:b/>
                <w:bCs/>
                <w:color w:val="auto"/>
                <w:szCs w:val="21"/>
                <w:lang w:eastAsia="zh-CN"/>
              </w:rPr>
              <w:t>（</w:t>
            </w:r>
            <w:r>
              <w:rPr>
                <w:rFonts w:hint="default" w:ascii="Times New Roman" w:hAnsi="Times New Roman" w:cs="Times New Roman" w:eastAsiaTheme="minorEastAsia"/>
                <w:b/>
                <w:bCs/>
                <w:color w:val="auto"/>
                <w:szCs w:val="21"/>
              </w:rPr>
              <w:t>编号、名称</w:t>
            </w:r>
            <w:r>
              <w:rPr>
                <w:rFonts w:hint="default" w:ascii="Times New Roman" w:hAnsi="Times New Roman" w:cs="Times New Roman" w:eastAsiaTheme="minorEastAsia"/>
                <w:b/>
                <w:bCs/>
                <w:color w:val="auto"/>
                <w:szCs w:val="21"/>
                <w:lang w:eastAsia="zh-CN"/>
              </w:rPr>
              <w:t>）</w:t>
            </w:r>
            <w:r>
              <w:rPr>
                <w:rFonts w:hint="default" w:ascii="Times New Roman" w:hAnsi="Times New Roman" w:cs="Times New Roman" w:eastAsiaTheme="minorEastAsia"/>
                <w:b/>
                <w:bCs/>
                <w:color w:val="auto"/>
                <w:szCs w:val="21"/>
              </w:rPr>
              <w:t>/污染源</w:t>
            </w:r>
          </w:p>
        </w:tc>
        <w:tc>
          <w:tcPr>
            <w:tcW w:w="1802" w:type="dxa"/>
            <w:tcBorders>
              <w:top w:val="single" w:color="auto" w:sz="8" w:space="0"/>
            </w:tcBorders>
            <w:vAlign w:val="center"/>
          </w:tcPr>
          <w:p w14:paraId="1DFCCF80">
            <w:pPr>
              <w:adjustRightInd w:val="0"/>
              <w:snapToGrid w:val="0"/>
              <w:spacing w:line="240" w:lineRule="exact"/>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污染物项目</w:t>
            </w:r>
          </w:p>
        </w:tc>
        <w:tc>
          <w:tcPr>
            <w:tcW w:w="2444" w:type="dxa"/>
            <w:tcBorders>
              <w:top w:val="single" w:color="auto" w:sz="8" w:space="0"/>
            </w:tcBorders>
            <w:vAlign w:val="center"/>
          </w:tcPr>
          <w:p w14:paraId="08805664">
            <w:pPr>
              <w:adjustRightInd w:val="0"/>
              <w:snapToGrid w:val="0"/>
              <w:spacing w:line="240" w:lineRule="exact"/>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环境保护措施</w:t>
            </w:r>
          </w:p>
        </w:tc>
        <w:tc>
          <w:tcPr>
            <w:tcW w:w="2866" w:type="dxa"/>
            <w:tcBorders>
              <w:top w:val="single" w:color="auto" w:sz="8" w:space="0"/>
            </w:tcBorders>
            <w:vAlign w:val="center"/>
          </w:tcPr>
          <w:p w14:paraId="2521FC1D">
            <w:pPr>
              <w:adjustRightInd w:val="0"/>
              <w:snapToGrid w:val="0"/>
              <w:spacing w:line="240" w:lineRule="exact"/>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执行标准</w:t>
            </w:r>
          </w:p>
        </w:tc>
      </w:tr>
      <w:tr w14:paraId="594FE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52" w:hRule="atLeast"/>
          <w:jc w:val="center"/>
        </w:trPr>
        <w:tc>
          <w:tcPr>
            <w:tcW w:w="1546" w:type="dxa"/>
            <w:vAlign w:val="center"/>
          </w:tcPr>
          <w:p w14:paraId="41412ADE">
            <w:pPr>
              <w:adjustRightInd w:val="0"/>
              <w:snapToGrid w:val="0"/>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大气环境</w:t>
            </w:r>
          </w:p>
        </w:tc>
        <w:tc>
          <w:tcPr>
            <w:tcW w:w="1100" w:type="dxa"/>
            <w:shd w:val="clear" w:color="auto" w:fill="auto"/>
            <w:vAlign w:val="center"/>
          </w:tcPr>
          <w:p w14:paraId="714CFAE2">
            <w:pPr>
              <w:adjustRightInd w:val="0"/>
              <w:snapToGrid w:val="0"/>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Cs w:val="21"/>
              </w:rPr>
              <w:t>厂界</w:t>
            </w:r>
          </w:p>
        </w:tc>
        <w:tc>
          <w:tcPr>
            <w:tcW w:w="1802" w:type="dxa"/>
            <w:shd w:val="clear" w:color="auto" w:fill="auto"/>
            <w:vAlign w:val="center"/>
          </w:tcPr>
          <w:p w14:paraId="5A2D046D">
            <w:pPr>
              <w:adjustRightInd w:val="0"/>
              <w:snapToGrid w:val="0"/>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Cs w:val="21"/>
              </w:rPr>
              <w:t>颗粒物</w:t>
            </w:r>
          </w:p>
        </w:tc>
        <w:tc>
          <w:tcPr>
            <w:tcW w:w="2444" w:type="dxa"/>
            <w:shd w:val="clear" w:color="auto" w:fill="auto"/>
            <w:vAlign w:val="center"/>
          </w:tcPr>
          <w:p w14:paraId="2E820C50">
            <w:pPr>
              <w:adjustRightInd w:val="0"/>
              <w:snapToGrid w:val="0"/>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Cs w:val="21"/>
                <w:lang w:val="en-US" w:eastAsia="zh-CN"/>
              </w:rPr>
              <w:t>布袋除尘器、</w:t>
            </w:r>
            <w:r>
              <w:rPr>
                <w:rFonts w:hint="default" w:ascii="Times New Roman" w:hAnsi="Times New Roman" w:cs="Times New Roman" w:eastAsiaTheme="minorEastAsia"/>
                <w:color w:val="auto"/>
                <w:szCs w:val="21"/>
              </w:rPr>
              <w:t>车间</w:t>
            </w:r>
            <w:r>
              <w:rPr>
                <w:rFonts w:hint="default" w:ascii="Times New Roman" w:hAnsi="Times New Roman" w:cs="Times New Roman" w:eastAsiaTheme="minorEastAsia"/>
                <w:color w:val="auto"/>
                <w:szCs w:val="21"/>
                <w:lang w:val="en-US" w:eastAsia="zh-CN"/>
              </w:rPr>
              <w:t>洒水降尘</w:t>
            </w:r>
          </w:p>
        </w:tc>
        <w:tc>
          <w:tcPr>
            <w:tcW w:w="2866" w:type="dxa"/>
            <w:shd w:val="clear" w:color="auto" w:fill="auto"/>
            <w:vAlign w:val="center"/>
          </w:tcPr>
          <w:p w14:paraId="271BCE39">
            <w:pPr>
              <w:adjustRightInd w:val="0"/>
              <w:snapToGrid w:val="0"/>
              <w:spacing w:line="240" w:lineRule="exact"/>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Cs w:val="21"/>
              </w:rPr>
              <w:t>《建材工业大气污染物排放标准》（DB37/2373-2018）表3中建材工业大气污染物无组织排放限值“除水泥外的其他建材”标准要求</w:t>
            </w:r>
          </w:p>
        </w:tc>
      </w:tr>
      <w:tr w14:paraId="4B80AA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1546" w:type="dxa"/>
            <w:vAlign w:val="center"/>
          </w:tcPr>
          <w:p w14:paraId="322847F4">
            <w:pPr>
              <w:adjustRightInd w:val="0"/>
              <w:snapToGrid w:val="0"/>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地表水环境</w:t>
            </w:r>
          </w:p>
        </w:tc>
        <w:tc>
          <w:tcPr>
            <w:tcW w:w="1100" w:type="dxa"/>
            <w:vAlign w:val="center"/>
          </w:tcPr>
          <w:p w14:paraId="73F7C113">
            <w:pPr>
              <w:adjustRightInd w:val="0"/>
              <w:snapToGrid w:val="0"/>
              <w:spacing w:line="240" w:lineRule="exact"/>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rPr>
              <w:t>生活污水</w:t>
            </w:r>
          </w:p>
        </w:tc>
        <w:tc>
          <w:tcPr>
            <w:tcW w:w="1802" w:type="dxa"/>
            <w:vAlign w:val="center"/>
          </w:tcPr>
          <w:p w14:paraId="5AE24750">
            <w:pPr>
              <w:adjustRightInd w:val="0"/>
              <w:snapToGrid w:val="0"/>
              <w:spacing w:line="240" w:lineRule="exact"/>
              <w:ind w:left="-103" w:leftChars="-49" w:right="-107" w:rightChars="-51"/>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pH、COD、</w:t>
            </w:r>
            <w:r>
              <w:rPr>
                <w:rFonts w:hint="default" w:ascii="Times New Roman" w:hAnsi="Times New Roman" w:cs="Times New Roman" w:eastAsiaTheme="minorEastAsia"/>
                <w:color w:val="auto"/>
                <w:kern w:val="24"/>
                <w:szCs w:val="21"/>
              </w:rPr>
              <w:t>BOD</w:t>
            </w:r>
            <w:r>
              <w:rPr>
                <w:rFonts w:hint="default" w:ascii="Times New Roman" w:hAnsi="Times New Roman" w:cs="Times New Roman" w:eastAsiaTheme="minorEastAsia"/>
                <w:color w:val="auto"/>
                <w:kern w:val="24"/>
                <w:szCs w:val="21"/>
                <w:vertAlign w:val="subscript"/>
              </w:rPr>
              <w:t>5</w:t>
            </w:r>
            <w:r>
              <w:rPr>
                <w:rFonts w:hint="default" w:ascii="Times New Roman" w:hAnsi="Times New Roman" w:cs="Times New Roman" w:eastAsiaTheme="minorEastAsia"/>
                <w:color w:val="auto"/>
                <w:kern w:val="24"/>
                <w:szCs w:val="21"/>
              </w:rPr>
              <w:t>、NH</w:t>
            </w:r>
            <w:r>
              <w:rPr>
                <w:rFonts w:hint="default" w:ascii="Times New Roman" w:hAnsi="Times New Roman" w:cs="Times New Roman" w:eastAsiaTheme="minorEastAsia"/>
                <w:color w:val="auto"/>
                <w:kern w:val="24"/>
                <w:szCs w:val="21"/>
                <w:vertAlign w:val="subscript"/>
              </w:rPr>
              <w:t>3</w:t>
            </w:r>
            <w:r>
              <w:rPr>
                <w:rFonts w:hint="default" w:ascii="Times New Roman" w:hAnsi="Times New Roman" w:cs="Times New Roman" w:eastAsiaTheme="minorEastAsia"/>
                <w:color w:val="auto"/>
                <w:kern w:val="24"/>
                <w:szCs w:val="21"/>
              </w:rPr>
              <w:t>-N、SS、总磷</w:t>
            </w:r>
          </w:p>
        </w:tc>
        <w:tc>
          <w:tcPr>
            <w:tcW w:w="2444" w:type="dxa"/>
            <w:vAlign w:val="center"/>
          </w:tcPr>
          <w:p w14:paraId="34762B01">
            <w:pPr>
              <w:adjustRightInd w:val="0"/>
              <w:snapToGrid w:val="0"/>
              <w:spacing w:line="240" w:lineRule="exact"/>
              <w:jc w:val="center"/>
              <w:rPr>
                <w:rFonts w:hint="default" w:ascii="Times New Roman" w:hAnsi="Times New Roman" w:cs="Times New Roman" w:eastAsiaTheme="minorEastAsia"/>
                <w:color w:val="auto"/>
                <w:szCs w:val="21"/>
              </w:rPr>
            </w:pPr>
            <w:r>
              <w:rPr>
                <w:rFonts w:hint="eastAsia" w:cs="Times New Roman" w:eastAsiaTheme="minorEastAsia"/>
                <w:color w:val="auto"/>
                <w:szCs w:val="21"/>
                <w:lang w:val="en-US" w:eastAsia="zh-CN"/>
              </w:rPr>
              <w:t>经</w:t>
            </w:r>
            <w:r>
              <w:rPr>
                <w:rFonts w:hint="default" w:ascii="Times New Roman" w:hAnsi="Times New Roman" w:cs="Times New Roman" w:eastAsiaTheme="minorEastAsia"/>
                <w:color w:val="auto"/>
                <w:szCs w:val="21"/>
              </w:rPr>
              <w:t>化粪池预处理后由环卫部门定期清运</w:t>
            </w:r>
          </w:p>
        </w:tc>
        <w:tc>
          <w:tcPr>
            <w:tcW w:w="2866" w:type="dxa"/>
            <w:vAlign w:val="center"/>
          </w:tcPr>
          <w:p w14:paraId="1F908B8B">
            <w:pPr>
              <w:adjustRightInd w:val="0"/>
              <w:snapToGrid w:val="0"/>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不外排</w:t>
            </w:r>
          </w:p>
        </w:tc>
      </w:tr>
      <w:tr w14:paraId="36F44F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546" w:type="dxa"/>
            <w:vAlign w:val="center"/>
          </w:tcPr>
          <w:p w14:paraId="26757192">
            <w:pPr>
              <w:adjustRightInd w:val="0"/>
              <w:snapToGrid w:val="0"/>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声环境</w:t>
            </w:r>
          </w:p>
        </w:tc>
        <w:tc>
          <w:tcPr>
            <w:tcW w:w="1100" w:type="dxa"/>
            <w:vAlign w:val="center"/>
          </w:tcPr>
          <w:p w14:paraId="7B2A3FBC">
            <w:pPr>
              <w:adjustRightInd w:val="0"/>
              <w:snapToGrid w:val="0"/>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产噪设备及车间</w:t>
            </w:r>
          </w:p>
        </w:tc>
        <w:tc>
          <w:tcPr>
            <w:tcW w:w="1802" w:type="dxa"/>
            <w:vAlign w:val="center"/>
          </w:tcPr>
          <w:p w14:paraId="660C2BCB">
            <w:pPr>
              <w:adjustRightInd w:val="0"/>
              <w:snapToGrid w:val="0"/>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dB(A)</w:t>
            </w:r>
          </w:p>
        </w:tc>
        <w:tc>
          <w:tcPr>
            <w:tcW w:w="2444" w:type="dxa"/>
            <w:vAlign w:val="center"/>
          </w:tcPr>
          <w:p w14:paraId="3B690716">
            <w:pPr>
              <w:adjustRightInd w:val="0"/>
              <w:snapToGrid w:val="0"/>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减震、隔声、室内布置、风机加罩消音等措施</w:t>
            </w:r>
          </w:p>
        </w:tc>
        <w:tc>
          <w:tcPr>
            <w:tcW w:w="2866" w:type="dxa"/>
            <w:vAlign w:val="center"/>
          </w:tcPr>
          <w:p w14:paraId="482AC7BA">
            <w:pPr>
              <w:adjustRightInd w:val="0"/>
              <w:snapToGrid w:val="0"/>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符合《工业企业厂界环境噪声排放标准》（GB12348-2008）2类标准</w:t>
            </w:r>
          </w:p>
        </w:tc>
      </w:tr>
      <w:tr w14:paraId="2F6C60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546" w:type="dxa"/>
            <w:vAlign w:val="center"/>
          </w:tcPr>
          <w:p w14:paraId="7027F994">
            <w:pPr>
              <w:adjustRightInd w:val="0"/>
              <w:snapToGrid w:val="0"/>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电磁辐射</w:t>
            </w:r>
          </w:p>
        </w:tc>
        <w:tc>
          <w:tcPr>
            <w:tcW w:w="1100" w:type="dxa"/>
            <w:vAlign w:val="center"/>
          </w:tcPr>
          <w:p w14:paraId="3D9B6CBB">
            <w:pPr>
              <w:adjustRightInd w:val="0"/>
              <w:snapToGrid w:val="0"/>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c>
          <w:tcPr>
            <w:tcW w:w="1802" w:type="dxa"/>
            <w:vAlign w:val="center"/>
          </w:tcPr>
          <w:p w14:paraId="6E6937BE">
            <w:pPr>
              <w:adjustRightInd w:val="0"/>
              <w:snapToGrid w:val="0"/>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c>
          <w:tcPr>
            <w:tcW w:w="2444" w:type="dxa"/>
            <w:vAlign w:val="center"/>
          </w:tcPr>
          <w:p w14:paraId="3C3B63BC">
            <w:pPr>
              <w:adjustRightInd w:val="0"/>
              <w:snapToGrid w:val="0"/>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c>
          <w:tcPr>
            <w:tcW w:w="2866" w:type="dxa"/>
            <w:vAlign w:val="center"/>
          </w:tcPr>
          <w:p w14:paraId="7E988417">
            <w:pPr>
              <w:adjustRightInd w:val="0"/>
              <w:snapToGrid w:val="0"/>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p>
        </w:tc>
      </w:tr>
      <w:tr w14:paraId="6B83A4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546" w:type="dxa"/>
            <w:vAlign w:val="center"/>
          </w:tcPr>
          <w:p w14:paraId="0067AE51">
            <w:pPr>
              <w:adjustRightInd w:val="0"/>
              <w:snapToGrid w:val="0"/>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固体废物</w:t>
            </w:r>
          </w:p>
        </w:tc>
        <w:tc>
          <w:tcPr>
            <w:tcW w:w="8212" w:type="dxa"/>
            <w:gridSpan w:val="4"/>
            <w:vAlign w:val="center"/>
          </w:tcPr>
          <w:p w14:paraId="3E9471D6">
            <w:pPr>
              <w:autoSpaceDE w:val="0"/>
              <w:autoSpaceDN w:val="0"/>
              <w:adjustRightInd w:val="0"/>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固体废物管理台账，废弃物的运输登记，危险废物转移联单</w:t>
            </w:r>
          </w:p>
        </w:tc>
      </w:tr>
      <w:tr w14:paraId="77B27A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1546" w:type="dxa"/>
            <w:vAlign w:val="center"/>
          </w:tcPr>
          <w:p w14:paraId="25FE47A0">
            <w:pPr>
              <w:adjustRightInd w:val="0"/>
              <w:snapToGrid w:val="0"/>
              <w:spacing w:line="240" w:lineRule="exact"/>
              <w:ind w:left="-128" w:leftChars="-61" w:right="-107" w:rightChars="-51" w:firstLine="128" w:firstLineChars="61"/>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土壤及地下水</w:t>
            </w:r>
          </w:p>
          <w:p w14:paraId="001170BE">
            <w:pPr>
              <w:adjustRightInd w:val="0"/>
              <w:snapToGrid w:val="0"/>
              <w:spacing w:line="240" w:lineRule="exact"/>
              <w:ind w:left="-128" w:leftChars="-61" w:right="-107" w:rightChars="-51" w:firstLine="128" w:firstLineChars="61"/>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污染防治措施</w:t>
            </w:r>
          </w:p>
        </w:tc>
        <w:tc>
          <w:tcPr>
            <w:tcW w:w="8212" w:type="dxa"/>
            <w:gridSpan w:val="4"/>
            <w:vAlign w:val="center"/>
          </w:tcPr>
          <w:p w14:paraId="58604589">
            <w:pPr>
              <w:autoSpaceDE w:val="0"/>
              <w:autoSpaceDN w:val="0"/>
              <w:adjustRightInd w:val="0"/>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采取分区防渗措施，其中重点防渗区，设置不低于6.0m厚渗透系数为1.0×10</w:t>
            </w:r>
            <w:r>
              <w:rPr>
                <w:rFonts w:hint="default" w:ascii="Times New Roman" w:hAnsi="Times New Roman" w:cs="Times New Roman" w:eastAsiaTheme="minorEastAsia"/>
                <w:color w:val="auto"/>
                <w:szCs w:val="21"/>
                <w:vertAlign w:val="superscript"/>
              </w:rPr>
              <w:t>-7</w:t>
            </w:r>
            <w:r>
              <w:rPr>
                <w:rFonts w:hint="default" w:ascii="Times New Roman" w:hAnsi="Times New Roman" w:cs="Times New Roman" w:eastAsiaTheme="minorEastAsia"/>
                <w:color w:val="auto"/>
                <w:szCs w:val="21"/>
              </w:rPr>
              <w:t>cm/s的黏土层的防渗性能；一般防渗区，设置不低于1.5m厚渗透系数为1.0×10</w:t>
            </w:r>
            <w:r>
              <w:rPr>
                <w:rFonts w:hint="default" w:ascii="Times New Roman" w:hAnsi="Times New Roman" w:cs="Times New Roman" w:eastAsiaTheme="minorEastAsia"/>
                <w:color w:val="auto"/>
                <w:szCs w:val="21"/>
                <w:vertAlign w:val="superscript"/>
              </w:rPr>
              <w:t>-7</w:t>
            </w:r>
            <w:r>
              <w:rPr>
                <w:rFonts w:hint="default" w:ascii="Times New Roman" w:hAnsi="Times New Roman" w:cs="Times New Roman" w:eastAsiaTheme="minorEastAsia"/>
                <w:color w:val="auto"/>
                <w:szCs w:val="21"/>
              </w:rPr>
              <w:t>cm/s的黏土层的防渗性能；办公室等其他区域采取硬化等简单防渗。</w:t>
            </w:r>
          </w:p>
        </w:tc>
      </w:tr>
      <w:tr w14:paraId="2E0D4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46" w:type="dxa"/>
            <w:vAlign w:val="center"/>
          </w:tcPr>
          <w:p w14:paraId="00F72CCA">
            <w:pPr>
              <w:adjustRightInd w:val="0"/>
              <w:snapToGrid w:val="0"/>
              <w:spacing w:line="240" w:lineRule="exact"/>
              <w:ind w:left="-128" w:leftChars="-61" w:right="-107" w:rightChars="-51" w:firstLine="128" w:firstLineChars="61"/>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生态保护措施</w:t>
            </w:r>
          </w:p>
        </w:tc>
        <w:tc>
          <w:tcPr>
            <w:tcW w:w="8212" w:type="dxa"/>
            <w:gridSpan w:val="4"/>
            <w:vAlign w:val="center"/>
          </w:tcPr>
          <w:p w14:paraId="5FE339EE">
            <w:pPr>
              <w:adjustRightInd w:val="0"/>
              <w:snapToGrid w:val="0"/>
              <w:spacing w:line="24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厂区道路全部硬化</w:t>
            </w:r>
          </w:p>
        </w:tc>
      </w:tr>
      <w:tr w14:paraId="5737EB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546" w:type="dxa"/>
            <w:vAlign w:val="center"/>
          </w:tcPr>
          <w:p w14:paraId="63E54796">
            <w:pPr>
              <w:adjustRightInd w:val="0"/>
              <w:snapToGrid w:val="0"/>
              <w:spacing w:line="240" w:lineRule="exact"/>
              <w:jc w:val="center"/>
              <w:rPr>
                <w:rFonts w:hint="default" w:ascii="Times New Roman" w:hAnsi="Times New Roman" w:cs="Times New Roman" w:eastAsiaTheme="minorEastAsia"/>
                <w:color w:val="auto"/>
                <w:spacing w:val="-8"/>
                <w:szCs w:val="21"/>
              </w:rPr>
            </w:pPr>
            <w:r>
              <w:rPr>
                <w:rFonts w:hint="default" w:ascii="Times New Roman" w:hAnsi="Times New Roman" w:cs="Times New Roman" w:eastAsiaTheme="minorEastAsia"/>
                <w:color w:val="auto"/>
                <w:spacing w:val="-8"/>
                <w:szCs w:val="21"/>
              </w:rPr>
              <w:t>环境风险</w:t>
            </w:r>
          </w:p>
          <w:p w14:paraId="0926E437">
            <w:pPr>
              <w:adjustRightInd w:val="0"/>
              <w:snapToGrid w:val="0"/>
              <w:spacing w:line="240" w:lineRule="exact"/>
              <w:jc w:val="center"/>
              <w:rPr>
                <w:rFonts w:hint="default" w:ascii="Times New Roman" w:hAnsi="Times New Roman" w:cs="Times New Roman" w:eastAsiaTheme="minorEastAsia"/>
                <w:color w:val="auto"/>
                <w:spacing w:val="-8"/>
                <w:szCs w:val="21"/>
              </w:rPr>
            </w:pPr>
            <w:r>
              <w:rPr>
                <w:rFonts w:hint="default" w:ascii="Times New Roman" w:hAnsi="Times New Roman" w:cs="Times New Roman" w:eastAsiaTheme="minorEastAsia"/>
                <w:color w:val="auto"/>
                <w:spacing w:val="-8"/>
                <w:szCs w:val="21"/>
              </w:rPr>
              <w:t>防范措施</w:t>
            </w:r>
          </w:p>
        </w:tc>
        <w:tc>
          <w:tcPr>
            <w:tcW w:w="8212" w:type="dxa"/>
            <w:gridSpan w:val="4"/>
            <w:vAlign w:val="center"/>
          </w:tcPr>
          <w:p w14:paraId="58CC33CF">
            <w:pPr>
              <w:adjustRightInd w:val="0"/>
              <w:snapToGrid w:val="0"/>
              <w:spacing w:line="2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①在总图布置中，考虑各建筑物的防火间距，安全疏散以及自然条件等方面的问题，确保其符合国家的有关规定。完善相关消防设施，严格划分生产区和储存区。企业按照《建筑设计防火规范》（GB50016-2014）和《工业企业总平面布置设计规范》（GB51087-2012）等规范要求进行设计。</w:t>
            </w:r>
          </w:p>
          <w:p w14:paraId="4F991538">
            <w:pPr>
              <w:adjustRightInd w:val="0"/>
              <w:snapToGrid w:val="0"/>
              <w:spacing w:line="2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②配电室的结构、基础应根据水文地理状况进行建设，符合安全规定，预防遭大水淹没，引起电器短路事故。各车间、仓库设立消防水收集管道收集消防废水。</w:t>
            </w:r>
          </w:p>
          <w:p w14:paraId="2D3BF636">
            <w:pPr>
              <w:adjustRightInd w:val="0"/>
              <w:snapToGrid w:val="0"/>
              <w:spacing w:line="2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③生产装置的供电、供水等公用设施必须加强日常管理，确保满足正常生产和事故状态下的要求。</w:t>
            </w:r>
          </w:p>
          <w:p w14:paraId="4C2803BC">
            <w:pPr>
              <w:adjustRightInd w:val="0"/>
              <w:snapToGrid w:val="0"/>
              <w:spacing w:line="2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④企业要加强消防安全管理，开展好消防安全检查和消防安全宣传教育，加强消防安全培训，建立健全各项消防安全制度，落实消防安全责任，提高职工的消防素质，按规范配置灭火器材和消防装备。</w:t>
            </w:r>
          </w:p>
          <w:p w14:paraId="64903470">
            <w:pPr>
              <w:adjustRightInd w:val="0"/>
              <w:snapToGrid w:val="0"/>
              <w:spacing w:line="2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⑤为预防事故的发生，应成立应急事故领导小组。</w:t>
            </w:r>
          </w:p>
          <w:p w14:paraId="64E850D3">
            <w:pPr>
              <w:adjustRightInd w:val="0"/>
              <w:snapToGrid w:val="0"/>
              <w:spacing w:line="24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⑥编制突发环境事件应急预案，包括预案适用范围、环境事件分类与分级、组织机构与职责、监控和预警、应急响应、应急保障、善后处置、预案管理与演练等内容。应急预案应体现分级响应、区域联动的原则，与地方政府突发环境事件应急预案相衔接，明确分级响应程序。</w:t>
            </w:r>
          </w:p>
          <w:p w14:paraId="7D2FCDEA">
            <w:pPr>
              <w:adjustRightInd w:val="0"/>
              <w:snapToGrid w:val="0"/>
              <w:spacing w:line="240" w:lineRule="exact"/>
              <w:rPr>
                <w:rFonts w:hint="default" w:ascii="Times New Roman" w:hAnsi="Times New Roman" w:cs="Times New Roman" w:eastAsiaTheme="minorEastAsia"/>
                <w:color w:val="auto"/>
                <w:szCs w:val="21"/>
                <w:lang w:eastAsia="zh-CN"/>
              </w:rPr>
            </w:pPr>
          </w:p>
        </w:tc>
      </w:tr>
      <w:tr w14:paraId="5FD1BC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1546" w:type="dxa"/>
            <w:tcBorders>
              <w:bottom w:val="single" w:color="auto" w:sz="8" w:space="0"/>
            </w:tcBorders>
            <w:vAlign w:val="center"/>
          </w:tcPr>
          <w:p w14:paraId="4B78F93B">
            <w:pPr>
              <w:adjustRightInd w:val="0"/>
              <w:snapToGrid w:val="0"/>
              <w:spacing w:line="240" w:lineRule="exact"/>
              <w:jc w:val="center"/>
              <w:rPr>
                <w:rFonts w:hint="default" w:ascii="Times New Roman" w:hAnsi="Times New Roman" w:cs="Times New Roman" w:eastAsiaTheme="minorEastAsia"/>
                <w:color w:val="auto"/>
                <w:spacing w:val="-8"/>
                <w:szCs w:val="21"/>
              </w:rPr>
            </w:pPr>
            <w:r>
              <w:rPr>
                <w:rFonts w:hint="default" w:ascii="Times New Roman" w:hAnsi="Times New Roman" w:cs="Times New Roman" w:eastAsiaTheme="minorEastAsia"/>
                <w:color w:val="auto"/>
                <w:spacing w:val="-8"/>
                <w:szCs w:val="21"/>
              </w:rPr>
              <w:t>其他环境</w:t>
            </w:r>
          </w:p>
          <w:p w14:paraId="11D1E62F">
            <w:pPr>
              <w:adjustRightInd w:val="0"/>
              <w:snapToGrid w:val="0"/>
              <w:spacing w:line="240" w:lineRule="exact"/>
              <w:jc w:val="center"/>
              <w:rPr>
                <w:rFonts w:hint="default" w:ascii="Times New Roman" w:hAnsi="Times New Roman" w:cs="Times New Roman" w:eastAsiaTheme="minorEastAsia"/>
                <w:color w:val="auto"/>
                <w:spacing w:val="-8"/>
                <w:szCs w:val="21"/>
              </w:rPr>
            </w:pPr>
            <w:r>
              <w:rPr>
                <w:rFonts w:hint="default" w:ascii="Times New Roman" w:hAnsi="Times New Roman" w:cs="Times New Roman" w:eastAsiaTheme="minorEastAsia"/>
                <w:color w:val="auto"/>
                <w:spacing w:val="-8"/>
                <w:szCs w:val="21"/>
              </w:rPr>
              <w:t>管理要求</w:t>
            </w:r>
          </w:p>
        </w:tc>
        <w:tc>
          <w:tcPr>
            <w:tcW w:w="8212" w:type="dxa"/>
            <w:gridSpan w:val="4"/>
            <w:tcBorders>
              <w:bottom w:val="single" w:color="auto" w:sz="8" w:space="0"/>
            </w:tcBorders>
            <w:vAlign w:val="center"/>
          </w:tcPr>
          <w:p w14:paraId="6E29D292">
            <w:pPr>
              <w:adjustRightInd w:val="0"/>
              <w:snapToGrid w:val="0"/>
              <w:spacing w:line="24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①严格按照国家有关建设项目环保管理规定，各类污染物的排放应执行本次环评规定的标准。</w:t>
            </w:r>
          </w:p>
          <w:p w14:paraId="079D32AD">
            <w:pPr>
              <w:adjustRightInd w:val="0"/>
              <w:snapToGrid w:val="0"/>
              <w:spacing w:line="24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②确保所用原辅材料为符合环保要求的产品。</w:t>
            </w:r>
          </w:p>
          <w:p w14:paraId="20B1CA9E">
            <w:pPr>
              <w:adjustRightInd w:val="0"/>
              <w:snapToGrid w:val="0"/>
              <w:spacing w:line="24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③对涉及风险物质设施定期检查，确定其可以长期稳定运行。</w:t>
            </w:r>
          </w:p>
          <w:p w14:paraId="4092DFDE">
            <w:pPr>
              <w:adjustRightInd w:val="0"/>
              <w:snapToGrid w:val="0"/>
              <w:spacing w:line="24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④加强职工宣传教育，制定环保管理制度并严格执行。</w:t>
            </w:r>
          </w:p>
          <w:p w14:paraId="18CF81DE">
            <w:pPr>
              <w:adjustRightInd w:val="0"/>
              <w:snapToGrid w:val="0"/>
              <w:spacing w:line="24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⑤严格按照环评要求进行例行监测。</w:t>
            </w:r>
          </w:p>
          <w:p w14:paraId="56462F1A">
            <w:pPr>
              <w:adjustRightInd w:val="0"/>
              <w:snapToGrid w:val="0"/>
              <w:spacing w:line="24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⑥根据《固定污染源排污许可分类管理名录（2019年版）》，二十五、非金属矿物制品业30</w:t>
            </w:r>
            <w:r>
              <w:rPr>
                <w:rFonts w:hint="default" w:ascii="Times New Roman" w:hAnsi="Times New Roman" w:cs="Times New Roman" w:eastAsiaTheme="minorEastAsia"/>
                <w:color w:val="auto"/>
                <w:szCs w:val="21"/>
                <w:lang w:val="en-US" w:eastAsia="zh-CN"/>
              </w:rPr>
              <w:t>-6</w:t>
            </w:r>
            <w:r>
              <w:rPr>
                <w:rFonts w:hint="eastAsia" w:cs="Times New Roman" w:eastAsiaTheme="minorEastAsia"/>
                <w:color w:val="auto"/>
                <w:szCs w:val="21"/>
                <w:lang w:val="en-US" w:eastAsia="zh-CN"/>
              </w:rPr>
              <w:t>4砖瓦、石材等建筑材料制造 303中的隔热和隔音材料制造 3034</w:t>
            </w:r>
            <w:r>
              <w:rPr>
                <w:rFonts w:hint="default" w:ascii="Times New Roman" w:hAnsi="Times New Roman" w:cs="Times New Roman" w:eastAsiaTheme="minorEastAsia"/>
                <w:color w:val="auto"/>
                <w:szCs w:val="21"/>
              </w:rPr>
              <w:t>，</w:t>
            </w:r>
            <w:r>
              <w:rPr>
                <w:rFonts w:hint="eastAsia" w:cs="Times New Roman" w:eastAsiaTheme="minorEastAsia"/>
                <w:color w:val="auto"/>
                <w:szCs w:val="21"/>
                <w:lang w:val="en-US" w:eastAsia="zh-CN"/>
              </w:rPr>
              <w:t>属于简化管理</w:t>
            </w:r>
            <w:r>
              <w:rPr>
                <w:rFonts w:hint="default" w:ascii="Times New Roman" w:hAnsi="Times New Roman" w:cs="Times New Roman" w:eastAsiaTheme="minorEastAsia"/>
                <w:color w:val="auto"/>
                <w:szCs w:val="21"/>
              </w:rPr>
              <w:t>。本项目完成后投入运行前需</w:t>
            </w:r>
            <w:r>
              <w:rPr>
                <w:rFonts w:hint="eastAsia" w:cs="Times New Roman" w:eastAsiaTheme="minorEastAsia"/>
                <w:color w:val="auto"/>
                <w:szCs w:val="21"/>
                <w:lang w:val="en-US" w:eastAsia="zh-CN"/>
              </w:rPr>
              <w:t>重新申请排污许可证</w:t>
            </w:r>
            <w:r>
              <w:rPr>
                <w:rFonts w:hint="default" w:ascii="Times New Roman" w:hAnsi="Times New Roman" w:cs="Times New Roman" w:eastAsiaTheme="minorEastAsia"/>
                <w:color w:val="auto"/>
                <w:szCs w:val="21"/>
              </w:rPr>
              <w:t>。</w:t>
            </w:r>
          </w:p>
          <w:p w14:paraId="2B84FDA0">
            <w:pPr>
              <w:adjustRightInd w:val="0"/>
              <w:snapToGrid w:val="0"/>
              <w:spacing w:line="24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⑦严格执行环保“三同时”制度，确保各项环保措施落实到位，企业运用后需自行开展环境保护竣工验收，验收时环保设施处理效果及相关管理参数不得低于环评中相关参数要求。</w:t>
            </w:r>
          </w:p>
          <w:p w14:paraId="71027176">
            <w:pPr>
              <w:pStyle w:val="85"/>
              <w:ind w:left="0" w:leftChars="0" w:firstLine="0" w:firstLineChars="0"/>
              <w:rPr>
                <w:rFonts w:hint="default" w:ascii="Times New Roman" w:hAnsi="Times New Roman" w:cs="Times New Roman" w:eastAsiaTheme="minorEastAsia"/>
                <w:color w:val="auto"/>
                <w:szCs w:val="21"/>
              </w:rPr>
            </w:pPr>
          </w:p>
          <w:p w14:paraId="1BE567B7">
            <w:pPr>
              <w:spacing w:line="240" w:lineRule="exact"/>
              <w:ind w:firstLine="420" w:firstLineChars="200"/>
              <w:rPr>
                <w:rFonts w:hint="default" w:ascii="Times New Roman" w:hAnsi="Times New Roman" w:cs="Times New Roman" w:eastAsiaTheme="minorEastAsia"/>
                <w:color w:val="auto"/>
                <w:szCs w:val="21"/>
              </w:rPr>
            </w:pPr>
          </w:p>
          <w:p w14:paraId="3C0EA29E">
            <w:pPr>
              <w:rPr>
                <w:rFonts w:hint="default" w:ascii="Times New Roman" w:hAnsi="Times New Roman" w:cs="Times New Roman" w:eastAsiaTheme="minorEastAsia"/>
                <w:color w:val="auto"/>
                <w:szCs w:val="21"/>
              </w:rPr>
            </w:pPr>
          </w:p>
          <w:p w14:paraId="0EF649F1">
            <w:pPr>
              <w:pStyle w:val="85"/>
              <w:ind w:left="0" w:leftChars="0" w:firstLine="0" w:firstLineChars="0"/>
              <w:rPr>
                <w:rFonts w:hint="default" w:ascii="Times New Roman" w:hAnsi="Times New Roman" w:cs="Times New Roman"/>
                <w:color w:val="auto"/>
              </w:rPr>
            </w:pPr>
          </w:p>
        </w:tc>
      </w:tr>
    </w:tbl>
    <w:p w14:paraId="2939F525">
      <w:pPr>
        <w:pStyle w:val="80"/>
        <w:spacing w:before="0" w:beforeAutospacing="0" w:after="0" w:afterAutospacing="0" w:line="420" w:lineRule="exact"/>
        <w:jc w:val="center"/>
        <w:outlineLvl w:val="0"/>
        <w:rPr>
          <w:rFonts w:hint="default" w:ascii="Times New Roman" w:hAnsi="Times New Roman" w:cs="Times New Roman"/>
          <w:snapToGrid w:val="0"/>
          <w:color w:val="auto"/>
          <w:sz w:val="30"/>
          <w:szCs w:val="30"/>
        </w:rPr>
      </w:pPr>
      <w:r>
        <w:rPr>
          <w:rFonts w:hint="default" w:ascii="Times New Roman" w:hAnsi="Times New Roman" w:cs="Times New Roman"/>
          <w:snapToGrid w:val="0"/>
          <w:color w:val="FF0000"/>
        </w:rPr>
        <w:br w:type="page"/>
      </w:r>
      <w:bookmarkStart w:id="23" w:name="_Toc154582840"/>
      <w:bookmarkStart w:id="24" w:name="_Toc148608322"/>
      <w:r>
        <w:rPr>
          <w:rFonts w:hint="default" w:ascii="Times New Roman" w:hAnsi="Times New Roman" w:cs="Times New Roman"/>
          <w:snapToGrid w:val="0"/>
          <w:color w:val="auto"/>
          <w:sz w:val="30"/>
          <w:szCs w:val="30"/>
        </w:rPr>
        <w:t>六、结论</w:t>
      </w:r>
      <w:bookmarkEnd w:id="23"/>
      <w:bookmarkEnd w:id="24"/>
    </w:p>
    <w:tbl>
      <w:tblPr>
        <w:tblStyle w:val="8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6F6D3B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5000" w:type="pct"/>
            <w:tcBorders>
              <w:top w:val="single" w:color="auto" w:sz="8" w:space="0"/>
              <w:bottom w:val="single" w:color="auto" w:sz="8" w:space="0"/>
            </w:tcBorders>
            <w:vAlign w:val="center"/>
          </w:tcPr>
          <w:p w14:paraId="35807B28">
            <w:pPr>
              <w:adjustRightInd w:val="0"/>
              <w:snapToGrid w:val="0"/>
              <w:spacing w:line="4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本项目符合国家产业政策的要求。项目区内的污染物可达标排放；在认真落实各项污染防治措施下，对周围环境影响较小，从环保角度上讲，本项目的建设运营是可行的。</w:t>
            </w:r>
          </w:p>
          <w:p w14:paraId="5FA8138E">
            <w:pPr>
              <w:pStyle w:val="85"/>
              <w:rPr>
                <w:rFonts w:hint="default" w:ascii="Times New Roman" w:hAnsi="Times New Roman" w:cs="Times New Roman"/>
                <w:color w:val="auto"/>
              </w:rPr>
            </w:pPr>
          </w:p>
          <w:p w14:paraId="6B8465EC">
            <w:pPr>
              <w:rPr>
                <w:rFonts w:hint="default" w:ascii="Times New Roman" w:hAnsi="Times New Roman" w:cs="Times New Roman"/>
                <w:color w:val="auto"/>
              </w:rPr>
            </w:pPr>
          </w:p>
          <w:p w14:paraId="603257D1">
            <w:pPr>
              <w:pStyle w:val="85"/>
              <w:rPr>
                <w:rFonts w:hint="default" w:ascii="Times New Roman" w:hAnsi="Times New Roman" w:cs="Times New Roman"/>
                <w:color w:val="auto"/>
              </w:rPr>
            </w:pPr>
          </w:p>
          <w:p w14:paraId="3BE14E68">
            <w:pPr>
              <w:rPr>
                <w:rFonts w:hint="default" w:ascii="Times New Roman" w:hAnsi="Times New Roman" w:cs="Times New Roman"/>
                <w:color w:val="auto"/>
              </w:rPr>
            </w:pPr>
          </w:p>
          <w:p w14:paraId="55AFB4C0">
            <w:pPr>
              <w:pStyle w:val="85"/>
              <w:rPr>
                <w:rFonts w:hint="default" w:ascii="Times New Roman" w:hAnsi="Times New Roman" w:cs="Times New Roman"/>
                <w:color w:val="auto"/>
              </w:rPr>
            </w:pPr>
          </w:p>
          <w:p w14:paraId="4EBBE294">
            <w:pPr>
              <w:rPr>
                <w:rFonts w:hint="default" w:ascii="Times New Roman" w:hAnsi="Times New Roman" w:cs="Times New Roman"/>
                <w:color w:val="auto"/>
              </w:rPr>
            </w:pPr>
          </w:p>
          <w:p w14:paraId="2105EC7F">
            <w:pPr>
              <w:pStyle w:val="85"/>
              <w:rPr>
                <w:rFonts w:hint="default" w:ascii="Times New Roman" w:hAnsi="Times New Roman" w:cs="Times New Roman"/>
                <w:color w:val="auto"/>
              </w:rPr>
            </w:pPr>
          </w:p>
          <w:p w14:paraId="3AEED308">
            <w:pPr>
              <w:rPr>
                <w:rFonts w:hint="default" w:ascii="Times New Roman" w:hAnsi="Times New Roman" w:cs="Times New Roman"/>
                <w:color w:val="auto"/>
              </w:rPr>
            </w:pPr>
          </w:p>
          <w:p w14:paraId="36053EDB">
            <w:pPr>
              <w:pStyle w:val="85"/>
              <w:rPr>
                <w:rFonts w:hint="default" w:ascii="Times New Roman" w:hAnsi="Times New Roman" w:cs="Times New Roman"/>
                <w:color w:val="auto"/>
              </w:rPr>
            </w:pPr>
          </w:p>
          <w:p w14:paraId="1AFD4B9F">
            <w:pPr>
              <w:rPr>
                <w:rFonts w:hint="default" w:ascii="Times New Roman" w:hAnsi="Times New Roman" w:cs="Times New Roman"/>
                <w:color w:val="auto"/>
              </w:rPr>
            </w:pPr>
          </w:p>
          <w:p w14:paraId="4904486C">
            <w:pPr>
              <w:pStyle w:val="85"/>
              <w:rPr>
                <w:rFonts w:hint="default" w:ascii="Times New Roman" w:hAnsi="Times New Roman" w:cs="Times New Roman"/>
                <w:color w:val="auto"/>
              </w:rPr>
            </w:pPr>
          </w:p>
          <w:p w14:paraId="55916D30">
            <w:pPr>
              <w:rPr>
                <w:rFonts w:hint="default" w:ascii="Times New Roman" w:hAnsi="Times New Roman" w:cs="Times New Roman"/>
                <w:color w:val="auto"/>
              </w:rPr>
            </w:pPr>
          </w:p>
          <w:p w14:paraId="007EC93C">
            <w:pPr>
              <w:pStyle w:val="85"/>
              <w:rPr>
                <w:rFonts w:hint="default" w:ascii="Times New Roman" w:hAnsi="Times New Roman" w:cs="Times New Roman"/>
                <w:color w:val="auto"/>
              </w:rPr>
            </w:pPr>
          </w:p>
          <w:p w14:paraId="61744AA7">
            <w:pPr>
              <w:rPr>
                <w:rFonts w:hint="default" w:ascii="Times New Roman" w:hAnsi="Times New Roman" w:cs="Times New Roman"/>
                <w:color w:val="auto"/>
              </w:rPr>
            </w:pPr>
          </w:p>
          <w:p w14:paraId="06FEA1B9">
            <w:pPr>
              <w:pStyle w:val="85"/>
              <w:rPr>
                <w:rFonts w:hint="default" w:ascii="Times New Roman" w:hAnsi="Times New Roman" w:cs="Times New Roman"/>
                <w:color w:val="auto"/>
              </w:rPr>
            </w:pPr>
          </w:p>
          <w:p w14:paraId="07C5B757">
            <w:pPr>
              <w:rPr>
                <w:rFonts w:hint="default" w:ascii="Times New Roman" w:hAnsi="Times New Roman" w:cs="Times New Roman"/>
                <w:color w:val="auto"/>
              </w:rPr>
            </w:pPr>
          </w:p>
          <w:p w14:paraId="3016D5EC">
            <w:pPr>
              <w:pStyle w:val="85"/>
              <w:rPr>
                <w:rFonts w:hint="default" w:ascii="Times New Roman" w:hAnsi="Times New Roman" w:cs="Times New Roman"/>
                <w:color w:val="auto"/>
              </w:rPr>
            </w:pPr>
          </w:p>
          <w:p w14:paraId="2ECD6FE7">
            <w:pPr>
              <w:rPr>
                <w:rFonts w:hint="default" w:ascii="Times New Roman" w:hAnsi="Times New Roman" w:cs="Times New Roman"/>
                <w:color w:val="auto"/>
              </w:rPr>
            </w:pPr>
          </w:p>
          <w:p w14:paraId="1A8E649C">
            <w:pPr>
              <w:pStyle w:val="85"/>
              <w:rPr>
                <w:rFonts w:hint="default" w:ascii="Times New Roman" w:hAnsi="Times New Roman" w:cs="Times New Roman"/>
                <w:color w:val="auto"/>
              </w:rPr>
            </w:pPr>
          </w:p>
          <w:p w14:paraId="7A817519">
            <w:pPr>
              <w:rPr>
                <w:rFonts w:hint="default" w:ascii="Times New Roman" w:hAnsi="Times New Roman" w:cs="Times New Roman"/>
                <w:color w:val="auto"/>
              </w:rPr>
            </w:pPr>
          </w:p>
          <w:p w14:paraId="52053E34">
            <w:pPr>
              <w:pStyle w:val="85"/>
              <w:rPr>
                <w:rFonts w:hint="default" w:ascii="Times New Roman" w:hAnsi="Times New Roman" w:cs="Times New Roman"/>
                <w:color w:val="auto"/>
              </w:rPr>
            </w:pPr>
          </w:p>
          <w:p w14:paraId="39518BBC">
            <w:pPr>
              <w:rPr>
                <w:rFonts w:hint="default" w:ascii="Times New Roman" w:hAnsi="Times New Roman" w:cs="Times New Roman"/>
                <w:color w:val="auto"/>
              </w:rPr>
            </w:pPr>
          </w:p>
          <w:p w14:paraId="3B26061C">
            <w:pPr>
              <w:pStyle w:val="85"/>
              <w:rPr>
                <w:rFonts w:hint="default" w:ascii="Times New Roman" w:hAnsi="Times New Roman" w:cs="Times New Roman"/>
                <w:color w:val="auto"/>
              </w:rPr>
            </w:pPr>
          </w:p>
          <w:p w14:paraId="038E0D03">
            <w:pPr>
              <w:rPr>
                <w:rFonts w:hint="default" w:ascii="Times New Roman" w:hAnsi="Times New Roman" w:cs="Times New Roman"/>
                <w:color w:val="auto"/>
              </w:rPr>
            </w:pPr>
          </w:p>
          <w:p w14:paraId="4D750B62">
            <w:pPr>
              <w:pStyle w:val="85"/>
              <w:rPr>
                <w:rFonts w:hint="default" w:ascii="Times New Roman" w:hAnsi="Times New Roman" w:cs="Times New Roman"/>
                <w:color w:val="auto"/>
              </w:rPr>
            </w:pPr>
          </w:p>
          <w:p w14:paraId="16133E15">
            <w:pPr>
              <w:rPr>
                <w:rFonts w:hint="default" w:ascii="Times New Roman" w:hAnsi="Times New Roman" w:cs="Times New Roman"/>
                <w:color w:val="auto"/>
              </w:rPr>
            </w:pPr>
          </w:p>
          <w:p w14:paraId="2168F0C9">
            <w:pPr>
              <w:pStyle w:val="85"/>
              <w:rPr>
                <w:rFonts w:hint="default" w:ascii="Times New Roman" w:hAnsi="Times New Roman" w:cs="Times New Roman"/>
                <w:color w:val="auto"/>
              </w:rPr>
            </w:pPr>
          </w:p>
          <w:p w14:paraId="34314353">
            <w:pPr>
              <w:rPr>
                <w:rFonts w:hint="default" w:ascii="Times New Roman" w:hAnsi="Times New Roman" w:cs="Times New Roman"/>
                <w:color w:val="auto"/>
              </w:rPr>
            </w:pPr>
          </w:p>
          <w:p w14:paraId="063F557B">
            <w:pPr>
              <w:pStyle w:val="85"/>
              <w:rPr>
                <w:rFonts w:hint="default" w:ascii="Times New Roman" w:hAnsi="Times New Roman" w:cs="Times New Roman"/>
                <w:color w:val="auto"/>
              </w:rPr>
            </w:pPr>
          </w:p>
          <w:p w14:paraId="4D6F9422">
            <w:pPr>
              <w:rPr>
                <w:rFonts w:hint="default" w:ascii="Times New Roman" w:hAnsi="Times New Roman" w:cs="Times New Roman"/>
                <w:color w:val="auto"/>
              </w:rPr>
            </w:pPr>
          </w:p>
          <w:p w14:paraId="24A19573">
            <w:pPr>
              <w:pStyle w:val="85"/>
              <w:rPr>
                <w:rFonts w:hint="default" w:ascii="Times New Roman" w:hAnsi="Times New Roman" w:cs="Times New Roman"/>
                <w:color w:val="auto"/>
              </w:rPr>
            </w:pPr>
          </w:p>
          <w:p w14:paraId="483884F9">
            <w:pPr>
              <w:rPr>
                <w:rFonts w:hint="default" w:ascii="Times New Roman" w:hAnsi="Times New Roman" w:cs="Times New Roman"/>
                <w:color w:val="auto"/>
              </w:rPr>
            </w:pPr>
          </w:p>
          <w:p w14:paraId="2BFE485D">
            <w:pPr>
              <w:pStyle w:val="85"/>
              <w:rPr>
                <w:rFonts w:hint="default" w:ascii="Times New Roman" w:hAnsi="Times New Roman" w:cs="Times New Roman"/>
                <w:color w:val="auto"/>
              </w:rPr>
            </w:pPr>
          </w:p>
          <w:p w14:paraId="4945A35F">
            <w:pPr>
              <w:rPr>
                <w:rFonts w:hint="default" w:ascii="Times New Roman" w:hAnsi="Times New Roman" w:cs="Times New Roman"/>
                <w:color w:val="auto"/>
              </w:rPr>
            </w:pPr>
          </w:p>
          <w:p w14:paraId="280B367E">
            <w:pPr>
              <w:pStyle w:val="85"/>
              <w:rPr>
                <w:rFonts w:hint="default" w:ascii="Times New Roman" w:hAnsi="Times New Roman" w:cs="Times New Roman"/>
                <w:color w:val="auto"/>
              </w:rPr>
            </w:pPr>
          </w:p>
          <w:p w14:paraId="370B40DC">
            <w:pPr>
              <w:rPr>
                <w:rFonts w:hint="default" w:ascii="Times New Roman" w:hAnsi="Times New Roman" w:cs="Times New Roman"/>
                <w:color w:val="auto"/>
              </w:rPr>
            </w:pPr>
          </w:p>
          <w:p w14:paraId="29E4B18A">
            <w:pPr>
              <w:pStyle w:val="85"/>
              <w:rPr>
                <w:rFonts w:hint="default" w:ascii="Times New Roman" w:hAnsi="Times New Roman" w:cs="Times New Roman"/>
                <w:color w:val="auto"/>
              </w:rPr>
            </w:pPr>
          </w:p>
          <w:p w14:paraId="7F90DA10">
            <w:pPr>
              <w:rPr>
                <w:rFonts w:hint="default" w:ascii="Times New Roman" w:hAnsi="Times New Roman" w:cs="Times New Roman"/>
                <w:color w:val="auto"/>
              </w:rPr>
            </w:pPr>
          </w:p>
          <w:p w14:paraId="5CB604D1">
            <w:pPr>
              <w:pStyle w:val="85"/>
              <w:rPr>
                <w:rFonts w:hint="default" w:ascii="Times New Roman" w:hAnsi="Times New Roman" w:cs="Times New Roman"/>
                <w:color w:val="auto"/>
              </w:rPr>
            </w:pPr>
          </w:p>
          <w:p w14:paraId="01A5B1A1">
            <w:pPr>
              <w:rPr>
                <w:rFonts w:hint="default" w:ascii="Times New Roman" w:hAnsi="Times New Roman" w:cs="Times New Roman"/>
                <w:color w:val="auto"/>
              </w:rPr>
            </w:pPr>
          </w:p>
          <w:p w14:paraId="63D8E73E">
            <w:pPr>
              <w:pStyle w:val="85"/>
              <w:rPr>
                <w:rFonts w:hint="default" w:ascii="Times New Roman" w:hAnsi="Times New Roman" w:cs="Times New Roman"/>
                <w:color w:val="auto"/>
              </w:rPr>
            </w:pPr>
          </w:p>
          <w:p w14:paraId="6D401D94">
            <w:pPr>
              <w:rPr>
                <w:rFonts w:hint="default" w:ascii="Times New Roman" w:hAnsi="Times New Roman" w:cs="Times New Roman"/>
                <w:color w:val="auto"/>
              </w:rPr>
            </w:pPr>
          </w:p>
          <w:p w14:paraId="4A6A417D">
            <w:pPr>
              <w:pStyle w:val="85"/>
              <w:rPr>
                <w:rFonts w:hint="default" w:ascii="Times New Roman" w:hAnsi="Times New Roman" w:cs="Times New Roman"/>
                <w:color w:val="auto"/>
              </w:rPr>
            </w:pPr>
          </w:p>
        </w:tc>
      </w:tr>
    </w:tbl>
    <w:p w14:paraId="0AF7C343">
      <w:pPr>
        <w:spacing w:line="420" w:lineRule="exact"/>
        <w:rPr>
          <w:rFonts w:hint="default" w:ascii="Times New Roman" w:hAnsi="Times New Roman" w:cs="Times New Roman"/>
          <w:color w:val="FF0000"/>
        </w:rPr>
        <w:sectPr>
          <w:pgSz w:w="11906" w:h="16838"/>
          <w:pgMar w:top="1134" w:right="1134" w:bottom="1134" w:left="1134" w:header="851" w:footer="851" w:gutter="0"/>
          <w:cols w:space="720" w:num="1"/>
          <w:docGrid w:linePitch="312" w:charSpace="0"/>
        </w:sectPr>
      </w:pPr>
    </w:p>
    <w:p w14:paraId="651E7F1C">
      <w:pPr>
        <w:pStyle w:val="80"/>
        <w:adjustRightInd w:val="0"/>
        <w:snapToGrid w:val="0"/>
        <w:spacing w:before="0" w:beforeAutospacing="0" w:after="0" w:afterAutospacing="0" w:line="420" w:lineRule="exact"/>
        <w:outlineLvl w:val="0"/>
        <w:rPr>
          <w:rFonts w:hint="default" w:ascii="Times New Roman" w:hAnsi="Times New Roman" w:cs="Times New Roman"/>
          <w:snapToGrid w:val="0"/>
          <w:color w:val="auto"/>
          <w:sz w:val="32"/>
          <w:szCs w:val="32"/>
          <w:highlight w:val="none"/>
        </w:rPr>
      </w:pPr>
      <w:bookmarkStart w:id="25" w:name="_Toc154582841"/>
      <w:bookmarkStart w:id="26" w:name="_Toc148608323"/>
      <w:r>
        <w:rPr>
          <w:rFonts w:hint="default" w:ascii="Times New Roman" w:hAnsi="Times New Roman" w:cs="Times New Roman"/>
          <w:snapToGrid w:val="0"/>
          <w:color w:val="auto"/>
          <w:sz w:val="32"/>
          <w:szCs w:val="32"/>
        </w:rPr>
        <w:t>附表</w:t>
      </w:r>
      <w:bookmarkEnd w:id="25"/>
      <w:bookmarkEnd w:id="26"/>
    </w:p>
    <w:p w14:paraId="04E475DD">
      <w:pPr>
        <w:pStyle w:val="80"/>
        <w:adjustRightInd w:val="0"/>
        <w:snapToGrid w:val="0"/>
        <w:spacing w:before="0" w:beforeAutospacing="0" w:after="0" w:afterAutospacing="0" w:line="420" w:lineRule="exact"/>
        <w:jc w:val="center"/>
        <w:outlineLvl w:val="0"/>
        <w:rPr>
          <w:rFonts w:hint="default" w:ascii="Times New Roman" w:hAnsi="Times New Roman" w:cs="Times New Roman"/>
          <w:snapToGrid w:val="0"/>
          <w:color w:val="auto"/>
          <w:sz w:val="38"/>
          <w:szCs w:val="38"/>
          <w:highlight w:val="none"/>
        </w:rPr>
      </w:pPr>
      <w:bookmarkStart w:id="27" w:name="_Toc148608324"/>
      <w:bookmarkStart w:id="28" w:name="_Toc154582842"/>
      <w:r>
        <w:rPr>
          <w:rFonts w:hint="default" w:ascii="Times New Roman" w:hAnsi="Times New Roman" w:cs="Times New Roman"/>
          <w:snapToGrid w:val="0"/>
          <w:color w:val="auto"/>
          <w:sz w:val="38"/>
          <w:szCs w:val="38"/>
          <w:highlight w:val="none"/>
        </w:rPr>
        <w:t>建设项目污染物排放量汇总表</w:t>
      </w:r>
      <w:bookmarkEnd w:id="27"/>
      <w:r>
        <w:rPr>
          <w:rFonts w:hint="default" w:ascii="Times New Roman" w:hAnsi="Times New Roman" w:cs="Times New Roman"/>
          <w:snapToGrid w:val="0"/>
          <w:color w:val="auto"/>
          <w:sz w:val="38"/>
          <w:szCs w:val="38"/>
          <w:highlight w:val="none"/>
        </w:rPr>
        <w:t xml:space="preserve"> 单位t/a</w:t>
      </w:r>
      <w:bookmarkEnd w:id="28"/>
    </w:p>
    <w:tbl>
      <w:tblPr>
        <w:tblStyle w:val="86"/>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25"/>
        <w:gridCol w:w="2112"/>
        <w:gridCol w:w="1776"/>
        <w:gridCol w:w="1333"/>
        <w:gridCol w:w="1776"/>
        <w:gridCol w:w="1629"/>
        <w:gridCol w:w="1605"/>
        <w:gridCol w:w="1701"/>
        <w:gridCol w:w="1442"/>
      </w:tblGrid>
      <w:tr w14:paraId="04BA6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025" w:type="dxa"/>
            <w:tcBorders>
              <w:top w:val="single" w:color="auto" w:sz="8" w:space="0"/>
              <w:tl2br w:val="single" w:color="auto" w:sz="4" w:space="0"/>
            </w:tcBorders>
            <w:tcMar>
              <w:left w:w="28" w:type="dxa"/>
              <w:right w:w="28" w:type="dxa"/>
            </w:tcMar>
            <w:vAlign w:val="center"/>
          </w:tcPr>
          <w:p w14:paraId="79088D49">
            <w:pPr>
              <w:pStyle w:val="199"/>
              <w:spacing w:beforeLines="0" w:afterLines="0" w:line="240" w:lineRule="auto"/>
              <w:rPr>
                <w:rFonts w:hint="default" w:ascii="Times New Roman" w:hAnsi="Times New Roman" w:cs="Times New Roman" w:eastAsiaTheme="minorEastAsia"/>
                <w:snapToGrid w:val="0"/>
                <w:color w:val="auto"/>
                <w:spacing w:val="-6"/>
                <w:kern w:val="21"/>
                <w:szCs w:val="21"/>
                <w:highlight w:val="none"/>
              </w:rPr>
            </w:pPr>
            <w:r>
              <w:rPr>
                <w:rFonts w:hint="default" w:ascii="Times New Roman" w:hAnsi="Times New Roman" w:cs="Times New Roman" w:eastAsiaTheme="minorEastAsia"/>
                <w:snapToGrid w:val="0"/>
                <w:color w:val="auto"/>
                <w:spacing w:val="-6"/>
                <w:kern w:val="21"/>
                <w:szCs w:val="21"/>
                <w:highlight w:val="none"/>
              </w:rPr>
              <w:t xml:space="preserve">    项目</w:t>
            </w:r>
          </w:p>
          <w:p w14:paraId="78782C23">
            <w:pPr>
              <w:pStyle w:val="199"/>
              <w:spacing w:beforeLines="0" w:afterLines="0" w:line="240" w:lineRule="auto"/>
              <w:jc w:val="both"/>
              <w:rPr>
                <w:rFonts w:hint="default" w:ascii="Times New Roman" w:hAnsi="Times New Roman" w:cs="Times New Roman" w:eastAsiaTheme="minorEastAsia"/>
                <w:snapToGrid w:val="0"/>
                <w:color w:val="auto"/>
                <w:spacing w:val="-6"/>
                <w:kern w:val="21"/>
                <w:szCs w:val="21"/>
                <w:highlight w:val="none"/>
              </w:rPr>
            </w:pPr>
            <w:r>
              <w:rPr>
                <w:rFonts w:hint="default" w:ascii="Times New Roman" w:hAnsi="Times New Roman" w:cs="Times New Roman" w:eastAsiaTheme="minorEastAsia"/>
                <w:snapToGrid w:val="0"/>
                <w:color w:val="auto"/>
                <w:spacing w:val="-6"/>
                <w:kern w:val="21"/>
                <w:szCs w:val="21"/>
                <w:highlight w:val="none"/>
              </w:rPr>
              <w:t>分类</w:t>
            </w:r>
          </w:p>
        </w:tc>
        <w:tc>
          <w:tcPr>
            <w:tcW w:w="2112" w:type="dxa"/>
            <w:tcBorders>
              <w:top w:val="single" w:color="auto" w:sz="8" w:space="0"/>
            </w:tcBorders>
            <w:tcMar>
              <w:left w:w="28" w:type="dxa"/>
              <w:right w:w="28" w:type="dxa"/>
            </w:tcMar>
            <w:vAlign w:val="center"/>
          </w:tcPr>
          <w:p w14:paraId="306EC742">
            <w:pPr>
              <w:pStyle w:val="199"/>
              <w:spacing w:beforeLines="0" w:afterLines="0" w:line="240" w:lineRule="auto"/>
              <w:rPr>
                <w:rFonts w:hint="default" w:ascii="Times New Roman" w:hAnsi="Times New Roman" w:cs="Times New Roman" w:eastAsiaTheme="minorEastAsia"/>
                <w:snapToGrid w:val="0"/>
                <w:color w:val="auto"/>
                <w:spacing w:val="-6"/>
                <w:kern w:val="21"/>
                <w:szCs w:val="21"/>
                <w:highlight w:val="none"/>
              </w:rPr>
            </w:pPr>
            <w:r>
              <w:rPr>
                <w:rFonts w:hint="default" w:ascii="Times New Roman" w:hAnsi="Times New Roman" w:cs="Times New Roman" w:eastAsiaTheme="minorEastAsia"/>
                <w:snapToGrid w:val="0"/>
                <w:color w:val="auto"/>
                <w:spacing w:val="-6"/>
                <w:kern w:val="21"/>
                <w:szCs w:val="21"/>
                <w:highlight w:val="none"/>
              </w:rPr>
              <w:t>污染物名称</w:t>
            </w:r>
          </w:p>
        </w:tc>
        <w:tc>
          <w:tcPr>
            <w:tcW w:w="1776" w:type="dxa"/>
            <w:tcBorders>
              <w:top w:val="single" w:color="auto" w:sz="8" w:space="0"/>
            </w:tcBorders>
            <w:tcMar>
              <w:left w:w="28" w:type="dxa"/>
              <w:right w:w="28" w:type="dxa"/>
            </w:tcMar>
            <w:vAlign w:val="center"/>
          </w:tcPr>
          <w:p w14:paraId="4B2D57C4">
            <w:pPr>
              <w:pStyle w:val="199"/>
              <w:spacing w:beforeLines="0" w:afterLines="0" w:line="240" w:lineRule="auto"/>
              <w:rPr>
                <w:rFonts w:hint="default" w:ascii="Times New Roman" w:hAnsi="Times New Roman" w:cs="Times New Roman" w:eastAsiaTheme="minorEastAsia"/>
                <w:snapToGrid w:val="0"/>
                <w:color w:val="auto"/>
                <w:spacing w:val="-6"/>
                <w:kern w:val="21"/>
                <w:szCs w:val="21"/>
                <w:highlight w:val="none"/>
              </w:rPr>
            </w:pPr>
            <w:r>
              <w:rPr>
                <w:rFonts w:hint="default" w:ascii="Times New Roman" w:hAnsi="Times New Roman" w:cs="Times New Roman" w:eastAsiaTheme="minorEastAsia"/>
                <w:snapToGrid w:val="0"/>
                <w:color w:val="auto"/>
                <w:spacing w:val="-6"/>
                <w:kern w:val="21"/>
                <w:szCs w:val="21"/>
                <w:highlight w:val="none"/>
              </w:rPr>
              <w:t>现有工程</w:t>
            </w:r>
          </w:p>
          <w:p w14:paraId="6BDB26B6">
            <w:pPr>
              <w:pStyle w:val="199"/>
              <w:spacing w:beforeLines="0" w:afterLines="0" w:line="240" w:lineRule="auto"/>
              <w:rPr>
                <w:rFonts w:hint="default" w:ascii="Times New Roman" w:hAnsi="Times New Roman" w:cs="Times New Roman" w:eastAsiaTheme="minorEastAsia"/>
                <w:snapToGrid w:val="0"/>
                <w:color w:val="auto"/>
                <w:spacing w:val="-6"/>
                <w:kern w:val="21"/>
                <w:szCs w:val="21"/>
                <w:highlight w:val="none"/>
              </w:rPr>
            </w:pPr>
            <w:r>
              <w:rPr>
                <w:rFonts w:hint="default" w:ascii="Times New Roman" w:hAnsi="Times New Roman" w:cs="Times New Roman" w:eastAsiaTheme="minorEastAsia"/>
                <w:snapToGrid w:val="0"/>
                <w:color w:val="auto"/>
                <w:spacing w:val="-6"/>
                <w:kern w:val="21"/>
                <w:szCs w:val="21"/>
                <w:highlight w:val="none"/>
              </w:rPr>
              <w:t>排放量（固体废物产生量）</w:t>
            </w:r>
            <w:r>
              <w:rPr>
                <w:rFonts w:hint="default" w:ascii="Times New Roman" w:hAnsi="Times New Roman" w:cs="Times New Roman" w:eastAsiaTheme="minorEastAsia"/>
                <w:snapToGrid w:val="0"/>
                <w:color w:val="auto"/>
                <w:spacing w:val="-6"/>
                <w:kern w:val="21"/>
                <w:szCs w:val="21"/>
                <w:highlight w:val="none"/>
              </w:rPr>
              <w:fldChar w:fldCharType="begin"/>
            </w:r>
            <w:r>
              <w:rPr>
                <w:rFonts w:hint="default" w:ascii="Times New Roman" w:hAnsi="Times New Roman" w:cs="Times New Roman" w:eastAsiaTheme="minorEastAsia"/>
                <w:snapToGrid w:val="0"/>
                <w:color w:val="auto"/>
                <w:spacing w:val="-6"/>
                <w:kern w:val="21"/>
                <w:szCs w:val="21"/>
                <w:highlight w:val="none"/>
              </w:rPr>
              <w:instrText xml:space="preserve"> = 1 \* GB3 \* MERGEFORMAT </w:instrText>
            </w:r>
            <w:r>
              <w:rPr>
                <w:rFonts w:hint="default" w:ascii="Times New Roman" w:hAnsi="Times New Roman" w:cs="Times New Roman" w:eastAsiaTheme="minorEastAsia"/>
                <w:snapToGrid w:val="0"/>
                <w:color w:val="auto"/>
                <w:spacing w:val="-6"/>
                <w:kern w:val="21"/>
                <w:szCs w:val="21"/>
                <w:highlight w:val="none"/>
              </w:rPr>
              <w:fldChar w:fldCharType="separate"/>
            </w:r>
            <w:r>
              <w:rPr>
                <w:rFonts w:hint="default" w:ascii="Times New Roman" w:hAnsi="Times New Roman" w:cs="Times New Roman" w:eastAsiaTheme="minorEastAsia"/>
                <w:color w:val="auto"/>
                <w:kern w:val="2"/>
                <w:szCs w:val="21"/>
                <w:highlight w:val="none"/>
              </w:rPr>
              <w:t>①</w:t>
            </w:r>
            <w:r>
              <w:rPr>
                <w:rFonts w:hint="default" w:ascii="Times New Roman" w:hAnsi="Times New Roman" w:cs="Times New Roman" w:eastAsiaTheme="minorEastAsia"/>
                <w:snapToGrid w:val="0"/>
                <w:color w:val="auto"/>
                <w:spacing w:val="-6"/>
                <w:kern w:val="21"/>
                <w:szCs w:val="21"/>
                <w:highlight w:val="none"/>
              </w:rPr>
              <w:fldChar w:fldCharType="end"/>
            </w:r>
          </w:p>
        </w:tc>
        <w:tc>
          <w:tcPr>
            <w:tcW w:w="1333" w:type="dxa"/>
            <w:tcBorders>
              <w:top w:val="single" w:color="auto" w:sz="8" w:space="0"/>
            </w:tcBorders>
            <w:tcMar>
              <w:left w:w="28" w:type="dxa"/>
              <w:right w:w="28" w:type="dxa"/>
            </w:tcMar>
            <w:vAlign w:val="center"/>
          </w:tcPr>
          <w:p w14:paraId="176C66AB">
            <w:pPr>
              <w:pStyle w:val="199"/>
              <w:spacing w:beforeLines="0" w:afterLines="0" w:line="240" w:lineRule="auto"/>
              <w:rPr>
                <w:rFonts w:hint="default" w:ascii="Times New Roman" w:hAnsi="Times New Roman" w:cs="Times New Roman" w:eastAsiaTheme="minorEastAsia"/>
                <w:snapToGrid w:val="0"/>
                <w:color w:val="auto"/>
                <w:spacing w:val="-6"/>
                <w:kern w:val="21"/>
                <w:szCs w:val="21"/>
                <w:highlight w:val="none"/>
              </w:rPr>
            </w:pPr>
            <w:r>
              <w:rPr>
                <w:rFonts w:hint="default" w:ascii="Times New Roman" w:hAnsi="Times New Roman" w:cs="Times New Roman" w:eastAsiaTheme="minorEastAsia"/>
                <w:snapToGrid w:val="0"/>
                <w:color w:val="auto"/>
                <w:spacing w:val="-6"/>
                <w:kern w:val="21"/>
                <w:szCs w:val="21"/>
                <w:highlight w:val="none"/>
              </w:rPr>
              <w:t>现有工程</w:t>
            </w:r>
          </w:p>
          <w:p w14:paraId="38A7A9E6">
            <w:pPr>
              <w:pStyle w:val="199"/>
              <w:spacing w:beforeLines="0" w:afterLines="0" w:line="240" w:lineRule="auto"/>
              <w:rPr>
                <w:rFonts w:hint="default" w:ascii="Times New Roman" w:hAnsi="Times New Roman" w:cs="Times New Roman" w:eastAsiaTheme="minorEastAsia"/>
                <w:snapToGrid w:val="0"/>
                <w:color w:val="auto"/>
                <w:spacing w:val="-6"/>
                <w:kern w:val="21"/>
                <w:szCs w:val="21"/>
                <w:highlight w:val="none"/>
              </w:rPr>
            </w:pPr>
            <w:r>
              <w:rPr>
                <w:rFonts w:hint="default" w:ascii="Times New Roman" w:hAnsi="Times New Roman" w:cs="Times New Roman" w:eastAsiaTheme="minorEastAsia"/>
                <w:snapToGrid w:val="0"/>
                <w:color w:val="auto"/>
                <w:spacing w:val="-6"/>
                <w:kern w:val="21"/>
                <w:szCs w:val="21"/>
                <w:highlight w:val="none"/>
              </w:rPr>
              <w:t>许可排放量</w:t>
            </w:r>
          </w:p>
          <w:p w14:paraId="3851F354">
            <w:pPr>
              <w:pStyle w:val="199"/>
              <w:spacing w:beforeLines="0" w:afterLines="0" w:line="240" w:lineRule="auto"/>
              <w:rPr>
                <w:rFonts w:hint="default" w:ascii="Times New Roman" w:hAnsi="Times New Roman" w:cs="Times New Roman" w:eastAsiaTheme="minorEastAsia"/>
                <w:snapToGrid w:val="0"/>
                <w:color w:val="auto"/>
                <w:spacing w:val="-6"/>
                <w:kern w:val="21"/>
                <w:szCs w:val="21"/>
                <w:highlight w:val="none"/>
              </w:rPr>
            </w:pPr>
            <w:r>
              <w:rPr>
                <w:rFonts w:hint="default" w:ascii="Times New Roman" w:hAnsi="Times New Roman" w:cs="Times New Roman" w:eastAsiaTheme="minorEastAsia"/>
                <w:snapToGrid w:val="0"/>
                <w:color w:val="auto"/>
                <w:spacing w:val="-6"/>
                <w:kern w:val="21"/>
                <w:szCs w:val="21"/>
                <w:highlight w:val="none"/>
              </w:rPr>
              <w:fldChar w:fldCharType="begin"/>
            </w:r>
            <w:r>
              <w:rPr>
                <w:rFonts w:hint="default" w:ascii="Times New Roman" w:hAnsi="Times New Roman" w:cs="Times New Roman" w:eastAsiaTheme="minorEastAsia"/>
                <w:snapToGrid w:val="0"/>
                <w:color w:val="auto"/>
                <w:spacing w:val="-6"/>
                <w:kern w:val="21"/>
                <w:szCs w:val="21"/>
                <w:highlight w:val="none"/>
              </w:rPr>
              <w:instrText xml:space="preserve"> = 2 \* GB3 \* MERGEFORMAT </w:instrText>
            </w:r>
            <w:r>
              <w:rPr>
                <w:rFonts w:hint="default" w:ascii="Times New Roman" w:hAnsi="Times New Roman" w:cs="Times New Roman" w:eastAsiaTheme="minorEastAsia"/>
                <w:snapToGrid w:val="0"/>
                <w:color w:val="auto"/>
                <w:spacing w:val="-6"/>
                <w:kern w:val="21"/>
                <w:szCs w:val="21"/>
                <w:highlight w:val="none"/>
              </w:rPr>
              <w:fldChar w:fldCharType="separate"/>
            </w:r>
            <w:r>
              <w:rPr>
                <w:rFonts w:hint="default" w:ascii="Times New Roman" w:hAnsi="Times New Roman" w:cs="Times New Roman" w:eastAsiaTheme="minorEastAsia"/>
                <w:snapToGrid w:val="0"/>
                <w:color w:val="auto"/>
                <w:spacing w:val="-6"/>
                <w:kern w:val="21"/>
                <w:szCs w:val="21"/>
                <w:highlight w:val="none"/>
              </w:rPr>
              <w:t>②</w:t>
            </w:r>
            <w:r>
              <w:rPr>
                <w:rFonts w:hint="default" w:ascii="Times New Roman" w:hAnsi="Times New Roman" w:cs="Times New Roman" w:eastAsiaTheme="minorEastAsia"/>
                <w:snapToGrid w:val="0"/>
                <w:color w:val="auto"/>
                <w:spacing w:val="-6"/>
                <w:kern w:val="21"/>
                <w:szCs w:val="21"/>
                <w:highlight w:val="none"/>
              </w:rPr>
              <w:fldChar w:fldCharType="end"/>
            </w:r>
          </w:p>
        </w:tc>
        <w:tc>
          <w:tcPr>
            <w:tcW w:w="1776" w:type="dxa"/>
            <w:tcBorders>
              <w:top w:val="single" w:color="auto" w:sz="8" w:space="0"/>
            </w:tcBorders>
            <w:tcMar>
              <w:left w:w="28" w:type="dxa"/>
              <w:right w:w="28" w:type="dxa"/>
            </w:tcMar>
            <w:vAlign w:val="center"/>
          </w:tcPr>
          <w:p w14:paraId="6587620E">
            <w:pPr>
              <w:pStyle w:val="199"/>
              <w:spacing w:beforeLines="0" w:afterLines="0" w:line="240" w:lineRule="auto"/>
              <w:rPr>
                <w:rFonts w:hint="default" w:ascii="Times New Roman" w:hAnsi="Times New Roman" w:cs="Times New Roman" w:eastAsiaTheme="minorEastAsia"/>
                <w:snapToGrid w:val="0"/>
                <w:color w:val="auto"/>
                <w:spacing w:val="-6"/>
                <w:kern w:val="21"/>
                <w:szCs w:val="21"/>
                <w:highlight w:val="none"/>
              </w:rPr>
            </w:pPr>
            <w:r>
              <w:rPr>
                <w:rFonts w:hint="default" w:ascii="Times New Roman" w:hAnsi="Times New Roman" w:cs="Times New Roman" w:eastAsiaTheme="minorEastAsia"/>
                <w:snapToGrid w:val="0"/>
                <w:color w:val="auto"/>
                <w:spacing w:val="-6"/>
                <w:kern w:val="21"/>
                <w:szCs w:val="21"/>
                <w:highlight w:val="none"/>
              </w:rPr>
              <w:t>在建工程</w:t>
            </w:r>
          </w:p>
          <w:p w14:paraId="7D490A07">
            <w:pPr>
              <w:pStyle w:val="199"/>
              <w:spacing w:beforeLines="0" w:afterLines="0" w:line="240" w:lineRule="auto"/>
              <w:rPr>
                <w:rFonts w:hint="default" w:ascii="Times New Roman" w:hAnsi="Times New Roman" w:cs="Times New Roman" w:eastAsiaTheme="minorEastAsia"/>
                <w:snapToGrid w:val="0"/>
                <w:color w:val="auto"/>
                <w:spacing w:val="-6"/>
                <w:kern w:val="21"/>
                <w:szCs w:val="21"/>
                <w:highlight w:val="none"/>
              </w:rPr>
            </w:pPr>
            <w:r>
              <w:rPr>
                <w:rFonts w:hint="default" w:ascii="Times New Roman" w:hAnsi="Times New Roman" w:cs="Times New Roman" w:eastAsiaTheme="minorEastAsia"/>
                <w:snapToGrid w:val="0"/>
                <w:color w:val="auto"/>
                <w:spacing w:val="-6"/>
                <w:kern w:val="21"/>
                <w:szCs w:val="21"/>
                <w:highlight w:val="none"/>
              </w:rPr>
              <w:t>排放量（固体废物产生量）</w:t>
            </w:r>
            <w:r>
              <w:rPr>
                <w:rFonts w:hint="default" w:ascii="Times New Roman" w:hAnsi="Times New Roman" w:cs="Times New Roman" w:eastAsiaTheme="minorEastAsia"/>
                <w:snapToGrid w:val="0"/>
                <w:color w:val="auto"/>
                <w:spacing w:val="-6"/>
                <w:kern w:val="21"/>
                <w:szCs w:val="21"/>
                <w:highlight w:val="none"/>
              </w:rPr>
              <w:fldChar w:fldCharType="begin"/>
            </w:r>
            <w:r>
              <w:rPr>
                <w:rFonts w:hint="default" w:ascii="Times New Roman" w:hAnsi="Times New Roman" w:cs="Times New Roman" w:eastAsiaTheme="minorEastAsia"/>
                <w:snapToGrid w:val="0"/>
                <w:color w:val="auto"/>
                <w:spacing w:val="-6"/>
                <w:kern w:val="21"/>
                <w:szCs w:val="21"/>
                <w:highlight w:val="none"/>
              </w:rPr>
              <w:instrText xml:space="preserve"> = 3 \* GB3 \* MERGEFORMAT </w:instrText>
            </w:r>
            <w:r>
              <w:rPr>
                <w:rFonts w:hint="default" w:ascii="Times New Roman" w:hAnsi="Times New Roman" w:cs="Times New Roman" w:eastAsiaTheme="minorEastAsia"/>
                <w:snapToGrid w:val="0"/>
                <w:color w:val="auto"/>
                <w:spacing w:val="-6"/>
                <w:kern w:val="21"/>
                <w:szCs w:val="21"/>
                <w:highlight w:val="none"/>
              </w:rPr>
              <w:fldChar w:fldCharType="separate"/>
            </w:r>
            <w:r>
              <w:rPr>
                <w:rFonts w:hint="default" w:ascii="Times New Roman" w:hAnsi="Times New Roman" w:cs="Times New Roman" w:eastAsiaTheme="minorEastAsia"/>
                <w:color w:val="auto"/>
                <w:kern w:val="2"/>
                <w:szCs w:val="21"/>
                <w:highlight w:val="none"/>
              </w:rPr>
              <w:t>③</w:t>
            </w:r>
            <w:r>
              <w:rPr>
                <w:rFonts w:hint="default" w:ascii="Times New Roman" w:hAnsi="Times New Roman" w:cs="Times New Roman" w:eastAsiaTheme="minorEastAsia"/>
                <w:snapToGrid w:val="0"/>
                <w:color w:val="auto"/>
                <w:spacing w:val="-6"/>
                <w:kern w:val="21"/>
                <w:szCs w:val="21"/>
                <w:highlight w:val="none"/>
              </w:rPr>
              <w:fldChar w:fldCharType="end"/>
            </w:r>
          </w:p>
        </w:tc>
        <w:tc>
          <w:tcPr>
            <w:tcW w:w="1629" w:type="dxa"/>
            <w:tcBorders>
              <w:top w:val="single" w:color="auto" w:sz="8" w:space="0"/>
            </w:tcBorders>
            <w:tcMar>
              <w:left w:w="28" w:type="dxa"/>
              <w:right w:w="28" w:type="dxa"/>
            </w:tcMar>
            <w:vAlign w:val="center"/>
          </w:tcPr>
          <w:p w14:paraId="440E8418">
            <w:pPr>
              <w:pStyle w:val="199"/>
              <w:spacing w:beforeLines="0" w:afterLines="0" w:line="240" w:lineRule="auto"/>
              <w:rPr>
                <w:rFonts w:hint="default" w:ascii="Times New Roman" w:hAnsi="Times New Roman" w:cs="Times New Roman" w:eastAsiaTheme="minorEastAsia"/>
                <w:snapToGrid w:val="0"/>
                <w:color w:val="auto"/>
                <w:spacing w:val="-6"/>
                <w:kern w:val="21"/>
                <w:szCs w:val="21"/>
                <w:highlight w:val="none"/>
              </w:rPr>
            </w:pPr>
            <w:r>
              <w:rPr>
                <w:rFonts w:hint="default" w:ascii="Times New Roman" w:hAnsi="Times New Roman" w:cs="Times New Roman" w:eastAsiaTheme="minorEastAsia"/>
                <w:snapToGrid w:val="0"/>
                <w:color w:val="auto"/>
                <w:spacing w:val="-6"/>
                <w:kern w:val="21"/>
                <w:szCs w:val="21"/>
                <w:highlight w:val="none"/>
              </w:rPr>
              <w:t>本项目</w:t>
            </w:r>
          </w:p>
          <w:p w14:paraId="0946EC4A">
            <w:pPr>
              <w:pStyle w:val="199"/>
              <w:spacing w:beforeLines="0" w:afterLines="0" w:line="240" w:lineRule="auto"/>
              <w:rPr>
                <w:rFonts w:hint="default" w:ascii="Times New Roman" w:hAnsi="Times New Roman" w:cs="Times New Roman" w:eastAsiaTheme="minorEastAsia"/>
                <w:snapToGrid w:val="0"/>
                <w:color w:val="auto"/>
                <w:spacing w:val="-6"/>
                <w:kern w:val="21"/>
                <w:szCs w:val="21"/>
                <w:highlight w:val="none"/>
              </w:rPr>
            </w:pPr>
            <w:r>
              <w:rPr>
                <w:rFonts w:hint="default" w:ascii="Times New Roman" w:hAnsi="Times New Roman" w:cs="Times New Roman" w:eastAsiaTheme="minorEastAsia"/>
                <w:snapToGrid w:val="0"/>
                <w:color w:val="auto"/>
                <w:spacing w:val="-6"/>
                <w:kern w:val="21"/>
                <w:szCs w:val="21"/>
                <w:highlight w:val="none"/>
              </w:rPr>
              <w:t>排放量（固体废物产生量）</w:t>
            </w:r>
            <w:r>
              <w:rPr>
                <w:rFonts w:hint="default" w:ascii="Times New Roman" w:hAnsi="Times New Roman" w:cs="Times New Roman" w:eastAsiaTheme="minorEastAsia"/>
                <w:snapToGrid w:val="0"/>
                <w:color w:val="auto"/>
                <w:spacing w:val="-6"/>
                <w:kern w:val="21"/>
                <w:szCs w:val="21"/>
                <w:highlight w:val="none"/>
              </w:rPr>
              <w:fldChar w:fldCharType="begin"/>
            </w:r>
            <w:r>
              <w:rPr>
                <w:rFonts w:hint="default" w:ascii="Times New Roman" w:hAnsi="Times New Roman" w:cs="Times New Roman" w:eastAsiaTheme="minorEastAsia"/>
                <w:snapToGrid w:val="0"/>
                <w:color w:val="auto"/>
                <w:spacing w:val="-6"/>
                <w:kern w:val="21"/>
                <w:szCs w:val="21"/>
                <w:highlight w:val="none"/>
              </w:rPr>
              <w:instrText xml:space="preserve"> = 4 \* GB3 \* MERGEFORMAT </w:instrText>
            </w:r>
            <w:r>
              <w:rPr>
                <w:rFonts w:hint="default" w:ascii="Times New Roman" w:hAnsi="Times New Roman" w:cs="Times New Roman" w:eastAsiaTheme="minorEastAsia"/>
                <w:snapToGrid w:val="0"/>
                <w:color w:val="auto"/>
                <w:spacing w:val="-6"/>
                <w:kern w:val="21"/>
                <w:szCs w:val="21"/>
                <w:highlight w:val="none"/>
              </w:rPr>
              <w:fldChar w:fldCharType="separate"/>
            </w:r>
            <w:r>
              <w:rPr>
                <w:rFonts w:hint="default" w:ascii="Times New Roman" w:hAnsi="Times New Roman" w:cs="Times New Roman" w:eastAsiaTheme="minorEastAsia"/>
                <w:color w:val="auto"/>
                <w:kern w:val="2"/>
                <w:szCs w:val="21"/>
                <w:highlight w:val="none"/>
              </w:rPr>
              <w:t>④</w:t>
            </w:r>
            <w:r>
              <w:rPr>
                <w:rFonts w:hint="default" w:ascii="Times New Roman" w:hAnsi="Times New Roman" w:cs="Times New Roman" w:eastAsiaTheme="minorEastAsia"/>
                <w:snapToGrid w:val="0"/>
                <w:color w:val="auto"/>
                <w:spacing w:val="-6"/>
                <w:kern w:val="21"/>
                <w:szCs w:val="21"/>
                <w:highlight w:val="none"/>
              </w:rPr>
              <w:fldChar w:fldCharType="end"/>
            </w:r>
          </w:p>
        </w:tc>
        <w:tc>
          <w:tcPr>
            <w:tcW w:w="1605" w:type="dxa"/>
            <w:tcBorders>
              <w:top w:val="single" w:color="auto" w:sz="8" w:space="0"/>
            </w:tcBorders>
            <w:tcMar>
              <w:left w:w="28" w:type="dxa"/>
              <w:right w:w="28" w:type="dxa"/>
            </w:tcMar>
            <w:vAlign w:val="center"/>
          </w:tcPr>
          <w:p w14:paraId="6559A5A0">
            <w:pPr>
              <w:pStyle w:val="199"/>
              <w:spacing w:beforeLines="0" w:afterLines="0" w:line="240" w:lineRule="auto"/>
              <w:rPr>
                <w:rFonts w:hint="default" w:ascii="Times New Roman" w:hAnsi="Times New Roman" w:cs="Times New Roman" w:eastAsiaTheme="minorEastAsia"/>
                <w:snapToGrid w:val="0"/>
                <w:color w:val="auto"/>
                <w:spacing w:val="-16"/>
                <w:kern w:val="21"/>
                <w:szCs w:val="21"/>
                <w:highlight w:val="none"/>
              </w:rPr>
            </w:pPr>
            <w:r>
              <w:rPr>
                <w:rFonts w:hint="default" w:ascii="Times New Roman" w:hAnsi="Times New Roman" w:cs="Times New Roman" w:eastAsiaTheme="minorEastAsia"/>
                <w:snapToGrid w:val="0"/>
                <w:color w:val="auto"/>
                <w:spacing w:val="-16"/>
                <w:kern w:val="21"/>
                <w:szCs w:val="21"/>
                <w:highlight w:val="none"/>
              </w:rPr>
              <w:t>以新带老削减量</w:t>
            </w:r>
          </w:p>
          <w:p w14:paraId="67950403">
            <w:pPr>
              <w:pStyle w:val="199"/>
              <w:spacing w:beforeLines="0" w:afterLines="0" w:line="240" w:lineRule="auto"/>
              <w:rPr>
                <w:rFonts w:hint="default" w:ascii="Times New Roman" w:hAnsi="Times New Roman" w:cs="Times New Roman" w:eastAsiaTheme="minorEastAsia"/>
                <w:snapToGrid w:val="0"/>
                <w:color w:val="auto"/>
                <w:spacing w:val="-16"/>
                <w:kern w:val="21"/>
                <w:szCs w:val="21"/>
                <w:highlight w:val="none"/>
              </w:rPr>
            </w:pPr>
            <w:r>
              <w:rPr>
                <w:rFonts w:hint="default" w:ascii="Times New Roman" w:hAnsi="Times New Roman" w:cs="Times New Roman" w:eastAsiaTheme="minorEastAsia"/>
                <w:snapToGrid w:val="0"/>
                <w:color w:val="auto"/>
                <w:spacing w:val="-16"/>
                <w:kern w:val="21"/>
                <w:szCs w:val="21"/>
                <w:highlight w:val="none"/>
              </w:rPr>
              <w:t>（新建项目不填）</w:t>
            </w:r>
            <w:r>
              <w:rPr>
                <w:rFonts w:hint="default" w:ascii="Times New Roman" w:hAnsi="Times New Roman" w:cs="Times New Roman" w:eastAsiaTheme="minorEastAsia"/>
                <w:snapToGrid w:val="0"/>
                <w:color w:val="auto"/>
                <w:spacing w:val="-16"/>
                <w:kern w:val="21"/>
                <w:szCs w:val="21"/>
                <w:highlight w:val="none"/>
              </w:rPr>
              <w:fldChar w:fldCharType="begin"/>
            </w:r>
            <w:r>
              <w:rPr>
                <w:rFonts w:hint="default" w:ascii="Times New Roman" w:hAnsi="Times New Roman" w:cs="Times New Roman" w:eastAsiaTheme="minorEastAsia"/>
                <w:snapToGrid w:val="0"/>
                <w:color w:val="auto"/>
                <w:spacing w:val="-16"/>
                <w:kern w:val="21"/>
                <w:szCs w:val="21"/>
                <w:highlight w:val="none"/>
              </w:rPr>
              <w:instrText xml:space="preserve"> = 5 \* GB3 \* MERGEFORMAT </w:instrText>
            </w:r>
            <w:r>
              <w:rPr>
                <w:rFonts w:hint="default" w:ascii="Times New Roman" w:hAnsi="Times New Roman" w:cs="Times New Roman" w:eastAsiaTheme="minorEastAsia"/>
                <w:snapToGrid w:val="0"/>
                <w:color w:val="auto"/>
                <w:spacing w:val="-16"/>
                <w:kern w:val="21"/>
                <w:szCs w:val="21"/>
                <w:highlight w:val="none"/>
              </w:rPr>
              <w:fldChar w:fldCharType="separate"/>
            </w:r>
            <w:r>
              <w:rPr>
                <w:rFonts w:hint="default" w:ascii="Times New Roman" w:hAnsi="Times New Roman" w:cs="Times New Roman" w:eastAsiaTheme="minorEastAsia"/>
                <w:color w:val="auto"/>
                <w:kern w:val="2"/>
                <w:szCs w:val="21"/>
                <w:highlight w:val="none"/>
              </w:rPr>
              <w:t>⑤</w:t>
            </w:r>
            <w:r>
              <w:rPr>
                <w:rFonts w:hint="default" w:ascii="Times New Roman" w:hAnsi="Times New Roman" w:cs="Times New Roman" w:eastAsiaTheme="minorEastAsia"/>
                <w:snapToGrid w:val="0"/>
                <w:color w:val="auto"/>
                <w:spacing w:val="-16"/>
                <w:kern w:val="21"/>
                <w:szCs w:val="21"/>
                <w:highlight w:val="none"/>
              </w:rPr>
              <w:fldChar w:fldCharType="end"/>
            </w:r>
          </w:p>
        </w:tc>
        <w:tc>
          <w:tcPr>
            <w:tcW w:w="1701" w:type="dxa"/>
            <w:tcBorders>
              <w:top w:val="single" w:color="auto" w:sz="8" w:space="0"/>
            </w:tcBorders>
            <w:tcMar>
              <w:left w:w="28" w:type="dxa"/>
              <w:right w:w="28" w:type="dxa"/>
            </w:tcMar>
            <w:vAlign w:val="center"/>
          </w:tcPr>
          <w:p w14:paraId="3D854175">
            <w:pPr>
              <w:pStyle w:val="199"/>
              <w:spacing w:beforeLines="0" w:afterLines="0" w:line="240" w:lineRule="auto"/>
              <w:rPr>
                <w:rFonts w:hint="default" w:ascii="Times New Roman" w:hAnsi="Times New Roman" w:cs="Times New Roman" w:eastAsiaTheme="minorEastAsia"/>
                <w:snapToGrid w:val="0"/>
                <w:color w:val="auto"/>
                <w:spacing w:val="-16"/>
                <w:kern w:val="21"/>
                <w:szCs w:val="21"/>
                <w:highlight w:val="none"/>
              </w:rPr>
            </w:pPr>
            <w:r>
              <w:rPr>
                <w:rFonts w:hint="default" w:ascii="Times New Roman" w:hAnsi="Times New Roman" w:cs="Times New Roman" w:eastAsiaTheme="minorEastAsia"/>
                <w:snapToGrid w:val="0"/>
                <w:color w:val="auto"/>
                <w:spacing w:val="-16"/>
                <w:kern w:val="21"/>
                <w:szCs w:val="21"/>
                <w:highlight w:val="none"/>
              </w:rPr>
              <w:t>本项目建成后</w:t>
            </w:r>
          </w:p>
          <w:p w14:paraId="42118C1A">
            <w:pPr>
              <w:pStyle w:val="199"/>
              <w:spacing w:beforeLines="0" w:afterLines="0" w:line="240" w:lineRule="auto"/>
              <w:rPr>
                <w:rFonts w:hint="default" w:ascii="Times New Roman" w:hAnsi="Times New Roman" w:cs="Times New Roman" w:eastAsiaTheme="minorEastAsia"/>
                <w:snapToGrid w:val="0"/>
                <w:color w:val="auto"/>
                <w:spacing w:val="-16"/>
                <w:kern w:val="21"/>
                <w:szCs w:val="21"/>
                <w:highlight w:val="none"/>
              </w:rPr>
            </w:pPr>
            <w:r>
              <w:rPr>
                <w:rFonts w:hint="default" w:ascii="Times New Roman" w:hAnsi="Times New Roman" w:cs="Times New Roman" w:eastAsiaTheme="minorEastAsia"/>
                <w:snapToGrid w:val="0"/>
                <w:color w:val="auto"/>
                <w:spacing w:val="-16"/>
                <w:kern w:val="21"/>
                <w:szCs w:val="21"/>
                <w:highlight w:val="none"/>
              </w:rPr>
              <w:t>全厂排放量（固体废物产生量）</w:t>
            </w:r>
            <w:r>
              <w:rPr>
                <w:rFonts w:hint="default" w:ascii="Times New Roman" w:hAnsi="Times New Roman" w:cs="Times New Roman" w:eastAsiaTheme="minorEastAsia"/>
                <w:snapToGrid w:val="0"/>
                <w:color w:val="auto"/>
                <w:spacing w:val="-16"/>
                <w:kern w:val="21"/>
                <w:szCs w:val="21"/>
                <w:highlight w:val="none"/>
              </w:rPr>
              <w:fldChar w:fldCharType="begin"/>
            </w:r>
            <w:r>
              <w:rPr>
                <w:rFonts w:hint="default" w:ascii="Times New Roman" w:hAnsi="Times New Roman" w:cs="Times New Roman" w:eastAsiaTheme="minorEastAsia"/>
                <w:snapToGrid w:val="0"/>
                <w:color w:val="auto"/>
                <w:spacing w:val="-16"/>
                <w:kern w:val="21"/>
                <w:szCs w:val="21"/>
                <w:highlight w:val="none"/>
              </w:rPr>
              <w:instrText xml:space="preserve"> = 6 \* GB3 \* MERGEFORMAT </w:instrText>
            </w:r>
            <w:r>
              <w:rPr>
                <w:rFonts w:hint="default" w:ascii="Times New Roman" w:hAnsi="Times New Roman" w:cs="Times New Roman" w:eastAsiaTheme="minorEastAsia"/>
                <w:snapToGrid w:val="0"/>
                <w:color w:val="auto"/>
                <w:spacing w:val="-16"/>
                <w:kern w:val="21"/>
                <w:szCs w:val="21"/>
                <w:highlight w:val="none"/>
              </w:rPr>
              <w:fldChar w:fldCharType="separate"/>
            </w:r>
            <w:r>
              <w:rPr>
                <w:rFonts w:hint="default" w:ascii="Times New Roman" w:hAnsi="Times New Roman" w:cs="Times New Roman" w:eastAsiaTheme="minorEastAsia"/>
                <w:color w:val="auto"/>
                <w:kern w:val="2"/>
                <w:szCs w:val="21"/>
                <w:highlight w:val="none"/>
              </w:rPr>
              <w:t>⑥</w:t>
            </w:r>
            <w:r>
              <w:rPr>
                <w:rFonts w:hint="default" w:ascii="Times New Roman" w:hAnsi="Times New Roman" w:cs="Times New Roman" w:eastAsiaTheme="minorEastAsia"/>
                <w:snapToGrid w:val="0"/>
                <w:color w:val="auto"/>
                <w:spacing w:val="-16"/>
                <w:kern w:val="21"/>
                <w:szCs w:val="21"/>
                <w:highlight w:val="none"/>
              </w:rPr>
              <w:fldChar w:fldCharType="end"/>
            </w:r>
          </w:p>
        </w:tc>
        <w:tc>
          <w:tcPr>
            <w:tcW w:w="1442" w:type="dxa"/>
            <w:tcBorders>
              <w:top w:val="single" w:color="auto" w:sz="8" w:space="0"/>
            </w:tcBorders>
            <w:tcMar>
              <w:left w:w="28" w:type="dxa"/>
              <w:right w:w="28" w:type="dxa"/>
            </w:tcMar>
            <w:vAlign w:val="center"/>
          </w:tcPr>
          <w:p w14:paraId="4C1597AE">
            <w:pPr>
              <w:pStyle w:val="199"/>
              <w:spacing w:beforeLines="0" w:afterLines="0" w:line="240" w:lineRule="auto"/>
              <w:rPr>
                <w:rFonts w:hint="default" w:ascii="Times New Roman" w:hAnsi="Times New Roman" w:cs="Times New Roman" w:eastAsiaTheme="minorEastAsia"/>
                <w:snapToGrid w:val="0"/>
                <w:color w:val="auto"/>
                <w:spacing w:val="-6"/>
                <w:kern w:val="21"/>
                <w:szCs w:val="21"/>
                <w:highlight w:val="none"/>
              </w:rPr>
            </w:pPr>
            <w:r>
              <w:rPr>
                <w:rFonts w:hint="default" w:ascii="Times New Roman" w:hAnsi="Times New Roman" w:cs="Times New Roman" w:eastAsiaTheme="minorEastAsia"/>
                <w:snapToGrid w:val="0"/>
                <w:color w:val="auto"/>
                <w:spacing w:val="-6"/>
                <w:kern w:val="21"/>
                <w:szCs w:val="21"/>
                <w:highlight w:val="none"/>
              </w:rPr>
              <w:t>变化量</w:t>
            </w:r>
          </w:p>
          <w:p w14:paraId="780F6625">
            <w:pPr>
              <w:pStyle w:val="199"/>
              <w:spacing w:beforeLines="0" w:afterLines="0" w:line="240" w:lineRule="auto"/>
              <w:rPr>
                <w:rFonts w:hint="default" w:ascii="Times New Roman" w:hAnsi="Times New Roman" w:cs="Times New Roman" w:eastAsiaTheme="minorEastAsia"/>
                <w:snapToGrid w:val="0"/>
                <w:color w:val="auto"/>
                <w:spacing w:val="-6"/>
                <w:kern w:val="21"/>
                <w:szCs w:val="21"/>
                <w:highlight w:val="none"/>
              </w:rPr>
            </w:pPr>
            <w:r>
              <w:rPr>
                <w:rFonts w:hint="default" w:ascii="Times New Roman" w:hAnsi="Times New Roman" w:cs="Times New Roman" w:eastAsiaTheme="minorEastAsia"/>
                <w:snapToGrid w:val="0"/>
                <w:color w:val="auto"/>
                <w:spacing w:val="-6"/>
                <w:kern w:val="21"/>
                <w:szCs w:val="21"/>
                <w:highlight w:val="none"/>
              </w:rPr>
              <w:fldChar w:fldCharType="begin"/>
            </w:r>
            <w:r>
              <w:rPr>
                <w:rFonts w:hint="default" w:ascii="Times New Roman" w:hAnsi="Times New Roman" w:cs="Times New Roman" w:eastAsiaTheme="minorEastAsia"/>
                <w:snapToGrid w:val="0"/>
                <w:color w:val="auto"/>
                <w:spacing w:val="-6"/>
                <w:kern w:val="21"/>
                <w:szCs w:val="21"/>
                <w:highlight w:val="none"/>
              </w:rPr>
              <w:instrText xml:space="preserve"> = 7 \* GB3 \* MERGEFORMAT </w:instrText>
            </w:r>
            <w:r>
              <w:rPr>
                <w:rFonts w:hint="default" w:ascii="Times New Roman" w:hAnsi="Times New Roman" w:cs="Times New Roman" w:eastAsiaTheme="minorEastAsia"/>
                <w:snapToGrid w:val="0"/>
                <w:color w:val="auto"/>
                <w:spacing w:val="-6"/>
                <w:kern w:val="21"/>
                <w:szCs w:val="21"/>
                <w:highlight w:val="none"/>
              </w:rPr>
              <w:fldChar w:fldCharType="separate"/>
            </w:r>
            <w:r>
              <w:rPr>
                <w:rFonts w:hint="default" w:ascii="Times New Roman" w:hAnsi="Times New Roman" w:cs="Times New Roman" w:eastAsiaTheme="minorEastAsia"/>
                <w:color w:val="auto"/>
                <w:kern w:val="2"/>
                <w:szCs w:val="21"/>
                <w:highlight w:val="none"/>
              </w:rPr>
              <w:t>⑦</w:t>
            </w:r>
            <w:r>
              <w:rPr>
                <w:rFonts w:hint="default" w:ascii="Times New Roman" w:hAnsi="Times New Roman" w:cs="Times New Roman" w:eastAsiaTheme="minorEastAsia"/>
                <w:snapToGrid w:val="0"/>
                <w:color w:val="auto"/>
                <w:spacing w:val="-6"/>
                <w:kern w:val="21"/>
                <w:szCs w:val="21"/>
                <w:highlight w:val="none"/>
              </w:rPr>
              <w:fldChar w:fldCharType="end"/>
            </w:r>
          </w:p>
        </w:tc>
      </w:tr>
      <w:tr w14:paraId="7F1677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1025" w:type="dxa"/>
            <w:vMerge w:val="restart"/>
            <w:vAlign w:val="center"/>
          </w:tcPr>
          <w:p w14:paraId="24D70993">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r>
              <w:rPr>
                <w:rFonts w:hint="default" w:ascii="Times New Roman" w:hAnsi="Times New Roman" w:cs="Times New Roman" w:eastAsiaTheme="minorEastAsia"/>
                <w:snapToGrid w:val="0"/>
                <w:color w:val="auto"/>
                <w:kern w:val="21"/>
                <w:szCs w:val="21"/>
                <w:highlight w:val="none"/>
              </w:rPr>
              <w:t>废气</w:t>
            </w:r>
          </w:p>
        </w:tc>
        <w:tc>
          <w:tcPr>
            <w:tcW w:w="2112" w:type="dxa"/>
            <w:vAlign w:val="center"/>
          </w:tcPr>
          <w:p w14:paraId="6E6D6FA6">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r>
              <w:rPr>
                <w:rFonts w:hint="default" w:ascii="Times New Roman" w:hAnsi="Times New Roman" w:cs="Times New Roman" w:eastAsiaTheme="minorEastAsia"/>
                <w:snapToGrid w:val="0"/>
                <w:color w:val="auto"/>
                <w:kern w:val="21"/>
                <w:szCs w:val="21"/>
                <w:highlight w:val="none"/>
              </w:rPr>
              <w:t>颗粒物</w:t>
            </w:r>
          </w:p>
        </w:tc>
        <w:tc>
          <w:tcPr>
            <w:tcW w:w="1776" w:type="dxa"/>
            <w:vAlign w:val="center"/>
          </w:tcPr>
          <w:p w14:paraId="3D78EB8C">
            <w:pPr>
              <w:pStyle w:val="199"/>
              <w:spacing w:beforeLines="0" w:afterLines="0" w:line="240" w:lineRule="auto"/>
              <w:rPr>
                <w:rFonts w:hint="default" w:ascii="Times New Roman" w:hAnsi="Times New Roman" w:cs="Times New Roman" w:eastAsiaTheme="minorEastAsia"/>
                <w:snapToGrid w:val="0"/>
                <w:color w:val="auto"/>
                <w:kern w:val="21"/>
                <w:szCs w:val="21"/>
                <w:highlight w:val="none"/>
                <w:lang w:val="en-US" w:eastAsia="zh-CN"/>
              </w:rPr>
            </w:pPr>
            <w:r>
              <w:rPr>
                <w:rFonts w:hint="default" w:ascii="Times New Roman" w:hAnsi="Times New Roman" w:cs="Times New Roman" w:eastAsiaTheme="minorEastAsia"/>
                <w:snapToGrid w:val="0"/>
                <w:color w:val="auto"/>
                <w:kern w:val="21"/>
                <w:szCs w:val="21"/>
                <w:highlight w:val="none"/>
                <w:lang w:val="en-US" w:eastAsia="zh-CN"/>
              </w:rPr>
              <w:t>0.</w:t>
            </w:r>
            <w:r>
              <w:rPr>
                <w:rFonts w:hint="eastAsia" w:ascii="Times New Roman" w:cs="Times New Roman" w:eastAsiaTheme="minorEastAsia"/>
                <w:snapToGrid w:val="0"/>
                <w:color w:val="auto"/>
                <w:kern w:val="21"/>
                <w:szCs w:val="21"/>
                <w:highlight w:val="none"/>
                <w:lang w:val="en-US" w:eastAsia="zh-CN"/>
              </w:rPr>
              <w:t>006</w:t>
            </w:r>
          </w:p>
        </w:tc>
        <w:tc>
          <w:tcPr>
            <w:tcW w:w="1333" w:type="dxa"/>
            <w:vAlign w:val="center"/>
          </w:tcPr>
          <w:p w14:paraId="382EA06E">
            <w:pPr>
              <w:pStyle w:val="199"/>
              <w:spacing w:beforeLines="0" w:afterLines="0" w:line="240" w:lineRule="auto"/>
              <w:rPr>
                <w:rFonts w:hint="default" w:ascii="Times New Roman" w:hAnsi="Times New Roman" w:cs="Times New Roman" w:eastAsiaTheme="minorEastAsia"/>
                <w:snapToGrid w:val="0"/>
                <w:color w:val="auto"/>
                <w:kern w:val="21"/>
                <w:szCs w:val="21"/>
                <w:highlight w:val="none"/>
                <w:lang w:val="en-US" w:eastAsia="zh-CN"/>
              </w:rPr>
            </w:pPr>
          </w:p>
        </w:tc>
        <w:tc>
          <w:tcPr>
            <w:tcW w:w="1776" w:type="dxa"/>
            <w:vAlign w:val="center"/>
          </w:tcPr>
          <w:p w14:paraId="1BCECC0C">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p>
        </w:tc>
        <w:tc>
          <w:tcPr>
            <w:tcW w:w="1629" w:type="dxa"/>
            <w:vAlign w:val="center"/>
          </w:tcPr>
          <w:p w14:paraId="7AC51C01">
            <w:pPr>
              <w:pStyle w:val="199"/>
              <w:spacing w:beforeLines="0" w:afterLines="0" w:line="240" w:lineRule="auto"/>
              <w:rPr>
                <w:rFonts w:hint="default" w:ascii="Times New Roman" w:hAnsi="Times New Roman" w:cs="Times New Roman" w:eastAsiaTheme="minorEastAsia"/>
                <w:snapToGrid w:val="0"/>
                <w:color w:val="auto"/>
                <w:kern w:val="21"/>
                <w:szCs w:val="21"/>
                <w:highlight w:val="none"/>
                <w:lang w:val="en-US" w:eastAsia="zh-CN"/>
              </w:rPr>
            </w:pPr>
            <w:r>
              <w:rPr>
                <w:rFonts w:hint="default" w:ascii="Times New Roman" w:hAnsi="Times New Roman" w:cs="Times New Roman" w:eastAsiaTheme="minorEastAsia"/>
                <w:snapToGrid w:val="0"/>
                <w:color w:val="auto"/>
                <w:kern w:val="21"/>
                <w:szCs w:val="21"/>
                <w:highlight w:val="none"/>
                <w:lang w:val="en-US" w:eastAsia="zh-CN"/>
              </w:rPr>
              <w:t>0.</w:t>
            </w:r>
            <w:r>
              <w:rPr>
                <w:rFonts w:hint="eastAsia" w:ascii="Times New Roman" w:cs="Times New Roman" w:eastAsiaTheme="minorEastAsia"/>
                <w:snapToGrid w:val="0"/>
                <w:color w:val="auto"/>
                <w:kern w:val="21"/>
                <w:szCs w:val="21"/>
                <w:highlight w:val="none"/>
                <w:lang w:val="en-US" w:eastAsia="zh-CN"/>
              </w:rPr>
              <w:t>006</w:t>
            </w:r>
          </w:p>
        </w:tc>
        <w:tc>
          <w:tcPr>
            <w:tcW w:w="1605" w:type="dxa"/>
            <w:vAlign w:val="center"/>
          </w:tcPr>
          <w:p w14:paraId="04F9BA1B">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p>
        </w:tc>
        <w:tc>
          <w:tcPr>
            <w:tcW w:w="1701" w:type="dxa"/>
            <w:vAlign w:val="center"/>
          </w:tcPr>
          <w:p w14:paraId="3FA21588">
            <w:pPr>
              <w:pStyle w:val="199"/>
              <w:spacing w:beforeLines="0" w:afterLines="0" w:line="240" w:lineRule="auto"/>
              <w:rPr>
                <w:rFonts w:hint="default" w:ascii="Times New Roman" w:hAnsi="Times New Roman" w:cs="Times New Roman" w:eastAsiaTheme="minorEastAsia"/>
                <w:snapToGrid w:val="0"/>
                <w:color w:val="auto"/>
                <w:kern w:val="21"/>
                <w:szCs w:val="21"/>
                <w:highlight w:val="none"/>
                <w:lang w:val="en-US" w:eastAsia="zh-CN"/>
              </w:rPr>
            </w:pPr>
            <w:r>
              <w:rPr>
                <w:rFonts w:hint="eastAsia" w:ascii="Times New Roman" w:cs="Times New Roman" w:eastAsiaTheme="minorEastAsia"/>
                <w:snapToGrid w:val="0"/>
                <w:color w:val="auto"/>
                <w:kern w:val="21"/>
                <w:szCs w:val="21"/>
                <w:highlight w:val="none"/>
                <w:lang w:val="en-US" w:eastAsia="zh-CN"/>
              </w:rPr>
              <w:t>0.012</w:t>
            </w:r>
          </w:p>
        </w:tc>
        <w:tc>
          <w:tcPr>
            <w:tcW w:w="1442" w:type="dxa"/>
            <w:vAlign w:val="center"/>
          </w:tcPr>
          <w:p w14:paraId="3D029FE6">
            <w:pPr>
              <w:pStyle w:val="199"/>
              <w:spacing w:beforeLines="0" w:afterLines="0" w:line="240" w:lineRule="auto"/>
              <w:rPr>
                <w:rFonts w:hint="default" w:ascii="Times New Roman" w:hAnsi="Times New Roman" w:cs="Times New Roman" w:eastAsiaTheme="minorEastAsia"/>
                <w:snapToGrid w:val="0"/>
                <w:color w:val="auto"/>
                <w:kern w:val="21"/>
                <w:szCs w:val="21"/>
                <w:highlight w:val="none"/>
                <w:lang w:val="en-US" w:eastAsia="zh-CN"/>
              </w:rPr>
            </w:pPr>
            <w:r>
              <w:rPr>
                <w:rFonts w:hint="default" w:ascii="Times New Roman" w:hAnsi="Times New Roman" w:cs="Times New Roman" w:eastAsiaTheme="minorEastAsia"/>
                <w:snapToGrid w:val="0"/>
                <w:color w:val="auto"/>
                <w:kern w:val="21"/>
                <w:szCs w:val="21"/>
                <w:highlight w:val="none"/>
                <w:lang w:val="en-US" w:eastAsia="zh-CN"/>
              </w:rPr>
              <w:t>0.</w:t>
            </w:r>
            <w:r>
              <w:rPr>
                <w:rFonts w:hint="eastAsia" w:ascii="Times New Roman" w:cs="Times New Roman" w:eastAsiaTheme="minorEastAsia"/>
                <w:snapToGrid w:val="0"/>
                <w:color w:val="auto"/>
                <w:kern w:val="21"/>
                <w:szCs w:val="21"/>
                <w:highlight w:val="none"/>
                <w:lang w:val="en-US" w:eastAsia="zh-CN"/>
              </w:rPr>
              <w:t>006</w:t>
            </w:r>
          </w:p>
        </w:tc>
      </w:tr>
      <w:tr w14:paraId="0E2410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1025" w:type="dxa"/>
            <w:vMerge w:val="continue"/>
            <w:vAlign w:val="center"/>
          </w:tcPr>
          <w:p w14:paraId="33B0B7E9">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p>
        </w:tc>
        <w:tc>
          <w:tcPr>
            <w:tcW w:w="2112" w:type="dxa"/>
            <w:vAlign w:val="center"/>
          </w:tcPr>
          <w:p w14:paraId="081690D2">
            <w:pPr>
              <w:pStyle w:val="199"/>
              <w:spacing w:beforeLines="0" w:afterLines="0" w:line="240" w:lineRule="auto"/>
              <w:rPr>
                <w:rFonts w:hint="default" w:ascii="Times New Roman" w:hAnsi="Times New Roman" w:cs="Times New Roman" w:eastAsiaTheme="minorEastAsia"/>
                <w:snapToGrid w:val="0"/>
                <w:color w:val="auto"/>
                <w:kern w:val="21"/>
                <w:szCs w:val="21"/>
                <w:highlight w:val="none"/>
                <w:lang w:val="en-US" w:eastAsia="zh-CN"/>
              </w:rPr>
            </w:pPr>
            <w:r>
              <w:rPr>
                <w:rFonts w:hint="eastAsia" w:ascii="Times New Roman" w:cs="Times New Roman" w:eastAsiaTheme="minorEastAsia"/>
                <w:snapToGrid w:val="0"/>
                <w:color w:val="auto"/>
                <w:kern w:val="21"/>
                <w:szCs w:val="21"/>
                <w:highlight w:val="none"/>
                <w:lang w:val="en-US" w:eastAsia="zh-CN"/>
              </w:rPr>
              <w:t>VOCs</w:t>
            </w:r>
          </w:p>
        </w:tc>
        <w:tc>
          <w:tcPr>
            <w:tcW w:w="1776" w:type="dxa"/>
            <w:vAlign w:val="center"/>
          </w:tcPr>
          <w:p w14:paraId="2A7AB104">
            <w:pPr>
              <w:pStyle w:val="199"/>
              <w:spacing w:beforeLines="0" w:afterLines="0" w:line="240" w:lineRule="auto"/>
              <w:rPr>
                <w:rFonts w:hint="default" w:ascii="Times New Roman" w:hAnsi="Times New Roman" w:cs="Times New Roman" w:eastAsiaTheme="minorEastAsia"/>
                <w:snapToGrid w:val="0"/>
                <w:color w:val="auto"/>
                <w:kern w:val="21"/>
                <w:szCs w:val="21"/>
                <w:highlight w:val="none"/>
                <w:lang w:val="en-US" w:eastAsia="zh-CN"/>
              </w:rPr>
            </w:pPr>
            <w:r>
              <w:rPr>
                <w:rFonts w:hint="default" w:ascii="Times New Roman" w:hAnsi="Times New Roman" w:cs="Times New Roman" w:eastAsiaTheme="minorEastAsia"/>
                <w:snapToGrid w:val="0"/>
                <w:color w:val="auto"/>
                <w:kern w:val="21"/>
                <w:szCs w:val="21"/>
                <w:highlight w:val="none"/>
                <w:lang w:val="en-US" w:eastAsia="zh-CN"/>
              </w:rPr>
              <w:t xml:space="preserve"> </w:t>
            </w:r>
            <w:r>
              <w:rPr>
                <w:rFonts w:hint="eastAsia" w:ascii="Times New Roman" w:cs="Times New Roman" w:eastAsiaTheme="minorEastAsia"/>
                <w:snapToGrid w:val="0"/>
                <w:color w:val="auto"/>
                <w:kern w:val="21"/>
                <w:szCs w:val="21"/>
                <w:highlight w:val="none"/>
                <w:lang w:val="en-US" w:eastAsia="zh-CN"/>
              </w:rPr>
              <w:t>0.3543</w:t>
            </w:r>
          </w:p>
        </w:tc>
        <w:tc>
          <w:tcPr>
            <w:tcW w:w="1333" w:type="dxa"/>
            <w:vAlign w:val="center"/>
          </w:tcPr>
          <w:p w14:paraId="361D47C0">
            <w:pPr>
              <w:pStyle w:val="199"/>
              <w:spacing w:beforeLines="0" w:afterLines="0" w:line="240" w:lineRule="auto"/>
              <w:rPr>
                <w:rFonts w:hint="default" w:ascii="Times New Roman" w:hAnsi="Times New Roman" w:cs="Times New Roman" w:eastAsiaTheme="minorEastAsia"/>
                <w:snapToGrid w:val="0"/>
                <w:color w:val="auto"/>
                <w:kern w:val="21"/>
                <w:szCs w:val="21"/>
                <w:highlight w:val="none"/>
                <w:lang w:val="en-US" w:eastAsia="zh-CN"/>
              </w:rPr>
            </w:pPr>
          </w:p>
        </w:tc>
        <w:tc>
          <w:tcPr>
            <w:tcW w:w="1776" w:type="dxa"/>
            <w:vAlign w:val="center"/>
          </w:tcPr>
          <w:p w14:paraId="4BEE1706">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p>
        </w:tc>
        <w:tc>
          <w:tcPr>
            <w:tcW w:w="1629" w:type="dxa"/>
            <w:vAlign w:val="center"/>
          </w:tcPr>
          <w:p w14:paraId="12D92357">
            <w:pPr>
              <w:pStyle w:val="199"/>
              <w:spacing w:beforeLines="0" w:afterLines="0" w:line="240" w:lineRule="auto"/>
              <w:rPr>
                <w:rFonts w:hint="default" w:ascii="Times New Roman" w:hAnsi="Times New Roman" w:cs="Times New Roman" w:eastAsiaTheme="minorEastAsia"/>
                <w:snapToGrid w:val="0"/>
                <w:color w:val="auto"/>
                <w:kern w:val="21"/>
                <w:szCs w:val="21"/>
                <w:highlight w:val="none"/>
                <w:lang w:val="en-US" w:eastAsia="zh-CN"/>
              </w:rPr>
            </w:pPr>
            <w:r>
              <w:rPr>
                <w:rFonts w:hint="eastAsia" w:ascii="Times New Roman" w:cs="Times New Roman" w:eastAsiaTheme="minorEastAsia"/>
                <w:snapToGrid w:val="0"/>
                <w:color w:val="auto"/>
                <w:kern w:val="21"/>
                <w:szCs w:val="21"/>
                <w:highlight w:val="none"/>
                <w:lang w:val="en-US" w:eastAsia="zh-CN"/>
              </w:rPr>
              <w:t>0</w:t>
            </w:r>
          </w:p>
        </w:tc>
        <w:tc>
          <w:tcPr>
            <w:tcW w:w="1605" w:type="dxa"/>
            <w:vAlign w:val="center"/>
          </w:tcPr>
          <w:p w14:paraId="14B811FE">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p>
        </w:tc>
        <w:tc>
          <w:tcPr>
            <w:tcW w:w="1701" w:type="dxa"/>
            <w:vAlign w:val="center"/>
          </w:tcPr>
          <w:p w14:paraId="435C701C">
            <w:pPr>
              <w:pStyle w:val="199"/>
              <w:spacing w:beforeLines="0" w:afterLines="0" w:line="240" w:lineRule="auto"/>
              <w:rPr>
                <w:rFonts w:hint="default" w:ascii="Times New Roman" w:hAnsi="Times New Roman" w:cs="Times New Roman" w:eastAsiaTheme="minorEastAsia"/>
                <w:snapToGrid w:val="0"/>
                <w:color w:val="auto"/>
                <w:kern w:val="21"/>
                <w:szCs w:val="21"/>
                <w:highlight w:val="none"/>
                <w:lang w:val="en-US" w:eastAsia="zh-CN"/>
              </w:rPr>
            </w:pPr>
            <w:r>
              <w:rPr>
                <w:rFonts w:hint="default" w:ascii="Times New Roman" w:hAnsi="Times New Roman" w:cs="Times New Roman" w:eastAsiaTheme="minorEastAsia"/>
                <w:snapToGrid w:val="0"/>
                <w:color w:val="auto"/>
                <w:kern w:val="21"/>
                <w:szCs w:val="21"/>
                <w:highlight w:val="none"/>
                <w:lang w:val="en-US" w:eastAsia="zh-CN"/>
              </w:rPr>
              <w:t xml:space="preserve"> </w:t>
            </w:r>
            <w:r>
              <w:rPr>
                <w:rFonts w:hint="eastAsia" w:ascii="Times New Roman" w:cs="Times New Roman" w:eastAsiaTheme="minorEastAsia"/>
                <w:snapToGrid w:val="0"/>
                <w:color w:val="auto"/>
                <w:kern w:val="21"/>
                <w:szCs w:val="21"/>
                <w:highlight w:val="none"/>
                <w:lang w:val="en-US" w:eastAsia="zh-CN"/>
              </w:rPr>
              <w:t>0.3543</w:t>
            </w:r>
          </w:p>
        </w:tc>
        <w:tc>
          <w:tcPr>
            <w:tcW w:w="1442" w:type="dxa"/>
            <w:vAlign w:val="center"/>
          </w:tcPr>
          <w:p w14:paraId="7F69DBAB">
            <w:pPr>
              <w:pStyle w:val="199"/>
              <w:spacing w:beforeLines="0" w:afterLines="0" w:line="240" w:lineRule="auto"/>
              <w:rPr>
                <w:rFonts w:hint="default" w:ascii="Times New Roman" w:hAnsi="Times New Roman" w:cs="Times New Roman" w:eastAsiaTheme="minorEastAsia"/>
                <w:snapToGrid w:val="0"/>
                <w:color w:val="auto"/>
                <w:kern w:val="21"/>
                <w:szCs w:val="21"/>
                <w:highlight w:val="none"/>
                <w:lang w:val="en-US" w:eastAsia="zh-CN"/>
              </w:rPr>
            </w:pPr>
            <w:r>
              <w:rPr>
                <w:rFonts w:hint="eastAsia" w:ascii="Times New Roman" w:cs="Times New Roman" w:eastAsiaTheme="minorEastAsia"/>
                <w:snapToGrid w:val="0"/>
                <w:color w:val="auto"/>
                <w:kern w:val="21"/>
                <w:szCs w:val="21"/>
                <w:highlight w:val="none"/>
                <w:lang w:val="en-US" w:eastAsia="zh-CN"/>
              </w:rPr>
              <w:t>0</w:t>
            </w:r>
          </w:p>
        </w:tc>
      </w:tr>
      <w:tr w14:paraId="174A3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1025" w:type="dxa"/>
            <w:vMerge w:val="restart"/>
            <w:vAlign w:val="center"/>
          </w:tcPr>
          <w:p w14:paraId="24D3E002">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r>
              <w:rPr>
                <w:rFonts w:hint="default" w:ascii="Times New Roman" w:hAnsi="Times New Roman" w:cs="Times New Roman" w:eastAsiaTheme="minorEastAsia"/>
                <w:snapToGrid w:val="0"/>
                <w:color w:val="auto"/>
                <w:kern w:val="21"/>
                <w:szCs w:val="21"/>
                <w:highlight w:val="none"/>
              </w:rPr>
              <w:t>废水</w:t>
            </w:r>
          </w:p>
        </w:tc>
        <w:tc>
          <w:tcPr>
            <w:tcW w:w="2112" w:type="dxa"/>
            <w:vAlign w:val="center"/>
          </w:tcPr>
          <w:p w14:paraId="5D601705">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r>
              <w:rPr>
                <w:rFonts w:hint="default" w:ascii="Times New Roman" w:hAnsi="Times New Roman" w:cs="Times New Roman" w:eastAsiaTheme="minorEastAsia"/>
                <w:snapToGrid w:val="0"/>
                <w:color w:val="auto"/>
                <w:kern w:val="21"/>
                <w:szCs w:val="21"/>
                <w:highlight w:val="none"/>
              </w:rPr>
              <w:t>排水量（m</w:t>
            </w:r>
            <w:r>
              <w:rPr>
                <w:rFonts w:hint="default" w:ascii="Times New Roman" w:hAnsi="Times New Roman" w:cs="Times New Roman" w:eastAsiaTheme="minorEastAsia"/>
                <w:snapToGrid w:val="0"/>
                <w:color w:val="auto"/>
                <w:kern w:val="21"/>
                <w:szCs w:val="21"/>
                <w:highlight w:val="none"/>
                <w:vertAlign w:val="superscript"/>
              </w:rPr>
              <w:t>3</w:t>
            </w:r>
            <w:r>
              <w:rPr>
                <w:rFonts w:hint="default" w:ascii="Times New Roman" w:hAnsi="Times New Roman" w:cs="Times New Roman" w:eastAsiaTheme="minorEastAsia"/>
                <w:snapToGrid w:val="0"/>
                <w:color w:val="auto"/>
                <w:kern w:val="21"/>
                <w:szCs w:val="21"/>
                <w:highlight w:val="none"/>
              </w:rPr>
              <w:t>/a）</w:t>
            </w:r>
          </w:p>
        </w:tc>
        <w:tc>
          <w:tcPr>
            <w:tcW w:w="1776" w:type="dxa"/>
            <w:vAlign w:val="center"/>
          </w:tcPr>
          <w:p w14:paraId="2AE1C54A">
            <w:pPr>
              <w:spacing w:beforeLines="0" w:afterLines="0" w:line="240" w:lineRule="auto"/>
              <w:jc w:val="center"/>
              <w:rPr>
                <w:rFonts w:hint="default" w:ascii="Times New Roman" w:hAnsi="Times New Roman" w:cs="Times New Roman" w:eastAsiaTheme="minorEastAsia"/>
                <w:snapToGrid w:val="0"/>
                <w:color w:val="auto"/>
                <w:kern w:val="21"/>
                <w:szCs w:val="21"/>
                <w:highlight w:val="none"/>
              </w:rPr>
            </w:pPr>
            <w:r>
              <w:rPr>
                <w:rFonts w:hint="default" w:ascii="Times New Roman" w:hAnsi="Times New Roman" w:cs="Times New Roman" w:eastAsiaTheme="minorEastAsia"/>
                <w:snapToGrid w:val="0"/>
                <w:color w:val="auto"/>
                <w:kern w:val="21"/>
                <w:szCs w:val="21"/>
                <w:highlight w:val="none"/>
              </w:rPr>
              <w:t>0</w:t>
            </w:r>
          </w:p>
        </w:tc>
        <w:tc>
          <w:tcPr>
            <w:tcW w:w="1333" w:type="dxa"/>
            <w:vAlign w:val="center"/>
          </w:tcPr>
          <w:p w14:paraId="69FB60E9">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p>
        </w:tc>
        <w:tc>
          <w:tcPr>
            <w:tcW w:w="1776" w:type="dxa"/>
            <w:vAlign w:val="center"/>
          </w:tcPr>
          <w:p w14:paraId="5BD63529">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p>
        </w:tc>
        <w:tc>
          <w:tcPr>
            <w:tcW w:w="1629" w:type="dxa"/>
            <w:vAlign w:val="center"/>
          </w:tcPr>
          <w:p w14:paraId="5D3F2C5B">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r>
              <w:rPr>
                <w:rFonts w:hint="default" w:ascii="Times New Roman" w:hAnsi="Times New Roman" w:cs="Times New Roman" w:eastAsiaTheme="minorEastAsia"/>
                <w:snapToGrid w:val="0"/>
                <w:color w:val="auto"/>
                <w:kern w:val="21"/>
                <w:szCs w:val="21"/>
                <w:highlight w:val="none"/>
              </w:rPr>
              <w:t>0</w:t>
            </w:r>
          </w:p>
        </w:tc>
        <w:tc>
          <w:tcPr>
            <w:tcW w:w="1605" w:type="dxa"/>
            <w:vAlign w:val="center"/>
          </w:tcPr>
          <w:p w14:paraId="0D03ADDD">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p>
        </w:tc>
        <w:tc>
          <w:tcPr>
            <w:tcW w:w="1701" w:type="dxa"/>
            <w:vAlign w:val="center"/>
          </w:tcPr>
          <w:p w14:paraId="7B9CE7BD">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r>
              <w:rPr>
                <w:rFonts w:hint="default" w:ascii="Times New Roman" w:hAnsi="Times New Roman" w:cs="Times New Roman" w:eastAsiaTheme="minorEastAsia"/>
                <w:snapToGrid w:val="0"/>
                <w:color w:val="auto"/>
                <w:kern w:val="21"/>
                <w:szCs w:val="21"/>
                <w:highlight w:val="none"/>
              </w:rPr>
              <w:t>0</w:t>
            </w:r>
          </w:p>
        </w:tc>
        <w:tc>
          <w:tcPr>
            <w:tcW w:w="1442" w:type="dxa"/>
            <w:vAlign w:val="center"/>
          </w:tcPr>
          <w:p w14:paraId="19CEDD01">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r>
              <w:rPr>
                <w:rFonts w:hint="default" w:ascii="Times New Roman" w:hAnsi="Times New Roman" w:cs="Times New Roman" w:eastAsiaTheme="minorEastAsia"/>
                <w:snapToGrid w:val="0"/>
                <w:color w:val="auto"/>
                <w:kern w:val="21"/>
                <w:szCs w:val="21"/>
                <w:highlight w:val="none"/>
              </w:rPr>
              <w:t>0</w:t>
            </w:r>
          </w:p>
        </w:tc>
      </w:tr>
      <w:tr w14:paraId="29254D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1025" w:type="dxa"/>
            <w:vMerge w:val="continue"/>
            <w:vAlign w:val="center"/>
          </w:tcPr>
          <w:p w14:paraId="333AD5F0">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p>
        </w:tc>
        <w:tc>
          <w:tcPr>
            <w:tcW w:w="2112" w:type="dxa"/>
            <w:vAlign w:val="center"/>
          </w:tcPr>
          <w:p w14:paraId="4CCFE3B6">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r>
              <w:rPr>
                <w:rFonts w:hint="default" w:ascii="Times New Roman" w:hAnsi="Times New Roman" w:cs="Times New Roman" w:eastAsiaTheme="minorEastAsia"/>
                <w:snapToGrid w:val="0"/>
                <w:color w:val="auto"/>
                <w:kern w:val="21"/>
                <w:szCs w:val="21"/>
                <w:highlight w:val="none"/>
              </w:rPr>
              <w:t>COD</w:t>
            </w:r>
          </w:p>
        </w:tc>
        <w:tc>
          <w:tcPr>
            <w:tcW w:w="1776" w:type="dxa"/>
            <w:vAlign w:val="center"/>
          </w:tcPr>
          <w:p w14:paraId="1CB8C016">
            <w:pPr>
              <w:spacing w:beforeLines="0" w:afterLines="0" w:line="240" w:lineRule="auto"/>
              <w:jc w:val="center"/>
              <w:rPr>
                <w:rFonts w:hint="default" w:ascii="Times New Roman" w:hAnsi="Times New Roman" w:cs="Times New Roman" w:eastAsiaTheme="minorEastAsia"/>
                <w:snapToGrid w:val="0"/>
                <w:color w:val="auto"/>
                <w:kern w:val="21"/>
                <w:szCs w:val="21"/>
                <w:highlight w:val="none"/>
              </w:rPr>
            </w:pPr>
            <w:r>
              <w:rPr>
                <w:rFonts w:hint="default" w:ascii="Times New Roman" w:hAnsi="Times New Roman" w:cs="Times New Roman" w:eastAsiaTheme="minorEastAsia"/>
                <w:snapToGrid w:val="0"/>
                <w:color w:val="auto"/>
                <w:kern w:val="21"/>
                <w:szCs w:val="21"/>
                <w:highlight w:val="none"/>
              </w:rPr>
              <w:t>0</w:t>
            </w:r>
          </w:p>
        </w:tc>
        <w:tc>
          <w:tcPr>
            <w:tcW w:w="1333" w:type="dxa"/>
            <w:vAlign w:val="center"/>
          </w:tcPr>
          <w:p w14:paraId="057D47B0">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p>
        </w:tc>
        <w:tc>
          <w:tcPr>
            <w:tcW w:w="1776" w:type="dxa"/>
            <w:vAlign w:val="center"/>
          </w:tcPr>
          <w:p w14:paraId="3A8283CB">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p>
        </w:tc>
        <w:tc>
          <w:tcPr>
            <w:tcW w:w="1629" w:type="dxa"/>
            <w:vAlign w:val="center"/>
          </w:tcPr>
          <w:p w14:paraId="35D2099A">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r>
              <w:rPr>
                <w:rFonts w:hint="default" w:ascii="Times New Roman" w:hAnsi="Times New Roman" w:cs="Times New Roman" w:eastAsiaTheme="minorEastAsia"/>
                <w:snapToGrid w:val="0"/>
                <w:color w:val="auto"/>
                <w:kern w:val="21"/>
                <w:szCs w:val="21"/>
                <w:highlight w:val="none"/>
              </w:rPr>
              <w:t>0</w:t>
            </w:r>
          </w:p>
        </w:tc>
        <w:tc>
          <w:tcPr>
            <w:tcW w:w="1605" w:type="dxa"/>
            <w:vAlign w:val="center"/>
          </w:tcPr>
          <w:p w14:paraId="18686CF1">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p>
        </w:tc>
        <w:tc>
          <w:tcPr>
            <w:tcW w:w="1701" w:type="dxa"/>
            <w:vAlign w:val="center"/>
          </w:tcPr>
          <w:p w14:paraId="01750B45">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r>
              <w:rPr>
                <w:rFonts w:hint="default" w:ascii="Times New Roman" w:hAnsi="Times New Roman" w:cs="Times New Roman" w:eastAsiaTheme="minorEastAsia"/>
                <w:snapToGrid w:val="0"/>
                <w:color w:val="auto"/>
                <w:kern w:val="21"/>
                <w:szCs w:val="21"/>
                <w:highlight w:val="none"/>
              </w:rPr>
              <w:t>0</w:t>
            </w:r>
          </w:p>
        </w:tc>
        <w:tc>
          <w:tcPr>
            <w:tcW w:w="1442" w:type="dxa"/>
            <w:vAlign w:val="center"/>
          </w:tcPr>
          <w:p w14:paraId="30678621">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r>
              <w:rPr>
                <w:rFonts w:hint="default" w:ascii="Times New Roman" w:hAnsi="Times New Roman" w:cs="Times New Roman" w:eastAsiaTheme="minorEastAsia"/>
                <w:snapToGrid w:val="0"/>
                <w:color w:val="auto"/>
                <w:kern w:val="21"/>
                <w:szCs w:val="21"/>
                <w:highlight w:val="none"/>
              </w:rPr>
              <w:t>0</w:t>
            </w:r>
          </w:p>
        </w:tc>
      </w:tr>
      <w:tr w14:paraId="73812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1025" w:type="dxa"/>
            <w:vMerge w:val="continue"/>
            <w:vAlign w:val="center"/>
          </w:tcPr>
          <w:p w14:paraId="2F2F416E">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p>
        </w:tc>
        <w:tc>
          <w:tcPr>
            <w:tcW w:w="2112" w:type="dxa"/>
            <w:vAlign w:val="center"/>
          </w:tcPr>
          <w:p w14:paraId="29289407">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r>
              <w:rPr>
                <w:rFonts w:hint="default" w:ascii="Times New Roman" w:hAnsi="Times New Roman" w:cs="Times New Roman" w:eastAsiaTheme="minorEastAsia"/>
                <w:snapToGrid w:val="0"/>
                <w:color w:val="auto"/>
                <w:kern w:val="21"/>
                <w:szCs w:val="21"/>
                <w:highlight w:val="none"/>
              </w:rPr>
              <w:t>氨氮</w:t>
            </w:r>
          </w:p>
        </w:tc>
        <w:tc>
          <w:tcPr>
            <w:tcW w:w="1776" w:type="dxa"/>
            <w:vAlign w:val="center"/>
          </w:tcPr>
          <w:p w14:paraId="17389570">
            <w:pPr>
              <w:spacing w:beforeLines="0" w:afterLines="0" w:line="240" w:lineRule="auto"/>
              <w:jc w:val="center"/>
              <w:rPr>
                <w:rFonts w:hint="default" w:ascii="Times New Roman" w:hAnsi="Times New Roman" w:cs="Times New Roman" w:eastAsiaTheme="minorEastAsia"/>
                <w:snapToGrid w:val="0"/>
                <w:color w:val="auto"/>
                <w:kern w:val="21"/>
                <w:szCs w:val="21"/>
                <w:highlight w:val="none"/>
              </w:rPr>
            </w:pPr>
            <w:r>
              <w:rPr>
                <w:rFonts w:hint="default" w:ascii="Times New Roman" w:hAnsi="Times New Roman" w:cs="Times New Roman" w:eastAsiaTheme="minorEastAsia"/>
                <w:snapToGrid w:val="0"/>
                <w:color w:val="auto"/>
                <w:kern w:val="21"/>
                <w:szCs w:val="21"/>
                <w:highlight w:val="none"/>
              </w:rPr>
              <w:t>0</w:t>
            </w:r>
          </w:p>
        </w:tc>
        <w:tc>
          <w:tcPr>
            <w:tcW w:w="1333" w:type="dxa"/>
            <w:vAlign w:val="center"/>
          </w:tcPr>
          <w:p w14:paraId="3672F273">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p>
        </w:tc>
        <w:tc>
          <w:tcPr>
            <w:tcW w:w="1776" w:type="dxa"/>
            <w:vAlign w:val="center"/>
          </w:tcPr>
          <w:p w14:paraId="2AAE7CE6">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p>
        </w:tc>
        <w:tc>
          <w:tcPr>
            <w:tcW w:w="1629" w:type="dxa"/>
            <w:vAlign w:val="center"/>
          </w:tcPr>
          <w:p w14:paraId="5C50BFB9">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r>
              <w:rPr>
                <w:rFonts w:hint="default" w:ascii="Times New Roman" w:hAnsi="Times New Roman" w:cs="Times New Roman" w:eastAsiaTheme="minorEastAsia"/>
                <w:snapToGrid w:val="0"/>
                <w:color w:val="auto"/>
                <w:kern w:val="21"/>
                <w:szCs w:val="21"/>
                <w:highlight w:val="none"/>
              </w:rPr>
              <w:t>0</w:t>
            </w:r>
          </w:p>
        </w:tc>
        <w:tc>
          <w:tcPr>
            <w:tcW w:w="1605" w:type="dxa"/>
            <w:vAlign w:val="center"/>
          </w:tcPr>
          <w:p w14:paraId="2F1F0069">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p>
        </w:tc>
        <w:tc>
          <w:tcPr>
            <w:tcW w:w="1701" w:type="dxa"/>
            <w:vAlign w:val="center"/>
          </w:tcPr>
          <w:p w14:paraId="664F3632">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r>
              <w:rPr>
                <w:rFonts w:hint="default" w:ascii="Times New Roman" w:hAnsi="Times New Roman" w:cs="Times New Roman" w:eastAsiaTheme="minorEastAsia"/>
                <w:snapToGrid w:val="0"/>
                <w:color w:val="auto"/>
                <w:kern w:val="21"/>
                <w:szCs w:val="21"/>
                <w:highlight w:val="none"/>
              </w:rPr>
              <w:t>0</w:t>
            </w:r>
          </w:p>
        </w:tc>
        <w:tc>
          <w:tcPr>
            <w:tcW w:w="1442" w:type="dxa"/>
            <w:vAlign w:val="center"/>
          </w:tcPr>
          <w:p w14:paraId="33D26EBD">
            <w:pPr>
              <w:pStyle w:val="199"/>
              <w:spacing w:beforeLines="0" w:afterLines="0" w:line="240" w:lineRule="auto"/>
              <w:rPr>
                <w:rFonts w:hint="default" w:ascii="Times New Roman" w:hAnsi="Times New Roman" w:cs="Times New Roman" w:eastAsiaTheme="minorEastAsia"/>
                <w:snapToGrid w:val="0"/>
                <w:color w:val="auto"/>
                <w:kern w:val="21"/>
                <w:szCs w:val="21"/>
                <w:highlight w:val="none"/>
              </w:rPr>
            </w:pPr>
            <w:r>
              <w:rPr>
                <w:rFonts w:hint="default" w:ascii="Times New Roman" w:hAnsi="Times New Roman" w:cs="Times New Roman" w:eastAsiaTheme="minorEastAsia"/>
                <w:snapToGrid w:val="0"/>
                <w:color w:val="auto"/>
                <w:kern w:val="21"/>
                <w:szCs w:val="21"/>
                <w:highlight w:val="none"/>
              </w:rPr>
              <w:t>0</w:t>
            </w:r>
          </w:p>
        </w:tc>
      </w:tr>
      <w:tr w14:paraId="017904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1025" w:type="dxa"/>
            <w:vMerge w:val="restart"/>
            <w:vAlign w:val="center"/>
          </w:tcPr>
          <w:p w14:paraId="4FD5F794">
            <w:pPr>
              <w:pStyle w:val="199"/>
              <w:spacing w:beforeLines="0" w:afterLines="0" w:line="240" w:lineRule="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snapToGrid w:val="0"/>
                <w:color w:val="auto"/>
                <w:kern w:val="21"/>
                <w:szCs w:val="21"/>
              </w:rPr>
              <w:t>一般工业固体废物</w:t>
            </w:r>
          </w:p>
        </w:tc>
        <w:tc>
          <w:tcPr>
            <w:tcW w:w="2112" w:type="dxa"/>
            <w:vAlign w:val="center"/>
          </w:tcPr>
          <w:p w14:paraId="5A1F55C3">
            <w:pPr>
              <w:pStyle w:val="199"/>
              <w:spacing w:beforeLines="0" w:afterLines="0" w:line="240" w:lineRule="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snapToGrid w:val="0"/>
                <w:color w:val="auto"/>
                <w:kern w:val="21"/>
                <w:szCs w:val="21"/>
              </w:rPr>
              <w:t>废包装袋</w:t>
            </w:r>
          </w:p>
        </w:tc>
        <w:tc>
          <w:tcPr>
            <w:tcW w:w="1776" w:type="dxa"/>
            <w:vAlign w:val="center"/>
          </w:tcPr>
          <w:p w14:paraId="6FB28066">
            <w:pPr>
              <w:pStyle w:val="199"/>
              <w:spacing w:beforeLines="0" w:afterLines="0" w:line="240" w:lineRule="auto"/>
              <w:rPr>
                <w:rFonts w:hint="default" w:ascii="Times New Roman" w:hAnsi="Times New Roman" w:cs="Times New Roman" w:eastAsiaTheme="minorEastAsia"/>
                <w:snapToGrid w:val="0"/>
                <w:color w:val="auto"/>
                <w:kern w:val="21"/>
                <w:szCs w:val="21"/>
                <w:lang w:val="en-US" w:eastAsia="zh-CN"/>
              </w:rPr>
            </w:pPr>
            <w:r>
              <w:rPr>
                <w:rFonts w:hint="eastAsia" w:ascii="Times New Roman" w:cs="Times New Roman" w:eastAsiaTheme="minorEastAsia"/>
                <w:snapToGrid w:val="0"/>
                <w:color w:val="auto"/>
                <w:kern w:val="21"/>
                <w:szCs w:val="21"/>
                <w:lang w:val="en-US" w:eastAsia="zh-CN"/>
              </w:rPr>
              <w:t>0.5</w:t>
            </w:r>
          </w:p>
        </w:tc>
        <w:tc>
          <w:tcPr>
            <w:tcW w:w="1333" w:type="dxa"/>
            <w:vAlign w:val="center"/>
          </w:tcPr>
          <w:p w14:paraId="4E027507">
            <w:pPr>
              <w:pStyle w:val="199"/>
              <w:spacing w:beforeLines="0" w:afterLines="0" w:line="240" w:lineRule="auto"/>
              <w:rPr>
                <w:rFonts w:hint="default" w:ascii="Times New Roman" w:hAnsi="Times New Roman" w:cs="Times New Roman" w:eastAsiaTheme="minorEastAsia"/>
                <w:snapToGrid w:val="0"/>
                <w:color w:val="auto"/>
                <w:kern w:val="21"/>
                <w:szCs w:val="21"/>
              </w:rPr>
            </w:pPr>
          </w:p>
        </w:tc>
        <w:tc>
          <w:tcPr>
            <w:tcW w:w="1776" w:type="dxa"/>
            <w:vAlign w:val="center"/>
          </w:tcPr>
          <w:p w14:paraId="7BBBB015">
            <w:pPr>
              <w:pStyle w:val="199"/>
              <w:spacing w:beforeLines="0" w:afterLines="0" w:line="240" w:lineRule="auto"/>
              <w:rPr>
                <w:rFonts w:hint="default" w:ascii="Times New Roman" w:hAnsi="Times New Roman" w:cs="Times New Roman" w:eastAsiaTheme="minorEastAsia"/>
                <w:snapToGrid w:val="0"/>
                <w:color w:val="auto"/>
                <w:kern w:val="21"/>
                <w:szCs w:val="21"/>
              </w:rPr>
            </w:pPr>
          </w:p>
        </w:tc>
        <w:tc>
          <w:tcPr>
            <w:tcW w:w="1629" w:type="dxa"/>
            <w:vAlign w:val="center"/>
          </w:tcPr>
          <w:p w14:paraId="29306CE4">
            <w:pPr>
              <w:pStyle w:val="199"/>
              <w:spacing w:beforeLines="0" w:afterLines="0" w:line="240" w:lineRule="auto"/>
              <w:rPr>
                <w:rFonts w:hint="default" w:ascii="Times New Roman" w:hAnsi="Times New Roman" w:cs="Times New Roman" w:eastAsiaTheme="minorEastAsia"/>
                <w:snapToGrid w:val="0"/>
                <w:color w:val="auto"/>
                <w:kern w:val="21"/>
                <w:szCs w:val="21"/>
                <w:lang w:val="en-US" w:eastAsia="zh-CN"/>
              </w:rPr>
            </w:pPr>
            <w:r>
              <w:rPr>
                <w:rFonts w:hint="eastAsia" w:ascii="Times New Roman" w:cs="Times New Roman" w:eastAsiaTheme="minorEastAsia"/>
                <w:snapToGrid w:val="0"/>
                <w:color w:val="auto"/>
                <w:kern w:val="21"/>
                <w:szCs w:val="21"/>
                <w:lang w:val="en-US" w:eastAsia="zh-CN"/>
              </w:rPr>
              <w:t>0.75</w:t>
            </w:r>
          </w:p>
        </w:tc>
        <w:tc>
          <w:tcPr>
            <w:tcW w:w="1605" w:type="dxa"/>
            <w:vAlign w:val="center"/>
          </w:tcPr>
          <w:p w14:paraId="60026FF8">
            <w:pPr>
              <w:pStyle w:val="199"/>
              <w:spacing w:beforeLines="0" w:afterLines="0" w:line="240" w:lineRule="auto"/>
              <w:rPr>
                <w:rFonts w:hint="default" w:ascii="Times New Roman" w:hAnsi="Times New Roman" w:cs="Times New Roman" w:eastAsiaTheme="minorEastAsia"/>
                <w:snapToGrid w:val="0"/>
                <w:color w:val="auto"/>
                <w:kern w:val="21"/>
                <w:szCs w:val="21"/>
              </w:rPr>
            </w:pPr>
          </w:p>
        </w:tc>
        <w:tc>
          <w:tcPr>
            <w:tcW w:w="1701" w:type="dxa"/>
            <w:vAlign w:val="center"/>
          </w:tcPr>
          <w:p w14:paraId="0A99AD8E">
            <w:pPr>
              <w:adjustRightInd w:val="0"/>
              <w:snapToGrid w:val="0"/>
              <w:jc w:val="center"/>
              <w:rPr>
                <w:rFonts w:hint="default" w:ascii="Times New Roman" w:hAnsi="Times New Roman" w:cs="Times New Roman" w:eastAsiaTheme="minorEastAsia"/>
                <w:color w:val="auto"/>
                <w:szCs w:val="21"/>
                <w:lang w:val="en-US" w:eastAsia="zh-CN"/>
              </w:rPr>
            </w:pPr>
            <w:r>
              <w:rPr>
                <w:rFonts w:hint="eastAsia" w:cs="Times New Roman" w:eastAsiaTheme="minorEastAsia"/>
                <w:snapToGrid w:val="0"/>
                <w:color w:val="auto"/>
                <w:kern w:val="21"/>
                <w:szCs w:val="21"/>
                <w:lang w:val="en-US" w:eastAsia="zh-CN"/>
              </w:rPr>
              <w:t>1.25</w:t>
            </w:r>
          </w:p>
        </w:tc>
        <w:tc>
          <w:tcPr>
            <w:tcW w:w="1442" w:type="dxa"/>
            <w:vAlign w:val="center"/>
          </w:tcPr>
          <w:p w14:paraId="518E6BBA">
            <w:pPr>
              <w:adjustRightInd w:val="0"/>
              <w:snapToGrid w:val="0"/>
              <w:jc w:val="center"/>
              <w:rPr>
                <w:rFonts w:hint="default" w:ascii="Times New Roman" w:hAnsi="Times New Roman" w:cs="Times New Roman" w:eastAsiaTheme="minorEastAsia"/>
                <w:color w:val="auto"/>
                <w:szCs w:val="21"/>
                <w:lang w:val="en-US"/>
              </w:rPr>
            </w:pPr>
            <w:r>
              <w:rPr>
                <w:rFonts w:hint="default" w:ascii="Times New Roman" w:hAnsi="Times New Roman" w:cs="Times New Roman" w:eastAsiaTheme="minorEastAsia"/>
                <w:snapToGrid w:val="0"/>
                <w:color w:val="auto"/>
                <w:kern w:val="21"/>
                <w:szCs w:val="21"/>
                <w:lang w:val="en-US" w:eastAsia="zh-CN"/>
              </w:rPr>
              <w:t>0</w:t>
            </w:r>
            <w:r>
              <w:rPr>
                <w:rFonts w:hint="eastAsia" w:cs="Times New Roman" w:eastAsiaTheme="minorEastAsia"/>
                <w:snapToGrid w:val="0"/>
                <w:color w:val="auto"/>
                <w:kern w:val="21"/>
                <w:szCs w:val="21"/>
                <w:lang w:val="en-US" w:eastAsia="zh-CN"/>
              </w:rPr>
              <w:t>.75</w:t>
            </w:r>
          </w:p>
        </w:tc>
      </w:tr>
      <w:tr w14:paraId="2EC2B2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025" w:type="dxa"/>
            <w:vAlign w:val="center"/>
          </w:tcPr>
          <w:p w14:paraId="78D06B0E">
            <w:pPr>
              <w:pStyle w:val="199"/>
              <w:spacing w:beforeLines="0" w:afterLines="0" w:line="240" w:lineRule="auto"/>
              <w:rPr>
                <w:rFonts w:hint="default" w:ascii="Times New Roman" w:hAnsi="Times New Roman" w:cs="Times New Roman" w:eastAsiaTheme="minorEastAsia"/>
                <w:snapToGrid w:val="0"/>
                <w:color w:val="auto"/>
                <w:kern w:val="21"/>
                <w:szCs w:val="21"/>
                <w:lang w:val="en-US" w:eastAsia="zh-CN"/>
              </w:rPr>
            </w:pPr>
            <w:r>
              <w:rPr>
                <w:rFonts w:hint="default" w:ascii="Times New Roman" w:hAnsi="Times New Roman" w:cs="Times New Roman" w:eastAsiaTheme="minorEastAsia"/>
                <w:snapToGrid w:val="0"/>
                <w:color w:val="auto"/>
                <w:kern w:val="21"/>
                <w:szCs w:val="21"/>
                <w:lang w:val="en-US" w:eastAsia="zh-CN"/>
              </w:rPr>
              <w:t>危险废物</w:t>
            </w:r>
          </w:p>
        </w:tc>
        <w:tc>
          <w:tcPr>
            <w:tcW w:w="2112" w:type="dxa"/>
            <w:vAlign w:val="center"/>
          </w:tcPr>
          <w:p w14:paraId="186EB26C">
            <w:pPr>
              <w:pStyle w:val="199"/>
              <w:spacing w:beforeLines="0" w:afterLines="0" w:line="240" w:lineRule="auto"/>
              <w:rPr>
                <w:rFonts w:hint="eastAsia" w:ascii="Times New Roman" w:hAnsi="Times New Roman" w:cs="Times New Roman" w:eastAsiaTheme="minorEastAsia"/>
                <w:snapToGrid w:val="0"/>
                <w:color w:val="auto"/>
                <w:kern w:val="21"/>
                <w:sz w:val="21"/>
                <w:szCs w:val="21"/>
                <w:lang w:val="en-US" w:eastAsia="zh-CN" w:bidi="ar-SA"/>
              </w:rPr>
            </w:pPr>
            <w:r>
              <w:rPr>
                <w:rFonts w:hint="eastAsia" w:ascii="Times New Roman" w:cs="Times New Roman" w:eastAsiaTheme="minorEastAsia"/>
                <w:color w:val="auto"/>
                <w:lang w:val="en-US" w:eastAsia="zh-CN"/>
              </w:rPr>
              <w:t>废活性炭</w:t>
            </w:r>
          </w:p>
        </w:tc>
        <w:tc>
          <w:tcPr>
            <w:tcW w:w="1776" w:type="dxa"/>
            <w:vAlign w:val="center"/>
          </w:tcPr>
          <w:p w14:paraId="1319AD84">
            <w:pPr>
              <w:pStyle w:val="199"/>
              <w:spacing w:beforeLines="0" w:afterLines="0" w:line="240" w:lineRule="auto"/>
              <w:rPr>
                <w:rFonts w:hint="default" w:ascii="Times New Roman" w:hAnsi="Times New Roman" w:cs="Times New Roman" w:eastAsiaTheme="minorEastAsia"/>
                <w:snapToGrid w:val="0"/>
                <w:color w:val="auto"/>
                <w:kern w:val="21"/>
                <w:sz w:val="21"/>
                <w:szCs w:val="21"/>
                <w:lang w:val="en-US" w:eastAsia="zh-CN" w:bidi="ar-SA"/>
              </w:rPr>
            </w:pPr>
            <w:r>
              <w:rPr>
                <w:rFonts w:hint="eastAsia" w:ascii="Times New Roman" w:cs="Times New Roman" w:eastAsiaTheme="minorEastAsia"/>
                <w:snapToGrid w:val="0"/>
                <w:color w:val="auto"/>
                <w:kern w:val="21"/>
                <w:szCs w:val="21"/>
                <w:lang w:val="en-US" w:eastAsia="zh-CN"/>
              </w:rPr>
              <w:t>2.5</w:t>
            </w:r>
          </w:p>
        </w:tc>
        <w:tc>
          <w:tcPr>
            <w:tcW w:w="1333" w:type="dxa"/>
            <w:vAlign w:val="center"/>
          </w:tcPr>
          <w:p w14:paraId="23B86737">
            <w:pPr>
              <w:pStyle w:val="199"/>
              <w:spacing w:beforeLines="0" w:afterLines="0" w:line="240" w:lineRule="auto"/>
              <w:rPr>
                <w:rFonts w:hint="default" w:ascii="Times New Roman" w:hAnsi="Times New Roman" w:cs="Times New Roman" w:eastAsiaTheme="minorEastAsia"/>
                <w:snapToGrid w:val="0"/>
                <w:color w:val="auto"/>
                <w:kern w:val="21"/>
                <w:szCs w:val="21"/>
              </w:rPr>
            </w:pPr>
          </w:p>
        </w:tc>
        <w:tc>
          <w:tcPr>
            <w:tcW w:w="1776" w:type="dxa"/>
            <w:vAlign w:val="center"/>
          </w:tcPr>
          <w:p w14:paraId="503B3C4D">
            <w:pPr>
              <w:pStyle w:val="199"/>
              <w:spacing w:beforeLines="0" w:afterLines="0" w:line="240" w:lineRule="auto"/>
              <w:rPr>
                <w:rFonts w:hint="default" w:ascii="Times New Roman" w:hAnsi="Times New Roman" w:cs="Times New Roman" w:eastAsiaTheme="minorEastAsia"/>
                <w:snapToGrid w:val="0"/>
                <w:color w:val="auto"/>
                <w:kern w:val="21"/>
                <w:szCs w:val="21"/>
              </w:rPr>
            </w:pPr>
          </w:p>
        </w:tc>
        <w:tc>
          <w:tcPr>
            <w:tcW w:w="1629" w:type="dxa"/>
            <w:vAlign w:val="center"/>
          </w:tcPr>
          <w:p w14:paraId="6DDF7909">
            <w:pPr>
              <w:pStyle w:val="199"/>
              <w:spacing w:beforeLines="0" w:afterLines="0" w:line="240" w:lineRule="auto"/>
              <w:rPr>
                <w:rFonts w:hint="default" w:ascii="Times New Roman" w:hAnsi="Times New Roman" w:cs="Times New Roman" w:eastAsiaTheme="minorEastAsia"/>
                <w:snapToGrid w:val="0"/>
                <w:color w:val="auto"/>
                <w:kern w:val="21"/>
                <w:szCs w:val="21"/>
                <w:lang w:val="en-US" w:eastAsia="zh-CN"/>
              </w:rPr>
            </w:pPr>
            <w:r>
              <w:rPr>
                <w:rFonts w:hint="default" w:ascii="Times New Roman" w:hAnsi="Times New Roman" w:cs="Times New Roman" w:eastAsiaTheme="minorEastAsia"/>
                <w:snapToGrid w:val="0"/>
                <w:color w:val="auto"/>
                <w:kern w:val="21"/>
                <w:szCs w:val="21"/>
                <w:lang w:val="en-US" w:eastAsia="zh-CN"/>
              </w:rPr>
              <w:t>0</w:t>
            </w:r>
          </w:p>
        </w:tc>
        <w:tc>
          <w:tcPr>
            <w:tcW w:w="1605" w:type="dxa"/>
            <w:vAlign w:val="center"/>
          </w:tcPr>
          <w:p w14:paraId="6294B64D">
            <w:pPr>
              <w:pStyle w:val="199"/>
              <w:spacing w:beforeLines="0" w:afterLines="0" w:line="240" w:lineRule="auto"/>
              <w:rPr>
                <w:rFonts w:hint="default" w:ascii="Times New Roman" w:hAnsi="Times New Roman" w:cs="Times New Roman" w:eastAsiaTheme="minorEastAsia"/>
                <w:snapToGrid w:val="0"/>
                <w:color w:val="auto"/>
                <w:kern w:val="21"/>
                <w:szCs w:val="21"/>
              </w:rPr>
            </w:pPr>
          </w:p>
        </w:tc>
        <w:tc>
          <w:tcPr>
            <w:tcW w:w="1701" w:type="dxa"/>
            <w:vAlign w:val="center"/>
          </w:tcPr>
          <w:p w14:paraId="22C08E27">
            <w:pPr>
              <w:adjustRightInd w:val="0"/>
              <w:snapToGrid w:val="0"/>
              <w:jc w:val="center"/>
              <w:rPr>
                <w:rFonts w:hint="default" w:ascii="Times New Roman" w:hAnsi="Times New Roman" w:cs="Times New Roman" w:eastAsiaTheme="minorEastAsia"/>
                <w:snapToGrid w:val="0"/>
                <w:color w:val="auto"/>
                <w:kern w:val="21"/>
                <w:szCs w:val="21"/>
                <w:lang w:val="en-US" w:eastAsia="zh-CN"/>
              </w:rPr>
            </w:pPr>
            <w:r>
              <w:rPr>
                <w:rFonts w:hint="eastAsia" w:cs="Times New Roman" w:eastAsiaTheme="minorEastAsia"/>
                <w:snapToGrid w:val="0"/>
                <w:color w:val="auto"/>
                <w:kern w:val="21"/>
                <w:szCs w:val="21"/>
                <w:lang w:val="en-US" w:eastAsia="zh-CN"/>
              </w:rPr>
              <w:t>2.5</w:t>
            </w:r>
          </w:p>
        </w:tc>
        <w:tc>
          <w:tcPr>
            <w:tcW w:w="1442" w:type="dxa"/>
            <w:vAlign w:val="center"/>
          </w:tcPr>
          <w:p w14:paraId="06E76C3B">
            <w:pPr>
              <w:adjustRightInd w:val="0"/>
              <w:snapToGrid w:val="0"/>
              <w:jc w:val="center"/>
              <w:rPr>
                <w:rFonts w:hint="default" w:ascii="Times New Roman" w:hAnsi="Times New Roman" w:cs="Times New Roman" w:eastAsiaTheme="minorEastAsia"/>
                <w:snapToGrid w:val="0"/>
                <w:color w:val="auto"/>
                <w:kern w:val="21"/>
                <w:szCs w:val="21"/>
                <w:lang w:val="en-US" w:eastAsia="zh-CN"/>
              </w:rPr>
            </w:pPr>
            <w:r>
              <w:rPr>
                <w:rFonts w:hint="default" w:ascii="Times New Roman" w:hAnsi="Times New Roman" w:cs="Times New Roman" w:eastAsiaTheme="minorEastAsia"/>
                <w:snapToGrid w:val="0"/>
                <w:color w:val="auto"/>
                <w:kern w:val="21"/>
                <w:szCs w:val="21"/>
                <w:lang w:val="en-US" w:eastAsia="zh-CN"/>
              </w:rPr>
              <w:t>0</w:t>
            </w:r>
          </w:p>
        </w:tc>
      </w:tr>
      <w:tr w14:paraId="21BBF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025" w:type="dxa"/>
            <w:vAlign w:val="center"/>
          </w:tcPr>
          <w:p w14:paraId="5F061C6A">
            <w:pPr>
              <w:pStyle w:val="199"/>
              <w:spacing w:beforeLines="0" w:afterLines="0" w:line="240" w:lineRule="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snapToGrid w:val="0"/>
                <w:color w:val="auto"/>
                <w:kern w:val="21"/>
                <w:szCs w:val="21"/>
              </w:rPr>
              <w:t>生活垃圾</w:t>
            </w:r>
          </w:p>
        </w:tc>
        <w:tc>
          <w:tcPr>
            <w:tcW w:w="2112" w:type="dxa"/>
            <w:vAlign w:val="center"/>
          </w:tcPr>
          <w:p w14:paraId="184294E3">
            <w:pPr>
              <w:pStyle w:val="199"/>
              <w:spacing w:beforeLines="0" w:afterLines="0" w:line="240" w:lineRule="auto"/>
              <w:rPr>
                <w:rFonts w:hint="default" w:ascii="Times New Roman" w:hAnsi="Times New Roman" w:cs="Times New Roman" w:eastAsiaTheme="minorEastAsia"/>
                <w:snapToGrid w:val="0"/>
                <w:color w:val="auto"/>
                <w:kern w:val="21"/>
                <w:szCs w:val="21"/>
              </w:rPr>
            </w:pPr>
            <w:r>
              <w:rPr>
                <w:rFonts w:hint="default" w:ascii="Times New Roman" w:hAnsi="Times New Roman" w:cs="Times New Roman" w:eastAsiaTheme="minorEastAsia"/>
                <w:snapToGrid w:val="0"/>
                <w:color w:val="auto"/>
                <w:kern w:val="21"/>
                <w:szCs w:val="21"/>
              </w:rPr>
              <w:t>生活垃圾</w:t>
            </w:r>
          </w:p>
        </w:tc>
        <w:tc>
          <w:tcPr>
            <w:tcW w:w="1776" w:type="dxa"/>
            <w:vAlign w:val="center"/>
          </w:tcPr>
          <w:p w14:paraId="42A0D25B">
            <w:pPr>
              <w:pStyle w:val="199"/>
              <w:spacing w:beforeLines="0" w:afterLines="0" w:line="240" w:lineRule="auto"/>
              <w:rPr>
                <w:rFonts w:hint="default" w:ascii="Times New Roman" w:hAnsi="Times New Roman" w:cs="Times New Roman" w:eastAsiaTheme="minorEastAsia"/>
                <w:snapToGrid w:val="0"/>
                <w:color w:val="auto"/>
                <w:kern w:val="21"/>
                <w:szCs w:val="21"/>
                <w:lang w:val="en-US" w:eastAsia="zh-CN"/>
              </w:rPr>
            </w:pPr>
            <w:r>
              <w:rPr>
                <w:rFonts w:hint="eastAsia" w:ascii="Times New Roman" w:cs="Times New Roman" w:eastAsiaTheme="minorEastAsia"/>
                <w:snapToGrid w:val="0"/>
                <w:color w:val="auto"/>
                <w:kern w:val="21"/>
                <w:szCs w:val="21"/>
                <w:lang w:val="en-US" w:eastAsia="zh-CN"/>
              </w:rPr>
              <w:t>3</w:t>
            </w:r>
          </w:p>
        </w:tc>
        <w:tc>
          <w:tcPr>
            <w:tcW w:w="1333" w:type="dxa"/>
            <w:vAlign w:val="center"/>
          </w:tcPr>
          <w:p w14:paraId="0CAD152C">
            <w:pPr>
              <w:pStyle w:val="199"/>
              <w:spacing w:beforeLines="0" w:afterLines="0" w:line="240" w:lineRule="auto"/>
              <w:rPr>
                <w:rFonts w:hint="default" w:ascii="Times New Roman" w:hAnsi="Times New Roman" w:cs="Times New Roman" w:eastAsiaTheme="minorEastAsia"/>
                <w:snapToGrid w:val="0"/>
                <w:color w:val="auto"/>
                <w:kern w:val="21"/>
                <w:szCs w:val="21"/>
              </w:rPr>
            </w:pPr>
          </w:p>
        </w:tc>
        <w:tc>
          <w:tcPr>
            <w:tcW w:w="1776" w:type="dxa"/>
            <w:vAlign w:val="center"/>
          </w:tcPr>
          <w:p w14:paraId="048B3DE7">
            <w:pPr>
              <w:pStyle w:val="199"/>
              <w:spacing w:beforeLines="0" w:afterLines="0" w:line="240" w:lineRule="auto"/>
              <w:rPr>
                <w:rFonts w:hint="default" w:ascii="Times New Roman" w:hAnsi="Times New Roman" w:cs="Times New Roman" w:eastAsiaTheme="minorEastAsia"/>
                <w:snapToGrid w:val="0"/>
                <w:color w:val="auto"/>
                <w:kern w:val="21"/>
                <w:szCs w:val="21"/>
              </w:rPr>
            </w:pPr>
          </w:p>
        </w:tc>
        <w:tc>
          <w:tcPr>
            <w:tcW w:w="1629" w:type="dxa"/>
            <w:vAlign w:val="center"/>
          </w:tcPr>
          <w:p w14:paraId="522551C3">
            <w:pPr>
              <w:pStyle w:val="199"/>
              <w:spacing w:beforeLines="0" w:afterLines="0" w:line="240" w:lineRule="auto"/>
              <w:rPr>
                <w:rFonts w:hint="default" w:ascii="Times New Roman" w:hAnsi="Times New Roman" w:cs="Times New Roman" w:eastAsiaTheme="minorEastAsia"/>
                <w:snapToGrid w:val="0"/>
                <w:color w:val="auto"/>
                <w:kern w:val="21"/>
                <w:szCs w:val="21"/>
                <w:lang w:val="en-US" w:eastAsia="zh-CN"/>
              </w:rPr>
            </w:pPr>
            <w:r>
              <w:rPr>
                <w:rFonts w:hint="eastAsia" w:ascii="Times New Roman" w:cs="Times New Roman" w:eastAsiaTheme="minorEastAsia"/>
                <w:snapToGrid w:val="0"/>
                <w:color w:val="auto"/>
                <w:kern w:val="21"/>
                <w:szCs w:val="21"/>
                <w:lang w:val="en-US" w:eastAsia="zh-CN"/>
              </w:rPr>
              <w:t>2.4</w:t>
            </w:r>
          </w:p>
        </w:tc>
        <w:tc>
          <w:tcPr>
            <w:tcW w:w="1605" w:type="dxa"/>
            <w:vAlign w:val="center"/>
          </w:tcPr>
          <w:p w14:paraId="2E7A2CB8">
            <w:pPr>
              <w:pStyle w:val="199"/>
              <w:spacing w:beforeLines="0" w:afterLines="0" w:line="240" w:lineRule="auto"/>
              <w:rPr>
                <w:rFonts w:hint="default" w:ascii="Times New Roman" w:hAnsi="Times New Roman" w:cs="Times New Roman" w:eastAsiaTheme="minorEastAsia"/>
                <w:snapToGrid w:val="0"/>
                <w:color w:val="auto"/>
                <w:kern w:val="21"/>
                <w:szCs w:val="21"/>
              </w:rPr>
            </w:pPr>
          </w:p>
        </w:tc>
        <w:tc>
          <w:tcPr>
            <w:tcW w:w="1701" w:type="dxa"/>
            <w:vAlign w:val="center"/>
          </w:tcPr>
          <w:p w14:paraId="0A3E99CF">
            <w:pPr>
              <w:adjustRightInd w:val="0"/>
              <w:snapToGrid w:val="0"/>
              <w:jc w:val="center"/>
              <w:rPr>
                <w:rFonts w:hint="default" w:ascii="Times New Roman" w:hAnsi="Times New Roman" w:cs="Times New Roman" w:eastAsiaTheme="minorEastAsia"/>
                <w:color w:val="auto"/>
                <w:szCs w:val="21"/>
                <w:lang w:val="en-US" w:eastAsia="zh-CN"/>
              </w:rPr>
            </w:pPr>
            <w:r>
              <w:rPr>
                <w:rFonts w:hint="eastAsia" w:cs="Times New Roman" w:eastAsiaTheme="minorEastAsia"/>
                <w:snapToGrid w:val="0"/>
                <w:color w:val="auto"/>
                <w:kern w:val="21"/>
                <w:szCs w:val="21"/>
                <w:lang w:val="en-US" w:eastAsia="zh-CN"/>
              </w:rPr>
              <w:t>5.4</w:t>
            </w:r>
          </w:p>
        </w:tc>
        <w:tc>
          <w:tcPr>
            <w:tcW w:w="1442" w:type="dxa"/>
            <w:vAlign w:val="center"/>
          </w:tcPr>
          <w:p w14:paraId="5296D02F">
            <w:pPr>
              <w:adjustRightInd w:val="0"/>
              <w:snapToGrid w:val="0"/>
              <w:jc w:val="center"/>
              <w:rPr>
                <w:rFonts w:hint="default" w:ascii="Times New Roman" w:hAnsi="Times New Roman" w:cs="Times New Roman" w:eastAsiaTheme="minorEastAsia"/>
                <w:color w:val="auto"/>
                <w:szCs w:val="21"/>
                <w:lang w:val="en-US" w:eastAsia="zh-CN"/>
              </w:rPr>
            </w:pPr>
            <w:r>
              <w:rPr>
                <w:rFonts w:hint="eastAsia" w:cs="Times New Roman" w:eastAsiaTheme="minorEastAsia"/>
                <w:snapToGrid w:val="0"/>
                <w:color w:val="auto"/>
                <w:kern w:val="21"/>
                <w:szCs w:val="21"/>
                <w:lang w:val="en-US" w:eastAsia="zh-CN"/>
              </w:rPr>
              <w:t>2.4</w:t>
            </w:r>
          </w:p>
        </w:tc>
      </w:tr>
    </w:tbl>
    <w:p w14:paraId="773B5C5D">
      <w:pPr>
        <w:pStyle w:val="199"/>
        <w:spacing w:beforeLines="0" w:afterLines="0" w:line="240" w:lineRule="auto"/>
        <w:jc w:val="left"/>
        <w:rPr>
          <w:rFonts w:hint="default" w:ascii="Times New Roman" w:hAnsi="Times New Roman" w:cs="Times New Roman"/>
          <w:color w:val="auto"/>
          <w:highlight w:val="yellow"/>
          <w:lang w:eastAsia="zh-TW"/>
        </w:rPr>
      </w:pPr>
      <w:r>
        <w:rPr>
          <w:rFonts w:hint="default" w:ascii="Times New Roman" w:hAnsi="Times New Roman" w:cs="Times New Roman"/>
          <w:snapToGrid w:val="0"/>
          <w:color w:val="auto"/>
          <w:kern w:val="21"/>
          <w:szCs w:val="21"/>
        </w:rPr>
        <w:t>注：</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⑥</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①</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3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③</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4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④</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5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⑤</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7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⑦</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⑥</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①</w:t>
      </w:r>
      <w:r>
        <w:rPr>
          <w:rFonts w:hint="default" w:ascii="Times New Roman" w:hAnsi="Times New Roman" w:cs="Times New Roman"/>
          <w:snapToGrid w:val="0"/>
          <w:color w:val="auto"/>
          <w:spacing w:val="-6"/>
          <w:kern w:val="21"/>
          <w:szCs w:val="21"/>
        </w:rPr>
        <w:fldChar w:fldCharType="end"/>
      </w:r>
    </w:p>
    <w:sectPr>
      <w:footerReference r:id="rId4" w:type="default"/>
      <w:pgSz w:w="16838" w:h="11906" w:orient="landscape"/>
      <w:pgMar w:top="1417" w:right="1247" w:bottom="141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TimesNewRomanPS-ItalicMT">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宋体-方正超大字符集">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汉鼎简书宋">
    <w:altName w:val="宋体"/>
    <w:panose1 w:val="00000000000000000000"/>
    <w:charset w:val="86"/>
    <w:family w:val="modern"/>
    <w:pitch w:val="default"/>
    <w:sig w:usb0="00000000" w:usb1="00000000" w:usb2="00000010" w:usb3="00000000" w:csb0="00040000" w:csb1="00000000"/>
  </w:font>
  <w:font w:name="Sim Sun+ 2">
    <w:altName w:val="宋体"/>
    <w:panose1 w:val="00000000000000000000"/>
    <w:charset w:val="86"/>
    <w:family w:val="swiss"/>
    <w:pitch w:val="default"/>
    <w:sig w:usb0="00000000" w:usb1="00000000" w:usb2="00000010" w:usb3="00000000" w:csb0="00040000" w:csb1="00000000"/>
  </w:font>
  <w:font w:name="Courier">
    <w:altName w:val="Courier New"/>
    <w:panose1 w:val="02060409020205020404"/>
    <w:charset w:val="00"/>
    <w:family w:val="modern"/>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方正宋三简体">
    <w:altName w:val="宋体"/>
    <w:panose1 w:val="00000000000000000000"/>
    <w:charset w:val="86"/>
    <w:family w:val="auto"/>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Fang Song">
    <w:altName w:val="黑体"/>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2811341"/>
    </w:sdtPr>
    <w:sdtContent>
      <w:p w14:paraId="73B4884A">
        <w:pPr>
          <w:pStyle w:val="54"/>
          <w:ind w:left="980" w:hanging="560"/>
          <w:jc w:val="center"/>
        </w:pPr>
        <w:r>
          <w:fldChar w:fldCharType="begin"/>
        </w:r>
        <w:r>
          <w:instrText xml:space="preserve">PAGE   \* MERGEFORMAT</w:instrText>
        </w:r>
        <w:r>
          <w:fldChar w:fldCharType="separate"/>
        </w:r>
        <w:r>
          <w:rPr>
            <w:lang w:val="zh-CN"/>
          </w:rPr>
          <w:t>2</w:t>
        </w:r>
        <w:r>
          <w:fldChar w:fldCharType="end"/>
        </w:r>
      </w:p>
    </w:sdtContent>
  </w:sdt>
  <w:p w14:paraId="7D7EA79A">
    <w:pPr>
      <w:pStyle w:val="5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9120551"/>
      <w:docPartObj>
        <w:docPartGallery w:val="autotext"/>
      </w:docPartObj>
    </w:sdtPr>
    <w:sdtContent>
      <w:p w14:paraId="323F285C">
        <w:pPr>
          <w:pStyle w:val="54"/>
          <w:ind w:left="980" w:hanging="560"/>
          <w:jc w:val="center"/>
        </w:pPr>
        <w:r>
          <w:fldChar w:fldCharType="begin"/>
        </w:r>
        <w:r>
          <w:instrText xml:space="preserve">PAGE   \* MERGEFORMAT</w:instrText>
        </w:r>
        <w:r>
          <w:fldChar w:fldCharType="separate"/>
        </w:r>
        <w:r>
          <w:rPr>
            <w:lang w:val="zh-CN"/>
          </w:rPr>
          <w:t>2</w:t>
        </w:r>
        <w:r>
          <w:fldChar w:fldCharType="end"/>
        </w:r>
      </w:p>
    </w:sdtContent>
  </w:sdt>
  <w:p w14:paraId="6F40C4BE">
    <w:pPr>
      <w:pStyle w:val="5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23"/>
      <w:lvlText w:val="%1."/>
      <w:lvlJc w:val="left"/>
      <w:pPr>
        <w:tabs>
          <w:tab w:val="left" w:pos="780"/>
        </w:tabs>
        <w:ind w:left="780" w:hanging="360"/>
      </w:pPr>
      <w:rPr>
        <w:rFonts w:cs="Times New Roman"/>
      </w:rPr>
    </w:lvl>
  </w:abstractNum>
  <w:abstractNum w:abstractNumId="1">
    <w:nsid w:val="00000001"/>
    <w:multiLevelType w:val="multilevel"/>
    <w:tmpl w:val="00000001"/>
    <w:lvl w:ilvl="0" w:tentative="0">
      <w:start w:val="1"/>
      <w:numFmt w:val="decimalEnclosedCircle"/>
      <w:pStyle w:val="323"/>
      <w:lvlText w:val="%1"/>
      <w:lvlJc w:val="left"/>
      <w:pPr>
        <w:ind w:left="360" w:hanging="360"/>
      </w:pPr>
      <w:rPr>
        <w:rFonts w:hint="default" w:asci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0000005"/>
    <w:multiLevelType w:val="multilevel"/>
    <w:tmpl w:val="00000005"/>
    <w:lvl w:ilvl="0" w:tentative="0">
      <w:start w:val="1"/>
      <w:numFmt w:val="decimalEnclosedCircle"/>
      <w:pStyle w:val="1149"/>
      <w:lvlText w:val="%1"/>
      <w:lvlJc w:val="left"/>
      <w:pPr>
        <w:ind w:left="360" w:hanging="360"/>
      </w:pPr>
      <w:rPr>
        <w:rFonts w:hint="default" w:asci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0000016"/>
    <w:multiLevelType w:val="multilevel"/>
    <w:tmpl w:val="00000016"/>
    <w:lvl w:ilvl="0" w:tentative="0">
      <w:start w:val="1"/>
      <w:numFmt w:val="decimal"/>
      <w:pStyle w:val="868"/>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1D31CB4"/>
    <w:multiLevelType w:val="multilevel"/>
    <w:tmpl w:val="01D31CB4"/>
    <w:lvl w:ilvl="0" w:tentative="0">
      <w:start w:val="1"/>
      <w:numFmt w:val="decimal"/>
      <w:pStyle w:val="1191"/>
      <w:lvlText w:val="表7.2 -%1"/>
      <w:lvlJc w:val="center"/>
      <w:pPr>
        <w:tabs>
          <w:tab w:val="left" w:pos="726"/>
        </w:tabs>
        <w:ind w:left="2" w:firstLine="4"/>
      </w:pPr>
      <w:rPr>
        <w:rFonts w:hint="default" w:ascii="Times New Roman" w:hAnsi="Times New Roman" w:cs="Times New Roman"/>
        <w:b/>
        <w:i w:val="0"/>
        <w:sz w:val="24"/>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2E7176C"/>
    <w:multiLevelType w:val="singleLevel"/>
    <w:tmpl w:val="02E7176C"/>
    <w:lvl w:ilvl="0" w:tentative="0">
      <w:start w:val="1"/>
      <w:numFmt w:val="bullet"/>
      <w:pStyle w:val="1082"/>
      <w:lvlText w:val=""/>
      <w:lvlJc w:val="left"/>
      <w:pPr>
        <w:tabs>
          <w:tab w:val="left" w:pos="504"/>
        </w:tabs>
        <w:ind w:left="72" w:firstLine="72"/>
      </w:pPr>
      <w:rPr>
        <w:rFonts w:hint="default" w:ascii="Wingdings" w:hAnsi="Wingdings"/>
        <w:spacing w:val="0"/>
        <w:w w:val="100"/>
        <w:kern w:val="0"/>
        <w:position w:val="0"/>
        <w:sz w:val="28"/>
      </w:rPr>
    </w:lvl>
  </w:abstractNum>
  <w:abstractNum w:abstractNumId="6">
    <w:nsid w:val="0BBD0933"/>
    <w:multiLevelType w:val="multilevel"/>
    <w:tmpl w:val="0BBD0933"/>
    <w:lvl w:ilvl="0" w:tentative="0">
      <w:start w:val="4"/>
      <w:numFmt w:val="decimal"/>
      <w:pStyle w:val="1247"/>
      <w:suff w:val="space"/>
      <w:lvlText w:val="%1"/>
      <w:lvlJc w:val="left"/>
      <w:rPr>
        <w:rFonts w:hint="eastAsia" w:ascii="黑体" w:eastAsia="黑体" w:cs="Times New Roman"/>
        <w:b w:val="0"/>
        <w:bCs w:val="0"/>
        <w:i w:val="0"/>
        <w:iCs w:val="0"/>
        <w:color w:val="auto"/>
        <w:sz w:val="28"/>
        <w:szCs w:val="28"/>
      </w:rPr>
    </w:lvl>
    <w:lvl w:ilvl="1" w:tentative="0">
      <w:start w:val="1"/>
      <w:numFmt w:val="decimal"/>
      <w:suff w:val="space"/>
      <w:lvlText w:val="%1.%2"/>
      <w:lvlJc w:val="left"/>
      <w:rPr>
        <w:rFonts w:hint="eastAsia" w:ascii="黑体" w:eastAsia="黑体" w:cs="Times New Roman"/>
        <w:b w:val="0"/>
        <w:bCs w:val="0"/>
        <w:i w:val="0"/>
        <w:iCs w:val="0"/>
        <w:color w:val="auto"/>
        <w:sz w:val="28"/>
        <w:szCs w:val="28"/>
      </w:rPr>
    </w:lvl>
    <w:lvl w:ilvl="2" w:tentative="0">
      <w:start w:val="1"/>
      <w:numFmt w:val="decimal"/>
      <w:suff w:val="space"/>
      <w:lvlText w:val="%1.%2.%3"/>
      <w:lvlJc w:val="left"/>
      <w:rPr>
        <w:rFonts w:hint="eastAsia" w:ascii="宋体" w:eastAsia="宋体" w:cs="Times New Roman"/>
        <w:b w:val="0"/>
        <w:bCs w:val="0"/>
        <w:i w:val="0"/>
        <w:iCs w:val="0"/>
        <w:color w:val="auto"/>
        <w:sz w:val="28"/>
        <w:szCs w:val="28"/>
      </w:rPr>
    </w:lvl>
    <w:lvl w:ilvl="3" w:tentative="0">
      <w:start w:val="1"/>
      <w:numFmt w:val="decimal"/>
      <w:suff w:val="space"/>
      <w:lvlText w:val="%1.%2.%3.%4"/>
      <w:lvlJc w:val="left"/>
      <w:rPr>
        <w:rFonts w:hint="eastAsia" w:ascii="宋体" w:hAnsi="Arial" w:eastAsia="宋体" w:cs="Times New Roman"/>
        <w:b w:val="0"/>
        <w:bCs w:val="0"/>
        <w:i w:val="0"/>
        <w:iCs w:val="0"/>
        <w:color w:val="auto"/>
        <w:sz w:val="28"/>
        <w:szCs w:val="28"/>
      </w:rPr>
    </w:lvl>
    <w:lvl w:ilvl="4" w:tentative="0">
      <w:start w:val="1"/>
      <w:numFmt w:val="decimal"/>
      <w:suff w:val="space"/>
      <w:lvlText w:val="%5)"/>
      <w:lvlJc w:val="left"/>
      <w:pPr>
        <w:ind w:firstLine="567"/>
      </w:pPr>
      <w:rPr>
        <w:rFonts w:hint="eastAsia" w:ascii="宋体" w:hAnsi="Times New Roman" w:eastAsia="宋体" w:cs="Times New Roman"/>
        <w:b w:val="0"/>
        <w:bCs w:val="0"/>
        <w:i w:val="0"/>
        <w:iCs w:val="0"/>
        <w:sz w:val="28"/>
        <w:szCs w:val="28"/>
      </w:rPr>
    </w:lvl>
    <w:lvl w:ilvl="5" w:tentative="0">
      <w:start w:val="1"/>
      <w:numFmt w:val="decimal"/>
      <w:suff w:val="space"/>
      <w:lvlText w:val="(%6)"/>
      <w:lvlJc w:val="left"/>
      <w:pPr>
        <w:ind w:left="-102" w:firstLine="567"/>
      </w:pPr>
      <w:rPr>
        <w:rFonts w:hint="eastAsia" w:ascii="宋体" w:eastAsia="宋体" w:cs="Times New Roman"/>
        <w:b w:val="0"/>
        <w:bCs w:val="0"/>
        <w:i w:val="0"/>
        <w:iCs w:val="0"/>
        <w:sz w:val="28"/>
        <w:szCs w:val="28"/>
      </w:rPr>
    </w:lvl>
    <w:lvl w:ilvl="6" w:tentative="0">
      <w:start w:val="1"/>
      <w:numFmt w:val="decimal"/>
      <w:lvlText w:val="%1.%2.%3.%4.%5.%6.%7"/>
      <w:lvlJc w:val="left"/>
      <w:pPr>
        <w:tabs>
          <w:tab w:val="left" w:pos="396"/>
        </w:tabs>
        <w:ind w:left="396" w:hanging="1296"/>
      </w:pPr>
      <w:rPr>
        <w:rFonts w:hint="eastAsia" w:cs="Times New Roman"/>
      </w:rPr>
    </w:lvl>
    <w:lvl w:ilvl="7" w:tentative="0">
      <w:start w:val="1"/>
      <w:numFmt w:val="decimal"/>
      <w:lvlText w:val="%1.%2.%3.%4.%5.%6.%7.%8"/>
      <w:lvlJc w:val="left"/>
      <w:pPr>
        <w:tabs>
          <w:tab w:val="left" w:pos="540"/>
        </w:tabs>
        <w:ind w:left="540" w:hanging="1440"/>
      </w:pPr>
      <w:rPr>
        <w:rFonts w:hint="eastAsia" w:cs="Times New Roman"/>
      </w:rPr>
    </w:lvl>
    <w:lvl w:ilvl="8" w:tentative="0">
      <w:start w:val="1"/>
      <w:numFmt w:val="decimal"/>
      <w:lvlText w:val="%1.%2.%3.%4.%5.%6.%7.%8.%9"/>
      <w:lvlJc w:val="left"/>
      <w:pPr>
        <w:tabs>
          <w:tab w:val="left" w:pos="684"/>
        </w:tabs>
        <w:ind w:left="684" w:hanging="1584"/>
      </w:pPr>
      <w:rPr>
        <w:rFonts w:hint="eastAsia" w:cs="Times New Roman"/>
      </w:rPr>
    </w:lvl>
  </w:abstractNum>
  <w:abstractNum w:abstractNumId="7">
    <w:nsid w:val="0E43C952"/>
    <w:multiLevelType w:val="singleLevel"/>
    <w:tmpl w:val="0E43C952"/>
    <w:lvl w:ilvl="0" w:tentative="0">
      <w:start w:val="1"/>
      <w:numFmt w:val="decimal"/>
      <w:suff w:val="nothing"/>
      <w:lvlText w:val="%1、"/>
      <w:lvlJc w:val="left"/>
    </w:lvl>
  </w:abstractNum>
  <w:abstractNum w:abstractNumId="8">
    <w:nsid w:val="1E9F78A5"/>
    <w:multiLevelType w:val="multilevel"/>
    <w:tmpl w:val="1E9F78A5"/>
    <w:lvl w:ilvl="0" w:tentative="0">
      <w:start w:val="1"/>
      <w:numFmt w:val="decimal"/>
      <w:pStyle w:val="1124"/>
      <w:lvlText w:val="%1."/>
      <w:lvlJc w:val="left"/>
      <w:pPr>
        <w:tabs>
          <w:tab w:val="left" w:pos="420"/>
        </w:tabs>
        <w:ind w:left="420" w:hanging="420"/>
      </w:pPr>
      <w:rPr>
        <w:rFonts w:hint="eastAsia" w:cs="Times New Roman"/>
      </w:rPr>
    </w:lvl>
    <w:lvl w:ilvl="1" w:tentative="0">
      <w:start w:val="1"/>
      <w:numFmt w:val="decimal"/>
      <w:lvlText w:val="（%2）"/>
      <w:lvlJc w:val="left"/>
      <w:pPr>
        <w:tabs>
          <w:tab w:val="left" w:pos="1710"/>
        </w:tabs>
        <w:ind w:left="1710" w:hanging="1290"/>
      </w:pPr>
      <w:rPr>
        <w:rFonts w:hint="default"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37660A18"/>
    <w:multiLevelType w:val="multilevel"/>
    <w:tmpl w:val="37660A18"/>
    <w:lvl w:ilvl="0" w:tentative="0">
      <w:start w:val="1"/>
      <w:numFmt w:val="decimal"/>
      <w:pStyle w:val="1246"/>
      <w:lvlText w:val="%1"/>
      <w:lvlJc w:val="left"/>
      <w:pPr>
        <w:ind w:left="425" w:hanging="425"/>
      </w:pPr>
      <w:rPr>
        <w:rFonts w:hint="default" w:ascii="Times New Roman" w:hAnsi="Times New Roman" w:cs="Times New Roman"/>
      </w:rPr>
    </w:lvl>
    <w:lvl w:ilvl="1" w:tentative="0">
      <w:start w:val="1"/>
      <w:numFmt w:val="decimal"/>
      <w:pStyle w:val="1096"/>
      <w:lvlText w:val="%1.%2"/>
      <w:lvlJc w:val="left"/>
      <w:pPr>
        <w:ind w:left="992" w:hanging="567"/>
      </w:pPr>
      <w:rPr>
        <w:rFonts w:cs="Times New Roman"/>
      </w:rPr>
    </w:lvl>
    <w:lvl w:ilvl="2" w:tentative="0">
      <w:start w:val="1"/>
      <w:numFmt w:val="decimal"/>
      <w:pStyle w:val="329"/>
      <w:lvlText w:val="%1.%2.%3"/>
      <w:lvlJc w:val="left"/>
      <w:pPr>
        <w:ind w:left="1418" w:hanging="567"/>
      </w:pPr>
      <w:rPr>
        <w:rFonts w:cs="Times New Roman"/>
      </w:rPr>
    </w:lvl>
    <w:lvl w:ilvl="3" w:tentative="0">
      <w:start w:val="1"/>
      <w:numFmt w:val="decimal"/>
      <w:pStyle w:val="882"/>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10">
    <w:nsid w:val="37A04360"/>
    <w:multiLevelType w:val="multilevel"/>
    <w:tmpl w:val="37A04360"/>
    <w:lvl w:ilvl="0" w:tentative="0">
      <w:start w:val="1"/>
      <w:numFmt w:val="decimal"/>
      <w:pStyle w:val="685"/>
      <w:lvlText w:val="表1.11-%1"/>
      <w:lvlJc w:val="center"/>
      <w:pPr>
        <w:tabs>
          <w:tab w:val="left" w:pos="2444"/>
        </w:tabs>
        <w:ind w:left="1720" w:firstLine="4"/>
      </w:pPr>
      <w:rPr>
        <w:rFonts w:hint="default" w:ascii="Times New Roman" w:hAnsi="Times New Roman" w:cs="Times New Roman"/>
        <w:b/>
        <w:i w:val="0"/>
        <w:sz w:val="24"/>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3A9076B2"/>
    <w:multiLevelType w:val="multilevel"/>
    <w:tmpl w:val="3A9076B2"/>
    <w:lvl w:ilvl="0" w:tentative="0">
      <w:start w:val="2"/>
      <w:numFmt w:val="decimal"/>
      <w:lvlText w:val="%1、"/>
      <w:lvlJc w:val="left"/>
      <w:pPr>
        <w:tabs>
          <w:tab w:val="left" w:pos="929"/>
        </w:tabs>
        <w:ind w:left="929"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pStyle w:val="974"/>
      <w:lvlText w:val="%4."/>
      <w:lvlJc w:val="left"/>
      <w:pPr>
        <w:tabs>
          <w:tab w:val="left" w:pos="2249"/>
        </w:tabs>
        <w:ind w:left="2249" w:hanging="42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2">
    <w:nsid w:val="47071C76"/>
    <w:multiLevelType w:val="multilevel"/>
    <w:tmpl w:val="47071C76"/>
    <w:lvl w:ilvl="0" w:tentative="0">
      <w:start w:val="1"/>
      <w:numFmt w:val="decimal"/>
      <w:lvlText w:val="%1"/>
      <w:lvlJc w:val="left"/>
      <w:pPr>
        <w:tabs>
          <w:tab w:val="left" w:pos="360"/>
        </w:tabs>
      </w:pPr>
      <w:rPr>
        <w:rFonts w:hint="eastAsia" w:ascii="仿宋_GB2312" w:eastAsia="仿宋_GB2312" w:cs="Times New Roman"/>
        <w:b/>
        <w:i w:val="0"/>
        <w:sz w:val="32"/>
      </w:rPr>
    </w:lvl>
    <w:lvl w:ilvl="1" w:tentative="0">
      <w:start w:val="1"/>
      <w:numFmt w:val="decimal"/>
      <w:pStyle w:val="1093"/>
      <w:lvlText w:val="%1.%2"/>
      <w:lvlJc w:val="left"/>
      <w:pPr>
        <w:tabs>
          <w:tab w:val="left" w:pos="720"/>
        </w:tabs>
      </w:pPr>
      <w:rPr>
        <w:rFonts w:hint="eastAsia" w:ascii="仿宋_GB2312" w:eastAsia="仿宋_GB2312" w:cs="Times New Roman"/>
        <w:b/>
        <w:i w:val="0"/>
        <w:sz w:val="30"/>
      </w:rPr>
    </w:lvl>
    <w:lvl w:ilvl="2" w:tentative="0">
      <w:start w:val="1"/>
      <w:numFmt w:val="none"/>
      <w:lvlText w:val="1.%21"/>
      <w:lvlJc w:val="left"/>
      <w:pPr>
        <w:tabs>
          <w:tab w:val="left" w:pos="1080"/>
        </w:tabs>
      </w:pPr>
      <w:rPr>
        <w:rFonts w:hint="eastAsia" w:ascii="仿宋_GB2312" w:eastAsia="仿宋_GB2312" w:cs="Times New Roman"/>
        <w:b w:val="0"/>
        <w:i w:val="0"/>
        <w:sz w:val="28"/>
      </w:rPr>
    </w:lvl>
    <w:lvl w:ilvl="3" w:tentative="0">
      <w:start w:val="1"/>
      <w:numFmt w:val="decimal"/>
      <w:lvlRestart w:val="0"/>
      <w:isLgl/>
      <w:lvlText w:val="%1.%2.%3.%4"/>
      <w:lvlJc w:val="left"/>
      <w:pPr>
        <w:tabs>
          <w:tab w:val="left" w:pos="1440"/>
        </w:tabs>
      </w:pPr>
      <w:rPr>
        <w:rFonts w:hint="eastAsia" w:ascii="仿宋_GB2312" w:eastAsia="仿宋_GB2312" w:cs="Times New Roman"/>
        <w:b w:val="0"/>
        <w:i w:val="0"/>
        <w:sz w:val="28"/>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3">
    <w:nsid w:val="5089670E"/>
    <w:multiLevelType w:val="multilevel"/>
    <w:tmpl w:val="5089670E"/>
    <w:lvl w:ilvl="0" w:tentative="0">
      <w:start w:val="1"/>
      <w:numFmt w:val="decimal"/>
      <w:suff w:val="space"/>
      <w:lvlText w:val="%1"/>
      <w:lvlJc w:val="left"/>
      <w:pPr>
        <w:ind w:left="140"/>
      </w:pPr>
      <w:rPr>
        <w:rFonts w:hint="eastAsia" w:ascii="黑体" w:eastAsia="黑体" w:cs="Times New Roman"/>
        <w:b w:val="0"/>
        <w:bCs w:val="0"/>
        <w:i w:val="0"/>
        <w:iCs w:val="0"/>
        <w:color w:val="auto"/>
        <w:sz w:val="28"/>
        <w:szCs w:val="28"/>
      </w:rPr>
    </w:lvl>
    <w:lvl w:ilvl="1" w:tentative="0">
      <w:start w:val="1"/>
      <w:numFmt w:val="decimal"/>
      <w:suff w:val="space"/>
      <w:lvlText w:val="%1.%2"/>
      <w:lvlJc w:val="left"/>
      <w:pPr>
        <w:ind w:left="4962"/>
      </w:pPr>
      <w:rPr>
        <w:rFonts w:hint="eastAsia" w:ascii="黑体" w:eastAsia="黑体" w:cs="Times New Roman"/>
        <w:b w:val="0"/>
        <w:bCs w:val="0"/>
        <w:i w:val="0"/>
        <w:iCs w:val="0"/>
        <w:caps w:val="0"/>
        <w:smallCaps w:val="0"/>
        <w:strike w:val="0"/>
        <w:dstrike w:val="0"/>
        <w:vanish w:val="0"/>
        <w:color w:val="000000"/>
        <w:spacing w:val="0"/>
        <w:position w:val="0"/>
        <w:sz w:val="28"/>
        <w:szCs w:val="28"/>
        <w:u w:val="none"/>
        <w:vertAlign w:val="baseline"/>
      </w:rPr>
    </w:lvl>
    <w:lvl w:ilvl="2" w:tentative="0">
      <w:start w:val="1"/>
      <w:numFmt w:val="decimal"/>
      <w:suff w:val="space"/>
      <w:lvlText w:val="%1.%2.%3"/>
      <w:lvlJc w:val="left"/>
      <w:pPr>
        <w:ind w:left="700"/>
      </w:pPr>
      <w:rPr>
        <w:rFonts w:hint="eastAsia" w:ascii="宋体" w:eastAsia="宋体" w:cs="Times New Roman"/>
        <w:b w:val="0"/>
        <w:bCs w:val="0"/>
        <w:i w:val="0"/>
        <w:iCs w:val="0"/>
        <w:caps w:val="0"/>
        <w:smallCaps w:val="0"/>
        <w:strike w:val="0"/>
        <w:color w:val="auto"/>
        <w:spacing w:val="0"/>
        <w:sz w:val="28"/>
        <w:szCs w:val="28"/>
        <w:u w:val="none"/>
      </w:rPr>
    </w:lvl>
    <w:lvl w:ilvl="3" w:tentative="0">
      <w:start w:val="1"/>
      <w:numFmt w:val="decimal"/>
      <w:suff w:val="space"/>
      <w:lvlText w:val="%1.%2.%3.%4"/>
      <w:lvlJc w:val="left"/>
      <w:rPr>
        <w:rFonts w:hint="eastAsia" w:ascii="宋体" w:hAnsi="Arial" w:eastAsia="宋体" w:cs="Times New Roman"/>
        <w:b w:val="0"/>
        <w:bCs w:val="0"/>
        <w:i w:val="0"/>
        <w:iCs w:val="0"/>
        <w:color w:val="auto"/>
        <w:sz w:val="28"/>
        <w:szCs w:val="28"/>
      </w:rPr>
    </w:lvl>
    <w:lvl w:ilvl="4" w:tentative="0">
      <w:start w:val="1"/>
      <w:numFmt w:val="decimal"/>
      <w:pStyle w:val="594"/>
      <w:suff w:val="space"/>
      <w:lvlText w:val="%5)"/>
      <w:lvlJc w:val="left"/>
      <w:pPr>
        <w:ind w:left="-567" w:firstLine="567"/>
      </w:pPr>
      <w:rPr>
        <w:rFonts w:hint="eastAsia" w:ascii="宋体" w:eastAsia="宋体" w:cs="Times New Roman"/>
        <w:b w:val="0"/>
        <w:i w:val="0"/>
        <w:sz w:val="28"/>
        <w:szCs w:val="28"/>
      </w:rPr>
    </w:lvl>
    <w:lvl w:ilvl="5" w:tentative="0">
      <w:start w:val="1"/>
      <w:numFmt w:val="decimal"/>
      <w:suff w:val="space"/>
      <w:lvlText w:val="(%6)"/>
      <w:lvlJc w:val="left"/>
      <w:pPr>
        <w:ind w:left="-427" w:firstLine="567"/>
      </w:pPr>
      <w:rPr>
        <w:rFonts w:hint="eastAsia" w:ascii="宋体" w:eastAsia="宋体" w:cs="Times New Roman"/>
        <w:b w:val="0"/>
        <w:bCs w:val="0"/>
        <w:i w:val="0"/>
        <w:iCs w:val="0"/>
        <w:sz w:val="28"/>
        <w:szCs w:val="28"/>
      </w:rPr>
    </w:lvl>
    <w:lvl w:ilvl="6" w:tentative="0">
      <w:start w:val="1"/>
      <w:numFmt w:val="decimal"/>
      <w:lvlText w:val="%1.%2.%3.%4.%5.%6.%7"/>
      <w:lvlJc w:val="left"/>
      <w:pPr>
        <w:tabs>
          <w:tab w:val="left" w:pos="936"/>
        </w:tabs>
        <w:ind w:left="936" w:hanging="1296"/>
      </w:pPr>
      <w:rPr>
        <w:rFonts w:hint="eastAsia" w:cs="Times New Roman"/>
      </w:rPr>
    </w:lvl>
    <w:lvl w:ilvl="7" w:tentative="0">
      <w:start w:val="1"/>
      <w:numFmt w:val="decimal"/>
      <w:lvlText w:val="%1.%2.%3.%4.%5.%6.%7.%8"/>
      <w:lvlJc w:val="left"/>
      <w:pPr>
        <w:tabs>
          <w:tab w:val="left" w:pos="1080"/>
        </w:tabs>
        <w:ind w:left="1080" w:hanging="1440"/>
      </w:pPr>
      <w:rPr>
        <w:rFonts w:hint="eastAsia" w:cs="Times New Roman"/>
      </w:rPr>
    </w:lvl>
    <w:lvl w:ilvl="8" w:tentative="0">
      <w:start w:val="1"/>
      <w:numFmt w:val="decimal"/>
      <w:lvlText w:val="%1.%2.%3.%4.%5.%6.%7.%8.%9"/>
      <w:lvlJc w:val="left"/>
      <w:pPr>
        <w:tabs>
          <w:tab w:val="left" w:pos="1224"/>
        </w:tabs>
        <w:ind w:left="1224" w:hanging="1584"/>
      </w:pPr>
      <w:rPr>
        <w:rFonts w:hint="eastAsia" w:cs="Times New Roman"/>
      </w:rPr>
    </w:lvl>
  </w:abstractNum>
  <w:abstractNum w:abstractNumId="14">
    <w:nsid w:val="557C2AF5"/>
    <w:multiLevelType w:val="multilevel"/>
    <w:tmpl w:val="557C2AF5"/>
    <w:lvl w:ilvl="0" w:tentative="0">
      <w:start w:val="1"/>
      <w:numFmt w:val="decimal"/>
      <w:pStyle w:val="644"/>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5">
    <w:nsid w:val="646260FA"/>
    <w:multiLevelType w:val="multilevel"/>
    <w:tmpl w:val="646260FA"/>
    <w:lvl w:ilvl="0" w:tentative="0">
      <w:start w:val="1"/>
      <w:numFmt w:val="decimal"/>
      <w:pStyle w:val="941"/>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6">
    <w:nsid w:val="766D7B15"/>
    <w:multiLevelType w:val="multilevel"/>
    <w:tmpl w:val="766D7B15"/>
    <w:lvl w:ilvl="0" w:tentative="0">
      <w:start w:val="1"/>
      <w:numFmt w:val="decimal"/>
      <w:pStyle w:val="285"/>
      <w:lvlText w:val="%1"/>
      <w:lvlJc w:val="left"/>
      <w:pPr>
        <w:tabs>
          <w:tab w:val="left" w:pos="425"/>
        </w:tabs>
        <w:ind w:left="425" w:hanging="425"/>
      </w:pPr>
      <w:rPr>
        <w:rFonts w:hint="eastAsia" w:cs="Times New Roman"/>
      </w:rPr>
    </w:lvl>
    <w:lvl w:ilvl="1" w:tentative="0">
      <w:start w:val="1"/>
      <w:numFmt w:val="decimal"/>
      <w:lvlText w:val="%1.%2"/>
      <w:lvlJc w:val="left"/>
      <w:pPr>
        <w:tabs>
          <w:tab w:val="left" w:pos="1865"/>
        </w:tabs>
        <w:ind w:left="992" w:hanging="567"/>
      </w:pPr>
      <w:rPr>
        <w:rFonts w:hint="eastAsia" w:cs="Times New Roman"/>
      </w:rPr>
    </w:lvl>
    <w:lvl w:ilvl="2" w:tentative="0">
      <w:start w:val="1"/>
      <w:numFmt w:val="decimal"/>
      <w:lvlText w:val="%1.%2.%3"/>
      <w:lvlJc w:val="left"/>
      <w:pPr>
        <w:tabs>
          <w:tab w:val="left" w:pos="3011"/>
        </w:tabs>
        <w:ind w:left="1418" w:hanging="567"/>
      </w:pPr>
      <w:rPr>
        <w:rFonts w:hint="eastAsia" w:cs="Times New Roman"/>
      </w:rPr>
    </w:lvl>
    <w:lvl w:ilvl="3" w:tentative="0">
      <w:start w:val="1"/>
      <w:numFmt w:val="decimal"/>
      <w:lvlText w:val="%1.%2.%3.%4"/>
      <w:lvlJc w:val="left"/>
      <w:pPr>
        <w:tabs>
          <w:tab w:val="left" w:pos="4156"/>
        </w:tabs>
        <w:ind w:left="1984" w:hanging="708"/>
      </w:pPr>
      <w:rPr>
        <w:rFonts w:hint="eastAsia" w:cs="Times New Roman"/>
      </w:rPr>
    </w:lvl>
    <w:lvl w:ilvl="4" w:tentative="0">
      <w:start w:val="1"/>
      <w:numFmt w:val="decimal"/>
      <w:lvlText w:val="%1.%2.%3.%4.%5"/>
      <w:lvlJc w:val="left"/>
      <w:pPr>
        <w:tabs>
          <w:tab w:val="left" w:pos="5301"/>
        </w:tabs>
        <w:ind w:left="2551" w:hanging="850"/>
      </w:pPr>
      <w:rPr>
        <w:rFonts w:hint="eastAsia" w:cs="Times New Roman"/>
      </w:rPr>
    </w:lvl>
    <w:lvl w:ilvl="5" w:tentative="0">
      <w:start w:val="1"/>
      <w:numFmt w:val="decimal"/>
      <w:lvlText w:val="%1.%2.%3.%4.%5.%6"/>
      <w:lvlJc w:val="left"/>
      <w:pPr>
        <w:tabs>
          <w:tab w:val="left" w:pos="6446"/>
        </w:tabs>
        <w:ind w:left="3260" w:hanging="1134"/>
      </w:pPr>
      <w:rPr>
        <w:rFonts w:hint="eastAsia" w:cs="Times New Roman"/>
      </w:rPr>
    </w:lvl>
    <w:lvl w:ilvl="6" w:tentative="0">
      <w:start w:val="1"/>
      <w:numFmt w:val="decimal"/>
      <w:lvlText w:val="%1.%2.%3.%4.%5.%6.%7"/>
      <w:lvlJc w:val="left"/>
      <w:pPr>
        <w:tabs>
          <w:tab w:val="left" w:pos="7591"/>
        </w:tabs>
        <w:ind w:left="3827" w:hanging="1276"/>
      </w:pPr>
      <w:rPr>
        <w:rFonts w:hint="eastAsia" w:cs="Times New Roman"/>
      </w:rPr>
    </w:lvl>
    <w:lvl w:ilvl="7" w:tentative="0">
      <w:start w:val="1"/>
      <w:numFmt w:val="decimal"/>
      <w:lvlText w:val="%1.%2.%3.%4.%5.%6.%7.%8"/>
      <w:lvlJc w:val="left"/>
      <w:pPr>
        <w:tabs>
          <w:tab w:val="left" w:pos="8736"/>
        </w:tabs>
        <w:ind w:left="4394" w:hanging="1418"/>
      </w:pPr>
      <w:rPr>
        <w:rFonts w:hint="eastAsia" w:cs="Times New Roman"/>
      </w:rPr>
    </w:lvl>
    <w:lvl w:ilvl="8" w:tentative="0">
      <w:start w:val="1"/>
      <w:numFmt w:val="decimal"/>
      <w:lvlText w:val="%1.%2.%3.%4.%5.%6.%7.%8.%9"/>
      <w:lvlJc w:val="left"/>
      <w:pPr>
        <w:tabs>
          <w:tab w:val="left" w:pos="10242"/>
        </w:tabs>
        <w:ind w:left="5102" w:hanging="1700"/>
      </w:pPr>
      <w:rPr>
        <w:rFonts w:hint="eastAsia" w:cs="Times New Roman"/>
      </w:rPr>
    </w:lvl>
  </w:abstractNum>
  <w:num w:numId="1">
    <w:abstractNumId w:val="0"/>
  </w:num>
  <w:num w:numId="2">
    <w:abstractNumId w:val="16"/>
  </w:num>
  <w:num w:numId="3">
    <w:abstractNumId w:val="1"/>
  </w:num>
  <w:num w:numId="4">
    <w:abstractNumId w:val="9"/>
  </w:num>
  <w:num w:numId="5">
    <w:abstractNumId w:val="13"/>
  </w:num>
  <w:num w:numId="6">
    <w:abstractNumId w:val="14"/>
  </w:num>
  <w:num w:numId="7">
    <w:abstractNumId w:val="10"/>
  </w:num>
  <w:num w:numId="8">
    <w:abstractNumId w:val="3"/>
  </w:num>
  <w:num w:numId="9">
    <w:abstractNumId w:val="15"/>
  </w:num>
  <w:num w:numId="1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8"/>
  </w:num>
  <w:num w:numId="14">
    <w:abstractNumId w:val="2"/>
  </w:num>
  <w:num w:numId="15">
    <w:abstractNumId w:val="4"/>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doNotCompress"/>
  <w:noLineBreaksAfter w:lang="zh-CN" w:val="$([{£¥·‘“〈《「『【〔〖〝﹙﹛﹝＄（．［｛￡￥"/>
  <w:noLineBreaksBefore w:lang="zh-CN" w:val="!%),.:;&gt;?]}¢¨°·ˇˉ―‖’”…‰′″›℃∶、。〃〉》」』】〕〗〞︶︺︾﹀﹄﹚﹜﹞！＂％＇），．：；？］｀｜｝～￠"/>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jMzk4NjRkZjYzNGJhNzQzZTU4NzY0MjU5Y2E5NWMifQ=="/>
  </w:docVars>
  <w:rsids>
    <w:rsidRoot w:val="00172A27"/>
    <w:rsid w:val="0000056E"/>
    <w:rsid w:val="00001D6C"/>
    <w:rsid w:val="000021EB"/>
    <w:rsid w:val="00002202"/>
    <w:rsid w:val="00002EA3"/>
    <w:rsid w:val="000035A2"/>
    <w:rsid w:val="000035D3"/>
    <w:rsid w:val="000041BF"/>
    <w:rsid w:val="00004E64"/>
    <w:rsid w:val="000055E6"/>
    <w:rsid w:val="000060B3"/>
    <w:rsid w:val="000065E9"/>
    <w:rsid w:val="0000689E"/>
    <w:rsid w:val="000075FB"/>
    <w:rsid w:val="00007CD0"/>
    <w:rsid w:val="00010986"/>
    <w:rsid w:val="000115FA"/>
    <w:rsid w:val="00012F06"/>
    <w:rsid w:val="0001326D"/>
    <w:rsid w:val="00013F20"/>
    <w:rsid w:val="00014574"/>
    <w:rsid w:val="0001493C"/>
    <w:rsid w:val="00014AF0"/>
    <w:rsid w:val="000161CD"/>
    <w:rsid w:val="00016298"/>
    <w:rsid w:val="00016C4D"/>
    <w:rsid w:val="000200D6"/>
    <w:rsid w:val="000206A5"/>
    <w:rsid w:val="00020E33"/>
    <w:rsid w:val="00023F7A"/>
    <w:rsid w:val="00026E66"/>
    <w:rsid w:val="000275C7"/>
    <w:rsid w:val="00027EEB"/>
    <w:rsid w:val="00027FE5"/>
    <w:rsid w:val="0003264C"/>
    <w:rsid w:val="0003336B"/>
    <w:rsid w:val="000337C4"/>
    <w:rsid w:val="000338A8"/>
    <w:rsid w:val="00034071"/>
    <w:rsid w:val="00034098"/>
    <w:rsid w:val="00034FB5"/>
    <w:rsid w:val="0003538D"/>
    <w:rsid w:val="00037746"/>
    <w:rsid w:val="00043081"/>
    <w:rsid w:val="0004364B"/>
    <w:rsid w:val="00043678"/>
    <w:rsid w:val="00043FFC"/>
    <w:rsid w:val="00044FC1"/>
    <w:rsid w:val="00045096"/>
    <w:rsid w:val="00045CAE"/>
    <w:rsid w:val="00046162"/>
    <w:rsid w:val="00046FE4"/>
    <w:rsid w:val="00047E84"/>
    <w:rsid w:val="00050F17"/>
    <w:rsid w:val="00051401"/>
    <w:rsid w:val="000524FF"/>
    <w:rsid w:val="00052D50"/>
    <w:rsid w:val="00053AE0"/>
    <w:rsid w:val="0005412A"/>
    <w:rsid w:val="000549B8"/>
    <w:rsid w:val="00055597"/>
    <w:rsid w:val="000566DF"/>
    <w:rsid w:val="00056F0E"/>
    <w:rsid w:val="00057C67"/>
    <w:rsid w:val="00057DF0"/>
    <w:rsid w:val="000602B3"/>
    <w:rsid w:val="00060B4F"/>
    <w:rsid w:val="00061721"/>
    <w:rsid w:val="000619AC"/>
    <w:rsid w:val="00061B1F"/>
    <w:rsid w:val="00061DD2"/>
    <w:rsid w:val="00061EB2"/>
    <w:rsid w:val="00061F3D"/>
    <w:rsid w:val="00062CF9"/>
    <w:rsid w:val="000630D7"/>
    <w:rsid w:val="00063B81"/>
    <w:rsid w:val="00064E00"/>
    <w:rsid w:val="000652E6"/>
    <w:rsid w:val="000653A9"/>
    <w:rsid w:val="0006548F"/>
    <w:rsid w:val="00065D14"/>
    <w:rsid w:val="000662EF"/>
    <w:rsid w:val="0006664E"/>
    <w:rsid w:val="00066DC8"/>
    <w:rsid w:val="00067B9F"/>
    <w:rsid w:val="000705F0"/>
    <w:rsid w:val="000706A2"/>
    <w:rsid w:val="00070780"/>
    <w:rsid w:val="00070C7E"/>
    <w:rsid w:val="000711CC"/>
    <w:rsid w:val="00071B94"/>
    <w:rsid w:val="00072FB6"/>
    <w:rsid w:val="000733C4"/>
    <w:rsid w:val="00073E1C"/>
    <w:rsid w:val="00074396"/>
    <w:rsid w:val="00074783"/>
    <w:rsid w:val="00076D47"/>
    <w:rsid w:val="0007778B"/>
    <w:rsid w:val="000778EF"/>
    <w:rsid w:val="0008070B"/>
    <w:rsid w:val="0008078F"/>
    <w:rsid w:val="000810AC"/>
    <w:rsid w:val="00081A02"/>
    <w:rsid w:val="00081F66"/>
    <w:rsid w:val="00082231"/>
    <w:rsid w:val="00082364"/>
    <w:rsid w:val="00082ACE"/>
    <w:rsid w:val="00082C05"/>
    <w:rsid w:val="000835C2"/>
    <w:rsid w:val="00083987"/>
    <w:rsid w:val="00084005"/>
    <w:rsid w:val="00085022"/>
    <w:rsid w:val="00085094"/>
    <w:rsid w:val="000851C5"/>
    <w:rsid w:val="000851F3"/>
    <w:rsid w:val="00085B44"/>
    <w:rsid w:val="00085F7E"/>
    <w:rsid w:val="0008751F"/>
    <w:rsid w:val="00087881"/>
    <w:rsid w:val="0009120C"/>
    <w:rsid w:val="0009215A"/>
    <w:rsid w:val="000923ED"/>
    <w:rsid w:val="00092A10"/>
    <w:rsid w:val="00092D38"/>
    <w:rsid w:val="0009377B"/>
    <w:rsid w:val="00093910"/>
    <w:rsid w:val="00094CC6"/>
    <w:rsid w:val="00095395"/>
    <w:rsid w:val="00095564"/>
    <w:rsid w:val="000956D2"/>
    <w:rsid w:val="00095B5A"/>
    <w:rsid w:val="00095BF8"/>
    <w:rsid w:val="000968FA"/>
    <w:rsid w:val="00096A33"/>
    <w:rsid w:val="00097266"/>
    <w:rsid w:val="00097967"/>
    <w:rsid w:val="000A0073"/>
    <w:rsid w:val="000A03C7"/>
    <w:rsid w:val="000A0848"/>
    <w:rsid w:val="000A0C74"/>
    <w:rsid w:val="000A1430"/>
    <w:rsid w:val="000A1F09"/>
    <w:rsid w:val="000A20C9"/>
    <w:rsid w:val="000A265A"/>
    <w:rsid w:val="000A3AFA"/>
    <w:rsid w:val="000A428E"/>
    <w:rsid w:val="000A4352"/>
    <w:rsid w:val="000A4357"/>
    <w:rsid w:val="000A5422"/>
    <w:rsid w:val="000A5E93"/>
    <w:rsid w:val="000A5EC1"/>
    <w:rsid w:val="000A626D"/>
    <w:rsid w:val="000A74A1"/>
    <w:rsid w:val="000B008A"/>
    <w:rsid w:val="000B058F"/>
    <w:rsid w:val="000B06D2"/>
    <w:rsid w:val="000B11C2"/>
    <w:rsid w:val="000B181B"/>
    <w:rsid w:val="000B1C40"/>
    <w:rsid w:val="000B1F4E"/>
    <w:rsid w:val="000B3D8B"/>
    <w:rsid w:val="000B4284"/>
    <w:rsid w:val="000B4465"/>
    <w:rsid w:val="000B4467"/>
    <w:rsid w:val="000B498A"/>
    <w:rsid w:val="000B4A7A"/>
    <w:rsid w:val="000B4DB9"/>
    <w:rsid w:val="000B6C88"/>
    <w:rsid w:val="000B792D"/>
    <w:rsid w:val="000B7AE8"/>
    <w:rsid w:val="000B7D3E"/>
    <w:rsid w:val="000B7DA0"/>
    <w:rsid w:val="000C0328"/>
    <w:rsid w:val="000C0662"/>
    <w:rsid w:val="000C09AC"/>
    <w:rsid w:val="000C0A6A"/>
    <w:rsid w:val="000C1646"/>
    <w:rsid w:val="000C1A6F"/>
    <w:rsid w:val="000C1A95"/>
    <w:rsid w:val="000C31CA"/>
    <w:rsid w:val="000C3A6C"/>
    <w:rsid w:val="000C3C3C"/>
    <w:rsid w:val="000C3F8C"/>
    <w:rsid w:val="000C526F"/>
    <w:rsid w:val="000C5918"/>
    <w:rsid w:val="000C5CE0"/>
    <w:rsid w:val="000C6185"/>
    <w:rsid w:val="000C6BC9"/>
    <w:rsid w:val="000C7512"/>
    <w:rsid w:val="000C767F"/>
    <w:rsid w:val="000C7890"/>
    <w:rsid w:val="000C7C2C"/>
    <w:rsid w:val="000D093F"/>
    <w:rsid w:val="000D11D6"/>
    <w:rsid w:val="000D136E"/>
    <w:rsid w:val="000D1547"/>
    <w:rsid w:val="000D1BFF"/>
    <w:rsid w:val="000D1FD2"/>
    <w:rsid w:val="000D24A1"/>
    <w:rsid w:val="000D28A0"/>
    <w:rsid w:val="000D3788"/>
    <w:rsid w:val="000D40AA"/>
    <w:rsid w:val="000D45D1"/>
    <w:rsid w:val="000D45ED"/>
    <w:rsid w:val="000D5A44"/>
    <w:rsid w:val="000D5EDC"/>
    <w:rsid w:val="000D5F3C"/>
    <w:rsid w:val="000D767A"/>
    <w:rsid w:val="000E060C"/>
    <w:rsid w:val="000E0A6A"/>
    <w:rsid w:val="000E0BF6"/>
    <w:rsid w:val="000E1640"/>
    <w:rsid w:val="000E1926"/>
    <w:rsid w:val="000E1ACB"/>
    <w:rsid w:val="000E2F4E"/>
    <w:rsid w:val="000E3C25"/>
    <w:rsid w:val="000E3D3A"/>
    <w:rsid w:val="000E3ED2"/>
    <w:rsid w:val="000E4A3A"/>
    <w:rsid w:val="000E4C10"/>
    <w:rsid w:val="000E4CFE"/>
    <w:rsid w:val="000E4F08"/>
    <w:rsid w:val="000E522A"/>
    <w:rsid w:val="000E5EB8"/>
    <w:rsid w:val="000E7337"/>
    <w:rsid w:val="000E7B81"/>
    <w:rsid w:val="000E7DEE"/>
    <w:rsid w:val="000F01C9"/>
    <w:rsid w:val="000F09AD"/>
    <w:rsid w:val="000F109D"/>
    <w:rsid w:val="000F1EBF"/>
    <w:rsid w:val="000F23FB"/>
    <w:rsid w:val="000F42DA"/>
    <w:rsid w:val="000F467B"/>
    <w:rsid w:val="000F469A"/>
    <w:rsid w:val="000F5599"/>
    <w:rsid w:val="000F69E3"/>
    <w:rsid w:val="000F6A1D"/>
    <w:rsid w:val="000F79DF"/>
    <w:rsid w:val="000F7F3B"/>
    <w:rsid w:val="00100296"/>
    <w:rsid w:val="0010078A"/>
    <w:rsid w:val="00100FDD"/>
    <w:rsid w:val="001016A2"/>
    <w:rsid w:val="00101F00"/>
    <w:rsid w:val="0010222B"/>
    <w:rsid w:val="001023C0"/>
    <w:rsid w:val="001028B3"/>
    <w:rsid w:val="0010307C"/>
    <w:rsid w:val="0010416F"/>
    <w:rsid w:val="00104497"/>
    <w:rsid w:val="00105112"/>
    <w:rsid w:val="00105CCB"/>
    <w:rsid w:val="00106CDB"/>
    <w:rsid w:val="00106CF3"/>
    <w:rsid w:val="00106E0B"/>
    <w:rsid w:val="0010773C"/>
    <w:rsid w:val="00107780"/>
    <w:rsid w:val="001079BE"/>
    <w:rsid w:val="0011004E"/>
    <w:rsid w:val="001102F1"/>
    <w:rsid w:val="00110ED7"/>
    <w:rsid w:val="00111460"/>
    <w:rsid w:val="00112D4C"/>
    <w:rsid w:val="001133B3"/>
    <w:rsid w:val="00113679"/>
    <w:rsid w:val="00114621"/>
    <w:rsid w:val="00114F6E"/>
    <w:rsid w:val="001151BF"/>
    <w:rsid w:val="00115FB9"/>
    <w:rsid w:val="001170F1"/>
    <w:rsid w:val="00120431"/>
    <w:rsid w:val="001216D3"/>
    <w:rsid w:val="00121990"/>
    <w:rsid w:val="001229A6"/>
    <w:rsid w:val="001241C2"/>
    <w:rsid w:val="00124362"/>
    <w:rsid w:val="00124486"/>
    <w:rsid w:val="00124DB2"/>
    <w:rsid w:val="001250FE"/>
    <w:rsid w:val="00125332"/>
    <w:rsid w:val="001253E6"/>
    <w:rsid w:val="00125DD4"/>
    <w:rsid w:val="00126237"/>
    <w:rsid w:val="00127CBE"/>
    <w:rsid w:val="00127D2A"/>
    <w:rsid w:val="00130F40"/>
    <w:rsid w:val="00131F42"/>
    <w:rsid w:val="001321BB"/>
    <w:rsid w:val="001357E9"/>
    <w:rsid w:val="001357F1"/>
    <w:rsid w:val="00135838"/>
    <w:rsid w:val="00135BB2"/>
    <w:rsid w:val="00135BB4"/>
    <w:rsid w:val="001364DA"/>
    <w:rsid w:val="00140FA8"/>
    <w:rsid w:val="001414BD"/>
    <w:rsid w:val="0014156E"/>
    <w:rsid w:val="0014175A"/>
    <w:rsid w:val="00141A36"/>
    <w:rsid w:val="00141F3F"/>
    <w:rsid w:val="001420E6"/>
    <w:rsid w:val="001421E7"/>
    <w:rsid w:val="001425EA"/>
    <w:rsid w:val="0014262B"/>
    <w:rsid w:val="001426F5"/>
    <w:rsid w:val="001428ED"/>
    <w:rsid w:val="00142AA2"/>
    <w:rsid w:val="00142E31"/>
    <w:rsid w:val="00142FEB"/>
    <w:rsid w:val="00143228"/>
    <w:rsid w:val="001432C7"/>
    <w:rsid w:val="0014368D"/>
    <w:rsid w:val="0014380F"/>
    <w:rsid w:val="00143A2D"/>
    <w:rsid w:val="00144424"/>
    <w:rsid w:val="00144B6D"/>
    <w:rsid w:val="00144C73"/>
    <w:rsid w:val="00144E39"/>
    <w:rsid w:val="00145557"/>
    <w:rsid w:val="00145A41"/>
    <w:rsid w:val="001466B2"/>
    <w:rsid w:val="001468E0"/>
    <w:rsid w:val="0014696D"/>
    <w:rsid w:val="0014698A"/>
    <w:rsid w:val="00146B23"/>
    <w:rsid w:val="00146D9D"/>
    <w:rsid w:val="001471C2"/>
    <w:rsid w:val="001506EB"/>
    <w:rsid w:val="001508D3"/>
    <w:rsid w:val="00150A51"/>
    <w:rsid w:val="00150CE4"/>
    <w:rsid w:val="00151675"/>
    <w:rsid w:val="00151BD2"/>
    <w:rsid w:val="0015261C"/>
    <w:rsid w:val="001528CF"/>
    <w:rsid w:val="00153237"/>
    <w:rsid w:val="00154D3A"/>
    <w:rsid w:val="00155318"/>
    <w:rsid w:val="0015685F"/>
    <w:rsid w:val="00156DF6"/>
    <w:rsid w:val="00157435"/>
    <w:rsid w:val="001574E9"/>
    <w:rsid w:val="00157921"/>
    <w:rsid w:val="00157A2C"/>
    <w:rsid w:val="00160173"/>
    <w:rsid w:val="001602EB"/>
    <w:rsid w:val="001604C1"/>
    <w:rsid w:val="00160690"/>
    <w:rsid w:val="00160C15"/>
    <w:rsid w:val="0016179A"/>
    <w:rsid w:val="00161E46"/>
    <w:rsid w:val="00162CA8"/>
    <w:rsid w:val="00162D90"/>
    <w:rsid w:val="001632E4"/>
    <w:rsid w:val="0016379E"/>
    <w:rsid w:val="00164262"/>
    <w:rsid w:val="001642F3"/>
    <w:rsid w:val="00164787"/>
    <w:rsid w:val="00165D73"/>
    <w:rsid w:val="00165D9A"/>
    <w:rsid w:val="00166848"/>
    <w:rsid w:val="001673ED"/>
    <w:rsid w:val="00167666"/>
    <w:rsid w:val="00170218"/>
    <w:rsid w:val="0017041F"/>
    <w:rsid w:val="00170A17"/>
    <w:rsid w:val="00171125"/>
    <w:rsid w:val="001737B3"/>
    <w:rsid w:val="00173F3F"/>
    <w:rsid w:val="00174C30"/>
    <w:rsid w:val="0017504D"/>
    <w:rsid w:val="00175DAA"/>
    <w:rsid w:val="0017671A"/>
    <w:rsid w:val="00176D7C"/>
    <w:rsid w:val="00177422"/>
    <w:rsid w:val="00177CD4"/>
    <w:rsid w:val="00177DC1"/>
    <w:rsid w:val="00180061"/>
    <w:rsid w:val="00180C70"/>
    <w:rsid w:val="00183596"/>
    <w:rsid w:val="00183C94"/>
    <w:rsid w:val="001843DF"/>
    <w:rsid w:val="00184590"/>
    <w:rsid w:val="0018461B"/>
    <w:rsid w:val="00184761"/>
    <w:rsid w:val="00184886"/>
    <w:rsid w:val="00184EE3"/>
    <w:rsid w:val="00185566"/>
    <w:rsid w:val="00185C84"/>
    <w:rsid w:val="00185EA2"/>
    <w:rsid w:val="00186053"/>
    <w:rsid w:val="0018645C"/>
    <w:rsid w:val="00186AF9"/>
    <w:rsid w:val="001870D1"/>
    <w:rsid w:val="00187190"/>
    <w:rsid w:val="0018781E"/>
    <w:rsid w:val="0019079F"/>
    <w:rsid w:val="00190859"/>
    <w:rsid w:val="001917CD"/>
    <w:rsid w:val="001919BA"/>
    <w:rsid w:val="0019209E"/>
    <w:rsid w:val="001922F4"/>
    <w:rsid w:val="00192309"/>
    <w:rsid w:val="00192460"/>
    <w:rsid w:val="0019262D"/>
    <w:rsid w:val="00192C98"/>
    <w:rsid w:val="001934D5"/>
    <w:rsid w:val="001942B8"/>
    <w:rsid w:val="0019449D"/>
    <w:rsid w:val="00194C2D"/>
    <w:rsid w:val="00194F0F"/>
    <w:rsid w:val="001958FD"/>
    <w:rsid w:val="00195BE8"/>
    <w:rsid w:val="0019652F"/>
    <w:rsid w:val="00196728"/>
    <w:rsid w:val="001969D9"/>
    <w:rsid w:val="001974F7"/>
    <w:rsid w:val="001A004B"/>
    <w:rsid w:val="001A0E3C"/>
    <w:rsid w:val="001A1250"/>
    <w:rsid w:val="001A144B"/>
    <w:rsid w:val="001A1AAC"/>
    <w:rsid w:val="001A1B35"/>
    <w:rsid w:val="001A1DA6"/>
    <w:rsid w:val="001A1E98"/>
    <w:rsid w:val="001A21DD"/>
    <w:rsid w:val="001A2B68"/>
    <w:rsid w:val="001A3B4D"/>
    <w:rsid w:val="001A4025"/>
    <w:rsid w:val="001A4028"/>
    <w:rsid w:val="001A4614"/>
    <w:rsid w:val="001A48A2"/>
    <w:rsid w:val="001A4C21"/>
    <w:rsid w:val="001A4C97"/>
    <w:rsid w:val="001A644C"/>
    <w:rsid w:val="001A6F61"/>
    <w:rsid w:val="001B00C6"/>
    <w:rsid w:val="001B24B0"/>
    <w:rsid w:val="001B2BC6"/>
    <w:rsid w:val="001B2E11"/>
    <w:rsid w:val="001B3103"/>
    <w:rsid w:val="001B3628"/>
    <w:rsid w:val="001B4DC6"/>
    <w:rsid w:val="001B5190"/>
    <w:rsid w:val="001B551E"/>
    <w:rsid w:val="001B7131"/>
    <w:rsid w:val="001B72B8"/>
    <w:rsid w:val="001B7F36"/>
    <w:rsid w:val="001C0F36"/>
    <w:rsid w:val="001C1F22"/>
    <w:rsid w:val="001C2255"/>
    <w:rsid w:val="001C3225"/>
    <w:rsid w:val="001C359D"/>
    <w:rsid w:val="001C3C12"/>
    <w:rsid w:val="001C3D74"/>
    <w:rsid w:val="001C420E"/>
    <w:rsid w:val="001C46AD"/>
    <w:rsid w:val="001C49B8"/>
    <w:rsid w:val="001C4C5F"/>
    <w:rsid w:val="001C519F"/>
    <w:rsid w:val="001C5C46"/>
    <w:rsid w:val="001C5D50"/>
    <w:rsid w:val="001C5E9A"/>
    <w:rsid w:val="001C6132"/>
    <w:rsid w:val="001C6772"/>
    <w:rsid w:val="001C6925"/>
    <w:rsid w:val="001C69B3"/>
    <w:rsid w:val="001C6C78"/>
    <w:rsid w:val="001C6F64"/>
    <w:rsid w:val="001D057D"/>
    <w:rsid w:val="001D0705"/>
    <w:rsid w:val="001D0863"/>
    <w:rsid w:val="001D0961"/>
    <w:rsid w:val="001D0BCF"/>
    <w:rsid w:val="001D0E1F"/>
    <w:rsid w:val="001D16CC"/>
    <w:rsid w:val="001D1E07"/>
    <w:rsid w:val="001D1F3F"/>
    <w:rsid w:val="001D3496"/>
    <w:rsid w:val="001D5284"/>
    <w:rsid w:val="001D5595"/>
    <w:rsid w:val="001D5908"/>
    <w:rsid w:val="001D5980"/>
    <w:rsid w:val="001D5EB1"/>
    <w:rsid w:val="001D5F0C"/>
    <w:rsid w:val="001D60E6"/>
    <w:rsid w:val="001D7874"/>
    <w:rsid w:val="001D7F22"/>
    <w:rsid w:val="001E0B7F"/>
    <w:rsid w:val="001E100F"/>
    <w:rsid w:val="001E1C38"/>
    <w:rsid w:val="001E21D6"/>
    <w:rsid w:val="001E3A81"/>
    <w:rsid w:val="001E437B"/>
    <w:rsid w:val="001E4A86"/>
    <w:rsid w:val="001E589F"/>
    <w:rsid w:val="001E5B80"/>
    <w:rsid w:val="001E5DDF"/>
    <w:rsid w:val="001E6799"/>
    <w:rsid w:val="001E6B09"/>
    <w:rsid w:val="001E7CA4"/>
    <w:rsid w:val="001F0196"/>
    <w:rsid w:val="001F0A6D"/>
    <w:rsid w:val="001F0DD6"/>
    <w:rsid w:val="001F0F17"/>
    <w:rsid w:val="001F1D3F"/>
    <w:rsid w:val="001F278F"/>
    <w:rsid w:val="001F2BD9"/>
    <w:rsid w:val="001F2C1E"/>
    <w:rsid w:val="001F3347"/>
    <w:rsid w:val="001F371B"/>
    <w:rsid w:val="001F38A9"/>
    <w:rsid w:val="001F45B6"/>
    <w:rsid w:val="001F4FB8"/>
    <w:rsid w:val="001F5B74"/>
    <w:rsid w:val="001F669B"/>
    <w:rsid w:val="001F69E4"/>
    <w:rsid w:val="001F760E"/>
    <w:rsid w:val="001F7EB9"/>
    <w:rsid w:val="002009D3"/>
    <w:rsid w:val="00200BA3"/>
    <w:rsid w:val="00202136"/>
    <w:rsid w:val="00202E1A"/>
    <w:rsid w:val="00203113"/>
    <w:rsid w:val="00204101"/>
    <w:rsid w:val="002041DD"/>
    <w:rsid w:val="002047ED"/>
    <w:rsid w:val="00204D64"/>
    <w:rsid w:val="00206225"/>
    <w:rsid w:val="00206FC1"/>
    <w:rsid w:val="00207079"/>
    <w:rsid w:val="0020722D"/>
    <w:rsid w:val="002078FA"/>
    <w:rsid w:val="00207D39"/>
    <w:rsid w:val="00210089"/>
    <w:rsid w:val="002101F0"/>
    <w:rsid w:val="002109AD"/>
    <w:rsid w:val="00212156"/>
    <w:rsid w:val="002125B4"/>
    <w:rsid w:val="002129A1"/>
    <w:rsid w:val="00214A01"/>
    <w:rsid w:val="00215493"/>
    <w:rsid w:val="002155B8"/>
    <w:rsid w:val="00215E0D"/>
    <w:rsid w:val="002167F2"/>
    <w:rsid w:val="00216F00"/>
    <w:rsid w:val="002171CC"/>
    <w:rsid w:val="00217FCA"/>
    <w:rsid w:val="0022094E"/>
    <w:rsid w:val="00220DF1"/>
    <w:rsid w:val="00221154"/>
    <w:rsid w:val="002212F5"/>
    <w:rsid w:val="00222265"/>
    <w:rsid w:val="00222D00"/>
    <w:rsid w:val="0022404C"/>
    <w:rsid w:val="00224165"/>
    <w:rsid w:val="00224839"/>
    <w:rsid w:val="002249B2"/>
    <w:rsid w:val="00226215"/>
    <w:rsid w:val="00226574"/>
    <w:rsid w:val="0022659E"/>
    <w:rsid w:val="0022723E"/>
    <w:rsid w:val="002278D0"/>
    <w:rsid w:val="002278EC"/>
    <w:rsid w:val="0023048C"/>
    <w:rsid w:val="0023280E"/>
    <w:rsid w:val="0023337B"/>
    <w:rsid w:val="0023343B"/>
    <w:rsid w:val="00233C2B"/>
    <w:rsid w:val="00233D88"/>
    <w:rsid w:val="00234610"/>
    <w:rsid w:val="00234D4E"/>
    <w:rsid w:val="00235795"/>
    <w:rsid w:val="002365FF"/>
    <w:rsid w:val="00237144"/>
    <w:rsid w:val="0023726D"/>
    <w:rsid w:val="002377D1"/>
    <w:rsid w:val="0023783F"/>
    <w:rsid w:val="0024055C"/>
    <w:rsid w:val="00240DD1"/>
    <w:rsid w:val="00241176"/>
    <w:rsid w:val="00241D1D"/>
    <w:rsid w:val="00241D58"/>
    <w:rsid w:val="002426CC"/>
    <w:rsid w:val="00242B16"/>
    <w:rsid w:val="002467F1"/>
    <w:rsid w:val="00246D8F"/>
    <w:rsid w:val="00247B3A"/>
    <w:rsid w:val="00247E5F"/>
    <w:rsid w:val="002506BC"/>
    <w:rsid w:val="002509A0"/>
    <w:rsid w:val="00251DCE"/>
    <w:rsid w:val="002526C2"/>
    <w:rsid w:val="00252AD3"/>
    <w:rsid w:val="00252E58"/>
    <w:rsid w:val="00253935"/>
    <w:rsid w:val="00253F2C"/>
    <w:rsid w:val="00254345"/>
    <w:rsid w:val="0025445D"/>
    <w:rsid w:val="00255776"/>
    <w:rsid w:val="00255871"/>
    <w:rsid w:val="00256351"/>
    <w:rsid w:val="00256491"/>
    <w:rsid w:val="002567F5"/>
    <w:rsid w:val="00260838"/>
    <w:rsid w:val="00260E90"/>
    <w:rsid w:val="002640A2"/>
    <w:rsid w:val="002642F9"/>
    <w:rsid w:val="00264557"/>
    <w:rsid w:val="00264B0B"/>
    <w:rsid w:val="0026504F"/>
    <w:rsid w:val="00265398"/>
    <w:rsid w:val="002664E5"/>
    <w:rsid w:val="00266D1B"/>
    <w:rsid w:val="002674D9"/>
    <w:rsid w:val="00267A55"/>
    <w:rsid w:val="002712C4"/>
    <w:rsid w:val="002712DB"/>
    <w:rsid w:val="00271948"/>
    <w:rsid w:val="00271E37"/>
    <w:rsid w:val="002720FB"/>
    <w:rsid w:val="00273026"/>
    <w:rsid w:val="0027329B"/>
    <w:rsid w:val="00273621"/>
    <w:rsid w:val="0027364A"/>
    <w:rsid w:val="00273784"/>
    <w:rsid w:val="002741F2"/>
    <w:rsid w:val="0027458C"/>
    <w:rsid w:val="00274DDF"/>
    <w:rsid w:val="002752D0"/>
    <w:rsid w:val="002753CA"/>
    <w:rsid w:val="0027586A"/>
    <w:rsid w:val="00275F4D"/>
    <w:rsid w:val="00276034"/>
    <w:rsid w:val="00276094"/>
    <w:rsid w:val="002805AB"/>
    <w:rsid w:val="00281740"/>
    <w:rsid w:val="0028174E"/>
    <w:rsid w:val="00281A7F"/>
    <w:rsid w:val="00282534"/>
    <w:rsid w:val="002829ED"/>
    <w:rsid w:val="00282EAE"/>
    <w:rsid w:val="0028381C"/>
    <w:rsid w:val="00283CA6"/>
    <w:rsid w:val="00283F8C"/>
    <w:rsid w:val="00284204"/>
    <w:rsid w:val="0028467E"/>
    <w:rsid w:val="00285773"/>
    <w:rsid w:val="00286F19"/>
    <w:rsid w:val="002874EA"/>
    <w:rsid w:val="00290318"/>
    <w:rsid w:val="00290561"/>
    <w:rsid w:val="00291773"/>
    <w:rsid w:val="00291C24"/>
    <w:rsid w:val="0029207D"/>
    <w:rsid w:val="002933E2"/>
    <w:rsid w:val="00294441"/>
    <w:rsid w:val="002954F5"/>
    <w:rsid w:val="00295B0F"/>
    <w:rsid w:val="002962D6"/>
    <w:rsid w:val="002A168C"/>
    <w:rsid w:val="002A1795"/>
    <w:rsid w:val="002A1B3E"/>
    <w:rsid w:val="002A1BC2"/>
    <w:rsid w:val="002A26A0"/>
    <w:rsid w:val="002A2B1A"/>
    <w:rsid w:val="002A3DC7"/>
    <w:rsid w:val="002A57A3"/>
    <w:rsid w:val="002A74D1"/>
    <w:rsid w:val="002A77BD"/>
    <w:rsid w:val="002B0437"/>
    <w:rsid w:val="002B0445"/>
    <w:rsid w:val="002B0EF1"/>
    <w:rsid w:val="002B104F"/>
    <w:rsid w:val="002B1742"/>
    <w:rsid w:val="002B18BB"/>
    <w:rsid w:val="002B199D"/>
    <w:rsid w:val="002B2717"/>
    <w:rsid w:val="002B2941"/>
    <w:rsid w:val="002B3111"/>
    <w:rsid w:val="002B3243"/>
    <w:rsid w:val="002B3C9A"/>
    <w:rsid w:val="002B49E2"/>
    <w:rsid w:val="002B4C18"/>
    <w:rsid w:val="002B556B"/>
    <w:rsid w:val="002B5720"/>
    <w:rsid w:val="002B5EE1"/>
    <w:rsid w:val="002B6A97"/>
    <w:rsid w:val="002B719B"/>
    <w:rsid w:val="002B7B00"/>
    <w:rsid w:val="002B7C44"/>
    <w:rsid w:val="002B7E77"/>
    <w:rsid w:val="002C1515"/>
    <w:rsid w:val="002C1FF7"/>
    <w:rsid w:val="002C20C3"/>
    <w:rsid w:val="002C2B17"/>
    <w:rsid w:val="002C2C88"/>
    <w:rsid w:val="002C2FA6"/>
    <w:rsid w:val="002C3361"/>
    <w:rsid w:val="002C464F"/>
    <w:rsid w:val="002C60B1"/>
    <w:rsid w:val="002C6243"/>
    <w:rsid w:val="002C7232"/>
    <w:rsid w:val="002C75F1"/>
    <w:rsid w:val="002C77E3"/>
    <w:rsid w:val="002C7DCC"/>
    <w:rsid w:val="002D13C3"/>
    <w:rsid w:val="002D2C6F"/>
    <w:rsid w:val="002D3508"/>
    <w:rsid w:val="002D3DD0"/>
    <w:rsid w:val="002D4A97"/>
    <w:rsid w:val="002D4E14"/>
    <w:rsid w:val="002D4E1A"/>
    <w:rsid w:val="002D52DD"/>
    <w:rsid w:val="002D58B4"/>
    <w:rsid w:val="002D5DFA"/>
    <w:rsid w:val="002D5F14"/>
    <w:rsid w:val="002D616A"/>
    <w:rsid w:val="002D62F4"/>
    <w:rsid w:val="002D71C7"/>
    <w:rsid w:val="002D79E7"/>
    <w:rsid w:val="002D7DB7"/>
    <w:rsid w:val="002E0096"/>
    <w:rsid w:val="002E0578"/>
    <w:rsid w:val="002E0973"/>
    <w:rsid w:val="002E097B"/>
    <w:rsid w:val="002E0A7F"/>
    <w:rsid w:val="002E0B3B"/>
    <w:rsid w:val="002E0CCC"/>
    <w:rsid w:val="002E0DAE"/>
    <w:rsid w:val="002E15EF"/>
    <w:rsid w:val="002E1EA6"/>
    <w:rsid w:val="002E1F3A"/>
    <w:rsid w:val="002E23C1"/>
    <w:rsid w:val="002E25D8"/>
    <w:rsid w:val="002E25EF"/>
    <w:rsid w:val="002E298A"/>
    <w:rsid w:val="002E375C"/>
    <w:rsid w:val="002E3D1A"/>
    <w:rsid w:val="002E3D82"/>
    <w:rsid w:val="002E44EC"/>
    <w:rsid w:val="002E5255"/>
    <w:rsid w:val="002E5655"/>
    <w:rsid w:val="002E6C2B"/>
    <w:rsid w:val="002F00A7"/>
    <w:rsid w:val="002F0486"/>
    <w:rsid w:val="002F05F7"/>
    <w:rsid w:val="002F0FAE"/>
    <w:rsid w:val="002F14F1"/>
    <w:rsid w:val="002F1C58"/>
    <w:rsid w:val="002F2912"/>
    <w:rsid w:val="002F3CCB"/>
    <w:rsid w:val="002F4A8A"/>
    <w:rsid w:val="002F548E"/>
    <w:rsid w:val="002F5B95"/>
    <w:rsid w:val="002F6036"/>
    <w:rsid w:val="002F6CB5"/>
    <w:rsid w:val="002F6D50"/>
    <w:rsid w:val="002F6E71"/>
    <w:rsid w:val="002F72D9"/>
    <w:rsid w:val="002F7FC1"/>
    <w:rsid w:val="0030059A"/>
    <w:rsid w:val="00301978"/>
    <w:rsid w:val="00301E54"/>
    <w:rsid w:val="00301F1F"/>
    <w:rsid w:val="00302DDF"/>
    <w:rsid w:val="0030332C"/>
    <w:rsid w:val="00303736"/>
    <w:rsid w:val="00303855"/>
    <w:rsid w:val="0030399B"/>
    <w:rsid w:val="00304AA5"/>
    <w:rsid w:val="00304FD9"/>
    <w:rsid w:val="003051C2"/>
    <w:rsid w:val="00305467"/>
    <w:rsid w:val="0030600E"/>
    <w:rsid w:val="003067B6"/>
    <w:rsid w:val="003067C7"/>
    <w:rsid w:val="00306F6C"/>
    <w:rsid w:val="00310899"/>
    <w:rsid w:val="00310B40"/>
    <w:rsid w:val="00310D87"/>
    <w:rsid w:val="00311181"/>
    <w:rsid w:val="003116AB"/>
    <w:rsid w:val="00312296"/>
    <w:rsid w:val="00312610"/>
    <w:rsid w:val="003143E7"/>
    <w:rsid w:val="00314B1E"/>
    <w:rsid w:val="00314F0E"/>
    <w:rsid w:val="0031545A"/>
    <w:rsid w:val="003155D0"/>
    <w:rsid w:val="003162CA"/>
    <w:rsid w:val="00316929"/>
    <w:rsid w:val="00316BB4"/>
    <w:rsid w:val="0031727F"/>
    <w:rsid w:val="003174B1"/>
    <w:rsid w:val="00317935"/>
    <w:rsid w:val="0032008D"/>
    <w:rsid w:val="00320499"/>
    <w:rsid w:val="0032058C"/>
    <w:rsid w:val="003211E1"/>
    <w:rsid w:val="0032145E"/>
    <w:rsid w:val="00321D8E"/>
    <w:rsid w:val="00322394"/>
    <w:rsid w:val="0032254D"/>
    <w:rsid w:val="00323394"/>
    <w:rsid w:val="0032514B"/>
    <w:rsid w:val="00325928"/>
    <w:rsid w:val="00326C3F"/>
    <w:rsid w:val="00326DB4"/>
    <w:rsid w:val="00327420"/>
    <w:rsid w:val="00327FDA"/>
    <w:rsid w:val="00330110"/>
    <w:rsid w:val="0033068E"/>
    <w:rsid w:val="00331636"/>
    <w:rsid w:val="0033186B"/>
    <w:rsid w:val="003321F2"/>
    <w:rsid w:val="00332863"/>
    <w:rsid w:val="00333610"/>
    <w:rsid w:val="00333EC1"/>
    <w:rsid w:val="00333EEC"/>
    <w:rsid w:val="003349D0"/>
    <w:rsid w:val="003352FE"/>
    <w:rsid w:val="0033684D"/>
    <w:rsid w:val="00336ABC"/>
    <w:rsid w:val="00337A58"/>
    <w:rsid w:val="00337B42"/>
    <w:rsid w:val="00340096"/>
    <w:rsid w:val="00341B42"/>
    <w:rsid w:val="00341BF7"/>
    <w:rsid w:val="00341FF1"/>
    <w:rsid w:val="00343291"/>
    <w:rsid w:val="0034348F"/>
    <w:rsid w:val="00343EC0"/>
    <w:rsid w:val="00344205"/>
    <w:rsid w:val="003444EF"/>
    <w:rsid w:val="00344E3B"/>
    <w:rsid w:val="003461E0"/>
    <w:rsid w:val="00346EFA"/>
    <w:rsid w:val="00347B5D"/>
    <w:rsid w:val="00353FC9"/>
    <w:rsid w:val="0035504A"/>
    <w:rsid w:val="003562EE"/>
    <w:rsid w:val="00356653"/>
    <w:rsid w:val="00356958"/>
    <w:rsid w:val="00356B84"/>
    <w:rsid w:val="00356DCD"/>
    <w:rsid w:val="00356F6A"/>
    <w:rsid w:val="0035743F"/>
    <w:rsid w:val="0035786A"/>
    <w:rsid w:val="00357BE2"/>
    <w:rsid w:val="0036170C"/>
    <w:rsid w:val="00361ABD"/>
    <w:rsid w:val="00361D0A"/>
    <w:rsid w:val="00361DA4"/>
    <w:rsid w:val="00361F4C"/>
    <w:rsid w:val="0036210F"/>
    <w:rsid w:val="0036212B"/>
    <w:rsid w:val="003641A6"/>
    <w:rsid w:val="00365A1B"/>
    <w:rsid w:val="00365F89"/>
    <w:rsid w:val="003662C0"/>
    <w:rsid w:val="00366485"/>
    <w:rsid w:val="003668DC"/>
    <w:rsid w:val="00366904"/>
    <w:rsid w:val="00366E0F"/>
    <w:rsid w:val="00366E75"/>
    <w:rsid w:val="003677B0"/>
    <w:rsid w:val="00367CF4"/>
    <w:rsid w:val="0037029A"/>
    <w:rsid w:val="00370DA4"/>
    <w:rsid w:val="0037100C"/>
    <w:rsid w:val="00371C7A"/>
    <w:rsid w:val="003723FC"/>
    <w:rsid w:val="00374670"/>
    <w:rsid w:val="00374717"/>
    <w:rsid w:val="0037477E"/>
    <w:rsid w:val="0037514D"/>
    <w:rsid w:val="003751DC"/>
    <w:rsid w:val="003762AD"/>
    <w:rsid w:val="00376E61"/>
    <w:rsid w:val="00377492"/>
    <w:rsid w:val="00377510"/>
    <w:rsid w:val="003806EA"/>
    <w:rsid w:val="00380C63"/>
    <w:rsid w:val="003813A8"/>
    <w:rsid w:val="003816E2"/>
    <w:rsid w:val="003817AA"/>
    <w:rsid w:val="00381998"/>
    <w:rsid w:val="00381A59"/>
    <w:rsid w:val="00381A72"/>
    <w:rsid w:val="00381AD3"/>
    <w:rsid w:val="00381B71"/>
    <w:rsid w:val="0038205F"/>
    <w:rsid w:val="00382134"/>
    <w:rsid w:val="0038258E"/>
    <w:rsid w:val="00382AEA"/>
    <w:rsid w:val="003834DB"/>
    <w:rsid w:val="00383D68"/>
    <w:rsid w:val="00384676"/>
    <w:rsid w:val="00384D06"/>
    <w:rsid w:val="00385AA7"/>
    <w:rsid w:val="003868E0"/>
    <w:rsid w:val="00386FD7"/>
    <w:rsid w:val="00387027"/>
    <w:rsid w:val="0038793B"/>
    <w:rsid w:val="00387A68"/>
    <w:rsid w:val="003906D2"/>
    <w:rsid w:val="00390857"/>
    <w:rsid w:val="00390947"/>
    <w:rsid w:val="00390E0B"/>
    <w:rsid w:val="00391D7F"/>
    <w:rsid w:val="00392BCE"/>
    <w:rsid w:val="00392D24"/>
    <w:rsid w:val="00394421"/>
    <w:rsid w:val="0039498C"/>
    <w:rsid w:val="00394A50"/>
    <w:rsid w:val="00395386"/>
    <w:rsid w:val="00395A5A"/>
    <w:rsid w:val="003965C1"/>
    <w:rsid w:val="00397099"/>
    <w:rsid w:val="003A0CA8"/>
    <w:rsid w:val="003A0F1D"/>
    <w:rsid w:val="003A1F83"/>
    <w:rsid w:val="003A32B4"/>
    <w:rsid w:val="003A46AE"/>
    <w:rsid w:val="003A4772"/>
    <w:rsid w:val="003A4BF3"/>
    <w:rsid w:val="003A5905"/>
    <w:rsid w:val="003A5A62"/>
    <w:rsid w:val="003A6017"/>
    <w:rsid w:val="003A75AF"/>
    <w:rsid w:val="003A7C82"/>
    <w:rsid w:val="003B0D48"/>
    <w:rsid w:val="003B1012"/>
    <w:rsid w:val="003B1812"/>
    <w:rsid w:val="003B24DA"/>
    <w:rsid w:val="003B4141"/>
    <w:rsid w:val="003B420D"/>
    <w:rsid w:val="003B4F39"/>
    <w:rsid w:val="003B4FDA"/>
    <w:rsid w:val="003B5253"/>
    <w:rsid w:val="003B53F8"/>
    <w:rsid w:val="003B5571"/>
    <w:rsid w:val="003B58F0"/>
    <w:rsid w:val="003B626A"/>
    <w:rsid w:val="003B656B"/>
    <w:rsid w:val="003B75F7"/>
    <w:rsid w:val="003B7AE8"/>
    <w:rsid w:val="003C0E3D"/>
    <w:rsid w:val="003C0ED0"/>
    <w:rsid w:val="003C0F5A"/>
    <w:rsid w:val="003C1369"/>
    <w:rsid w:val="003C1403"/>
    <w:rsid w:val="003C475F"/>
    <w:rsid w:val="003C4B6F"/>
    <w:rsid w:val="003C51D2"/>
    <w:rsid w:val="003C5304"/>
    <w:rsid w:val="003C6558"/>
    <w:rsid w:val="003C65D4"/>
    <w:rsid w:val="003C6A9B"/>
    <w:rsid w:val="003C6C16"/>
    <w:rsid w:val="003C6F20"/>
    <w:rsid w:val="003C7957"/>
    <w:rsid w:val="003D113D"/>
    <w:rsid w:val="003D2656"/>
    <w:rsid w:val="003D2C5C"/>
    <w:rsid w:val="003D30B7"/>
    <w:rsid w:val="003D34D7"/>
    <w:rsid w:val="003D3ABB"/>
    <w:rsid w:val="003D3CE3"/>
    <w:rsid w:val="003D3D2D"/>
    <w:rsid w:val="003D4097"/>
    <w:rsid w:val="003D4562"/>
    <w:rsid w:val="003D4935"/>
    <w:rsid w:val="003D55CD"/>
    <w:rsid w:val="003D66CB"/>
    <w:rsid w:val="003D6823"/>
    <w:rsid w:val="003D6D06"/>
    <w:rsid w:val="003D794D"/>
    <w:rsid w:val="003D7ABC"/>
    <w:rsid w:val="003D7D5C"/>
    <w:rsid w:val="003D7FB3"/>
    <w:rsid w:val="003E0446"/>
    <w:rsid w:val="003E0B40"/>
    <w:rsid w:val="003E2055"/>
    <w:rsid w:val="003E2264"/>
    <w:rsid w:val="003E2630"/>
    <w:rsid w:val="003E2FFA"/>
    <w:rsid w:val="003E3058"/>
    <w:rsid w:val="003E3462"/>
    <w:rsid w:val="003E3A06"/>
    <w:rsid w:val="003E4820"/>
    <w:rsid w:val="003E50C7"/>
    <w:rsid w:val="003E550C"/>
    <w:rsid w:val="003E5D6D"/>
    <w:rsid w:val="003E5DE6"/>
    <w:rsid w:val="003E5F5F"/>
    <w:rsid w:val="003E6B1C"/>
    <w:rsid w:val="003E73A0"/>
    <w:rsid w:val="003E7425"/>
    <w:rsid w:val="003E76A9"/>
    <w:rsid w:val="003E76EB"/>
    <w:rsid w:val="003F06C9"/>
    <w:rsid w:val="003F0809"/>
    <w:rsid w:val="003F14DD"/>
    <w:rsid w:val="003F1880"/>
    <w:rsid w:val="003F1DB5"/>
    <w:rsid w:val="003F2259"/>
    <w:rsid w:val="003F287D"/>
    <w:rsid w:val="003F33DD"/>
    <w:rsid w:val="003F36BE"/>
    <w:rsid w:val="003F3B55"/>
    <w:rsid w:val="003F3E85"/>
    <w:rsid w:val="003F4054"/>
    <w:rsid w:val="003F448B"/>
    <w:rsid w:val="003F488D"/>
    <w:rsid w:val="003F57DE"/>
    <w:rsid w:val="003F5E0E"/>
    <w:rsid w:val="003F6059"/>
    <w:rsid w:val="003F6A8C"/>
    <w:rsid w:val="003F755C"/>
    <w:rsid w:val="003F7738"/>
    <w:rsid w:val="003F778D"/>
    <w:rsid w:val="003F7815"/>
    <w:rsid w:val="003F785F"/>
    <w:rsid w:val="00400A7D"/>
    <w:rsid w:val="00401CD5"/>
    <w:rsid w:val="0040284B"/>
    <w:rsid w:val="00403EC2"/>
    <w:rsid w:val="004041BD"/>
    <w:rsid w:val="004052AF"/>
    <w:rsid w:val="004063E6"/>
    <w:rsid w:val="004068EE"/>
    <w:rsid w:val="00406D3B"/>
    <w:rsid w:val="00406F01"/>
    <w:rsid w:val="004074ED"/>
    <w:rsid w:val="00411F21"/>
    <w:rsid w:val="00412BB1"/>
    <w:rsid w:val="00412C5D"/>
    <w:rsid w:val="00412E16"/>
    <w:rsid w:val="00413436"/>
    <w:rsid w:val="004142E0"/>
    <w:rsid w:val="004146E6"/>
    <w:rsid w:val="00414830"/>
    <w:rsid w:val="00415554"/>
    <w:rsid w:val="00415604"/>
    <w:rsid w:val="0041619A"/>
    <w:rsid w:val="004162C1"/>
    <w:rsid w:val="00416D50"/>
    <w:rsid w:val="00416FD5"/>
    <w:rsid w:val="00417772"/>
    <w:rsid w:val="00417DFB"/>
    <w:rsid w:val="004200F2"/>
    <w:rsid w:val="00420BCD"/>
    <w:rsid w:val="00420E6A"/>
    <w:rsid w:val="004211F1"/>
    <w:rsid w:val="00421CF6"/>
    <w:rsid w:val="00422499"/>
    <w:rsid w:val="004233FE"/>
    <w:rsid w:val="00424B3C"/>
    <w:rsid w:val="00424CF7"/>
    <w:rsid w:val="004251A6"/>
    <w:rsid w:val="00425A9E"/>
    <w:rsid w:val="00426D6B"/>
    <w:rsid w:val="00427080"/>
    <w:rsid w:val="004304CF"/>
    <w:rsid w:val="00430545"/>
    <w:rsid w:val="0043115C"/>
    <w:rsid w:val="004316E8"/>
    <w:rsid w:val="00431C63"/>
    <w:rsid w:val="00431E6C"/>
    <w:rsid w:val="004322BD"/>
    <w:rsid w:val="00432892"/>
    <w:rsid w:val="00432B5C"/>
    <w:rsid w:val="00432B6B"/>
    <w:rsid w:val="00433C4E"/>
    <w:rsid w:val="00433CE7"/>
    <w:rsid w:val="0043505F"/>
    <w:rsid w:val="00435227"/>
    <w:rsid w:val="00436729"/>
    <w:rsid w:val="00436D1A"/>
    <w:rsid w:val="0043701E"/>
    <w:rsid w:val="00437152"/>
    <w:rsid w:val="004378E5"/>
    <w:rsid w:val="00440AEE"/>
    <w:rsid w:val="00440B15"/>
    <w:rsid w:val="00440E67"/>
    <w:rsid w:val="00441ACE"/>
    <w:rsid w:val="00441E38"/>
    <w:rsid w:val="00441E63"/>
    <w:rsid w:val="00441F69"/>
    <w:rsid w:val="004425F9"/>
    <w:rsid w:val="004429E9"/>
    <w:rsid w:val="00442D88"/>
    <w:rsid w:val="00443F63"/>
    <w:rsid w:val="00444228"/>
    <w:rsid w:val="00444240"/>
    <w:rsid w:val="004442BD"/>
    <w:rsid w:val="00445D61"/>
    <w:rsid w:val="00446AEC"/>
    <w:rsid w:val="00447CFD"/>
    <w:rsid w:val="00450709"/>
    <w:rsid w:val="004507D6"/>
    <w:rsid w:val="00450F86"/>
    <w:rsid w:val="00451076"/>
    <w:rsid w:val="004510A0"/>
    <w:rsid w:val="004524CB"/>
    <w:rsid w:val="004524DC"/>
    <w:rsid w:val="00452738"/>
    <w:rsid w:val="00452CB7"/>
    <w:rsid w:val="004532C7"/>
    <w:rsid w:val="00453A11"/>
    <w:rsid w:val="00456091"/>
    <w:rsid w:val="004564EF"/>
    <w:rsid w:val="00457267"/>
    <w:rsid w:val="004572C8"/>
    <w:rsid w:val="0045731C"/>
    <w:rsid w:val="0046004D"/>
    <w:rsid w:val="0046075E"/>
    <w:rsid w:val="00460819"/>
    <w:rsid w:val="00460901"/>
    <w:rsid w:val="0046241C"/>
    <w:rsid w:val="00462FFB"/>
    <w:rsid w:val="00463ACC"/>
    <w:rsid w:val="00463EEC"/>
    <w:rsid w:val="00463F56"/>
    <w:rsid w:val="004643C7"/>
    <w:rsid w:val="00464718"/>
    <w:rsid w:val="00465537"/>
    <w:rsid w:val="00465902"/>
    <w:rsid w:val="00466152"/>
    <w:rsid w:val="00466159"/>
    <w:rsid w:val="00466321"/>
    <w:rsid w:val="00466710"/>
    <w:rsid w:val="0046679F"/>
    <w:rsid w:val="00466FB4"/>
    <w:rsid w:val="0046730C"/>
    <w:rsid w:val="0046760F"/>
    <w:rsid w:val="0046774B"/>
    <w:rsid w:val="00467FAD"/>
    <w:rsid w:val="00470926"/>
    <w:rsid w:val="004723A7"/>
    <w:rsid w:val="00472C44"/>
    <w:rsid w:val="0047357B"/>
    <w:rsid w:val="00473FDE"/>
    <w:rsid w:val="00474224"/>
    <w:rsid w:val="004743FD"/>
    <w:rsid w:val="004749D7"/>
    <w:rsid w:val="004754D6"/>
    <w:rsid w:val="00475B61"/>
    <w:rsid w:val="0047687D"/>
    <w:rsid w:val="00476E22"/>
    <w:rsid w:val="0047773D"/>
    <w:rsid w:val="004778A0"/>
    <w:rsid w:val="004778E5"/>
    <w:rsid w:val="0048047E"/>
    <w:rsid w:val="004807C7"/>
    <w:rsid w:val="004819DA"/>
    <w:rsid w:val="00481F79"/>
    <w:rsid w:val="0048230B"/>
    <w:rsid w:val="0048253F"/>
    <w:rsid w:val="0048259B"/>
    <w:rsid w:val="0048278D"/>
    <w:rsid w:val="004834F4"/>
    <w:rsid w:val="00484B9B"/>
    <w:rsid w:val="00484DEE"/>
    <w:rsid w:val="004855F6"/>
    <w:rsid w:val="00486327"/>
    <w:rsid w:val="0048661E"/>
    <w:rsid w:val="00486B54"/>
    <w:rsid w:val="00487CCE"/>
    <w:rsid w:val="00490390"/>
    <w:rsid w:val="00490D4F"/>
    <w:rsid w:val="00490D88"/>
    <w:rsid w:val="00491521"/>
    <w:rsid w:val="00491612"/>
    <w:rsid w:val="00492167"/>
    <w:rsid w:val="0049299B"/>
    <w:rsid w:val="00492BCE"/>
    <w:rsid w:val="0049333D"/>
    <w:rsid w:val="0049420B"/>
    <w:rsid w:val="00494670"/>
    <w:rsid w:val="004948A1"/>
    <w:rsid w:val="00494E02"/>
    <w:rsid w:val="00494E6F"/>
    <w:rsid w:val="00495D23"/>
    <w:rsid w:val="00495EBD"/>
    <w:rsid w:val="00495F15"/>
    <w:rsid w:val="004A00F7"/>
    <w:rsid w:val="004A0B28"/>
    <w:rsid w:val="004A1BCC"/>
    <w:rsid w:val="004A2AAC"/>
    <w:rsid w:val="004A307C"/>
    <w:rsid w:val="004A33DB"/>
    <w:rsid w:val="004A3823"/>
    <w:rsid w:val="004A3909"/>
    <w:rsid w:val="004A3DDF"/>
    <w:rsid w:val="004A4568"/>
    <w:rsid w:val="004A4B89"/>
    <w:rsid w:val="004A6D4F"/>
    <w:rsid w:val="004A6EFA"/>
    <w:rsid w:val="004A7152"/>
    <w:rsid w:val="004A7274"/>
    <w:rsid w:val="004A72DE"/>
    <w:rsid w:val="004A7ECF"/>
    <w:rsid w:val="004B010B"/>
    <w:rsid w:val="004B028B"/>
    <w:rsid w:val="004B0749"/>
    <w:rsid w:val="004B171A"/>
    <w:rsid w:val="004B1C70"/>
    <w:rsid w:val="004B204F"/>
    <w:rsid w:val="004B3B8D"/>
    <w:rsid w:val="004B5A43"/>
    <w:rsid w:val="004B5D28"/>
    <w:rsid w:val="004B6722"/>
    <w:rsid w:val="004B6D4A"/>
    <w:rsid w:val="004B7D31"/>
    <w:rsid w:val="004C1265"/>
    <w:rsid w:val="004C1287"/>
    <w:rsid w:val="004C1351"/>
    <w:rsid w:val="004C2F3A"/>
    <w:rsid w:val="004C3124"/>
    <w:rsid w:val="004C313C"/>
    <w:rsid w:val="004C4130"/>
    <w:rsid w:val="004C5910"/>
    <w:rsid w:val="004C59EE"/>
    <w:rsid w:val="004C5BCC"/>
    <w:rsid w:val="004C5CA4"/>
    <w:rsid w:val="004C6DFD"/>
    <w:rsid w:val="004C6E26"/>
    <w:rsid w:val="004C7306"/>
    <w:rsid w:val="004C7902"/>
    <w:rsid w:val="004C7AF4"/>
    <w:rsid w:val="004D0E8B"/>
    <w:rsid w:val="004D0F83"/>
    <w:rsid w:val="004D10E4"/>
    <w:rsid w:val="004D1493"/>
    <w:rsid w:val="004D1F99"/>
    <w:rsid w:val="004D2783"/>
    <w:rsid w:val="004D28C2"/>
    <w:rsid w:val="004D2A10"/>
    <w:rsid w:val="004D3049"/>
    <w:rsid w:val="004D33F3"/>
    <w:rsid w:val="004D361B"/>
    <w:rsid w:val="004D4112"/>
    <w:rsid w:val="004D4154"/>
    <w:rsid w:val="004D666D"/>
    <w:rsid w:val="004E08A6"/>
    <w:rsid w:val="004E0996"/>
    <w:rsid w:val="004E0B08"/>
    <w:rsid w:val="004E1D94"/>
    <w:rsid w:val="004E272C"/>
    <w:rsid w:val="004E2C6D"/>
    <w:rsid w:val="004E2F52"/>
    <w:rsid w:val="004E38F9"/>
    <w:rsid w:val="004E5476"/>
    <w:rsid w:val="004E55B5"/>
    <w:rsid w:val="004E63C9"/>
    <w:rsid w:val="004E6946"/>
    <w:rsid w:val="004E6B55"/>
    <w:rsid w:val="004E6CFE"/>
    <w:rsid w:val="004F0A1F"/>
    <w:rsid w:val="004F1AD8"/>
    <w:rsid w:val="004F242C"/>
    <w:rsid w:val="004F2BC0"/>
    <w:rsid w:val="004F336A"/>
    <w:rsid w:val="004F3600"/>
    <w:rsid w:val="004F4B46"/>
    <w:rsid w:val="004F57AC"/>
    <w:rsid w:val="004F58D0"/>
    <w:rsid w:val="004F5FF8"/>
    <w:rsid w:val="004F60C5"/>
    <w:rsid w:val="004F615A"/>
    <w:rsid w:val="004F6832"/>
    <w:rsid w:val="004F6BDC"/>
    <w:rsid w:val="004F6D37"/>
    <w:rsid w:val="00500040"/>
    <w:rsid w:val="005000E3"/>
    <w:rsid w:val="005003CC"/>
    <w:rsid w:val="00500940"/>
    <w:rsid w:val="00501BE1"/>
    <w:rsid w:val="00502B5E"/>
    <w:rsid w:val="0050336F"/>
    <w:rsid w:val="005039CB"/>
    <w:rsid w:val="00504281"/>
    <w:rsid w:val="005045F2"/>
    <w:rsid w:val="0050492F"/>
    <w:rsid w:val="00504ED8"/>
    <w:rsid w:val="005050DF"/>
    <w:rsid w:val="0050558F"/>
    <w:rsid w:val="00506286"/>
    <w:rsid w:val="00506FE3"/>
    <w:rsid w:val="005076CE"/>
    <w:rsid w:val="00507F3A"/>
    <w:rsid w:val="00510488"/>
    <w:rsid w:val="0051064A"/>
    <w:rsid w:val="00510813"/>
    <w:rsid w:val="005116DD"/>
    <w:rsid w:val="00511803"/>
    <w:rsid w:val="00511990"/>
    <w:rsid w:val="00511DE0"/>
    <w:rsid w:val="00512EA4"/>
    <w:rsid w:val="00512FC2"/>
    <w:rsid w:val="0051457C"/>
    <w:rsid w:val="005147B7"/>
    <w:rsid w:val="00514870"/>
    <w:rsid w:val="00514B9B"/>
    <w:rsid w:val="00514E7E"/>
    <w:rsid w:val="005167F3"/>
    <w:rsid w:val="00516EF6"/>
    <w:rsid w:val="005171BA"/>
    <w:rsid w:val="005176AF"/>
    <w:rsid w:val="00517D24"/>
    <w:rsid w:val="00517F02"/>
    <w:rsid w:val="00520D28"/>
    <w:rsid w:val="00521263"/>
    <w:rsid w:val="00521981"/>
    <w:rsid w:val="00521E6F"/>
    <w:rsid w:val="005225AD"/>
    <w:rsid w:val="00522734"/>
    <w:rsid w:val="00523041"/>
    <w:rsid w:val="0052327B"/>
    <w:rsid w:val="005237D6"/>
    <w:rsid w:val="0052419F"/>
    <w:rsid w:val="00524303"/>
    <w:rsid w:val="0052540D"/>
    <w:rsid w:val="005258A2"/>
    <w:rsid w:val="005266D4"/>
    <w:rsid w:val="005273D1"/>
    <w:rsid w:val="005278FF"/>
    <w:rsid w:val="005302F9"/>
    <w:rsid w:val="00530B0F"/>
    <w:rsid w:val="0053194B"/>
    <w:rsid w:val="005342CD"/>
    <w:rsid w:val="005355E0"/>
    <w:rsid w:val="00535BDE"/>
    <w:rsid w:val="005369D0"/>
    <w:rsid w:val="00536B9E"/>
    <w:rsid w:val="00536BA2"/>
    <w:rsid w:val="005373F2"/>
    <w:rsid w:val="00537EA3"/>
    <w:rsid w:val="00537FA4"/>
    <w:rsid w:val="005400F1"/>
    <w:rsid w:val="00540111"/>
    <w:rsid w:val="005401AE"/>
    <w:rsid w:val="005403DA"/>
    <w:rsid w:val="005404EA"/>
    <w:rsid w:val="00540781"/>
    <w:rsid w:val="00540D40"/>
    <w:rsid w:val="00541332"/>
    <w:rsid w:val="005417F3"/>
    <w:rsid w:val="00542195"/>
    <w:rsid w:val="00542E07"/>
    <w:rsid w:val="00545424"/>
    <w:rsid w:val="0054545D"/>
    <w:rsid w:val="00546576"/>
    <w:rsid w:val="00547321"/>
    <w:rsid w:val="00547D6B"/>
    <w:rsid w:val="00550209"/>
    <w:rsid w:val="0055083C"/>
    <w:rsid w:val="0055092E"/>
    <w:rsid w:val="00550E5F"/>
    <w:rsid w:val="005511C7"/>
    <w:rsid w:val="00552775"/>
    <w:rsid w:val="00552FAA"/>
    <w:rsid w:val="00553AA7"/>
    <w:rsid w:val="00554A7B"/>
    <w:rsid w:val="0055572C"/>
    <w:rsid w:val="00556054"/>
    <w:rsid w:val="0055694B"/>
    <w:rsid w:val="00556FE6"/>
    <w:rsid w:val="00560DDE"/>
    <w:rsid w:val="0056106A"/>
    <w:rsid w:val="00561550"/>
    <w:rsid w:val="005620FB"/>
    <w:rsid w:val="00562CF9"/>
    <w:rsid w:val="0056342C"/>
    <w:rsid w:val="0056357A"/>
    <w:rsid w:val="0056463A"/>
    <w:rsid w:val="005654E8"/>
    <w:rsid w:val="005655A6"/>
    <w:rsid w:val="005656C6"/>
    <w:rsid w:val="00565C8C"/>
    <w:rsid w:val="0056615D"/>
    <w:rsid w:val="0057051A"/>
    <w:rsid w:val="00570600"/>
    <w:rsid w:val="00570EA7"/>
    <w:rsid w:val="00571876"/>
    <w:rsid w:val="005720AE"/>
    <w:rsid w:val="00573310"/>
    <w:rsid w:val="005743C4"/>
    <w:rsid w:val="0057470E"/>
    <w:rsid w:val="00575494"/>
    <w:rsid w:val="00576373"/>
    <w:rsid w:val="00576955"/>
    <w:rsid w:val="00576A31"/>
    <w:rsid w:val="00576DBA"/>
    <w:rsid w:val="00576F22"/>
    <w:rsid w:val="00577095"/>
    <w:rsid w:val="005778E1"/>
    <w:rsid w:val="00580837"/>
    <w:rsid w:val="00580DC3"/>
    <w:rsid w:val="0058113E"/>
    <w:rsid w:val="0058164F"/>
    <w:rsid w:val="00582585"/>
    <w:rsid w:val="00582926"/>
    <w:rsid w:val="00582C01"/>
    <w:rsid w:val="00582CBA"/>
    <w:rsid w:val="00583F35"/>
    <w:rsid w:val="0058430E"/>
    <w:rsid w:val="00584F2B"/>
    <w:rsid w:val="00585409"/>
    <w:rsid w:val="00585997"/>
    <w:rsid w:val="00585B88"/>
    <w:rsid w:val="0059278E"/>
    <w:rsid w:val="00593180"/>
    <w:rsid w:val="00593BBD"/>
    <w:rsid w:val="00593D1E"/>
    <w:rsid w:val="00594D77"/>
    <w:rsid w:val="005963F7"/>
    <w:rsid w:val="005969E4"/>
    <w:rsid w:val="0059784F"/>
    <w:rsid w:val="00597DA0"/>
    <w:rsid w:val="005A04A0"/>
    <w:rsid w:val="005A06B7"/>
    <w:rsid w:val="005A0E3F"/>
    <w:rsid w:val="005A1759"/>
    <w:rsid w:val="005A1778"/>
    <w:rsid w:val="005A2574"/>
    <w:rsid w:val="005A335C"/>
    <w:rsid w:val="005A39BB"/>
    <w:rsid w:val="005A40E5"/>
    <w:rsid w:val="005A55DB"/>
    <w:rsid w:val="005A5C36"/>
    <w:rsid w:val="005A5C8B"/>
    <w:rsid w:val="005A5D9E"/>
    <w:rsid w:val="005A6744"/>
    <w:rsid w:val="005A6840"/>
    <w:rsid w:val="005A68A7"/>
    <w:rsid w:val="005A71AD"/>
    <w:rsid w:val="005A7237"/>
    <w:rsid w:val="005A7A21"/>
    <w:rsid w:val="005B07FE"/>
    <w:rsid w:val="005B0A6F"/>
    <w:rsid w:val="005B201B"/>
    <w:rsid w:val="005B23E9"/>
    <w:rsid w:val="005B2817"/>
    <w:rsid w:val="005B2D8F"/>
    <w:rsid w:val="005B3548"/>
    <w:rsid w:val="005B38C9"/>
    <w:rsid w:val="005B3D88"/>
    <w:rsid w:val="005B445B"/>
    <w:rsid w:val="005B467B"/>
    <w:rsid w:val="005B4D07"/>
    <w:rsid w:val="005B51D3"/>
    <w:rsid w:val="005B5B1A"/>
    <w:rsid w:val="005B5FE0"/>
    <w:rsid w:val="005B6933"/>
    <w:rsid w:val="005C026D"/>
    <w:rsid w:val="005C0632"/>
    <w:rsid w:val="005C077A"/>
    <w:rsid w:val="005C11C7"/>
    <w:rsid w:val="005C1454"/>
    <w:rsid w:val="005C1BD3"/>
    <w:rsid w:val="005C1D96"/>
    <w:rsid w:val="005C287F"/>
    <w:rsid w:val="005C47A7"/>
    <w:rsid w:val="005C4B39"/>
    <w:rsid w:val="005C57BC"/>
    <w:rsid w:val="005C65A1"/>
    <w:rsid w:val="005C75EB"/>
    <w:rsid w:val="005D013D"/>
    <w:rsid w:val="005D1964"/>
    <w:rsid w:val="005D21E8"/>
    <w:rsid w:val="005D2621"/>
    <w:rsid w:val="005D2ED8"/>
    <w:rsid w:val="005D36AB"/>
    <w:rsid w:val="005D43A0"/>
    <w:rsid w:val="005D5ECF"/>
    <w:rsid w:val="005D6068"/>
    <w:rsid w:val="005D676E"/>
    <w:rsid w:val="005D6CFE"/>
    <w:rsid w:val="005D7207"/>
    <w:rsid w:val="005D73EA"/>
    <w:rsid w:val="005D79BE"/>
    <w:rsid w:val="005E06DE"/>
    <w:rsid w:val="005E0A40"/>
    <w:rsid w:val="005E1417"/>
    <w:rsid w:val="005E1F69"/>
    <w:rsid w:val="005E24E7"/>
    <w:rsid w:val="005E27D7"/>
    <w:rsid w:val="005E2979"/>
    <w:rsid w:val="005E36F5"/>
    <w:rsid w:val="005E4365"/>
    <w:rsid w:val="005E4DAF"/>
    <w:rsid w:val="005E55A8"/>
    <w:rsid w:val="005E55E8"/>
    <w:rsid w:val="005E62A3"/>
    <w:rsid w:val="005E6BEE"/>
    <w:rsid w:val="005E7EA0"/>
    <w:rsid w:val="005F037E"/>
    <w:rsid w:val="005F0D38"/>
    <w:rsid w:val="005F176D"/>
    <w:rsid w:val="005F1BE6"/>
    <w:rsid w:val="005F312C"/>
    <w:rsid w:val="005F3CC6"/>
    <w:rsid w:val="005F5E54"/>
    <w:rsid w:val="005F5EBE"/>
    <w:rsid w:val="0060046B"/>
    <w:rsid w:val="006009B7"/>
    <w:rsid w:val="00602368"/>
    <w:rsid w:val="00603A46"/>
    <w:rsid w:val="00603ED8"/>
    <w:rsid w:val="00604025"/>
    <w:rsid w:val="00604061"/>
    <w:rsid w:val="00604223"/>
    <w:rsid w:val="00604C00"/>
    <w:rsid w:val="00606A0A"/>
    <w:rsid w:val="00606BF4"/>
    <w:rsid w:val="0060760E"/>
    <w:rsid w:val="00607652"/>
    <w:rsid w:val="00607680"/>
    <w:rsid w:val="006100E8"/>
    <w:rsid w:val="006103A3"/>
    <w:rsid w:val="006103FC"/>
    <w:rsid w:val="00610D52"/>
    <w:rsid w:val="0061106F"/>
    <w:rsid w:val="00611AB9"/>
    <w:rsid w:val="00611EC3"/>
    <w:rsid w:val="00612192"/>
    <w:rsid w:val="00612451"/>
    <w:rsid w:val="00613508"/>
    <w:rsid w:val="006138FC"/>
    <w:rsid w:val="00614028"/>
    <w:rsid w:val="00614119"/>
    <w:rsid w:val="00614277"/>
    <w:rsid w:val="0061445F"/>
    <w:rsid w:val="00615BE8"/>
    <w:rsid w:val="00617CC3"/>
    <w:rsid w:val="00617DEC"/>
    <w:rsid w:val="00620598"/>
    <w:rsid w:val="0062099F"/>
    <w:rsid w:val="0062160F"/>
    <w:rsid w:val="00621C9F"/>
    <w:rsid w:val="00623180"/>
    <w:rsid w:val="006232E3"/>
    <w:rsid w:val="00624239"/>
    <w:rsid w:val="00624DE1"/>
    <w:rsid w:val="00626631"/>
    <w:rsid w:val="00627D31"/>
    <w:rsid w:val="00631FAF"/>
    <w:rsid w:val="006324A1"/>
    <w:rsid w:val="00632FEA"/>
    <w:rsid w:val="0063373E"/>
    <w:rsid w:val="00633930"/>
    <w:rsid w:val="00633EFD"/>
    <w:rsid w:val="006346BA"/>
    <w:rsid w:val="00634F21"/>
    <w:rsid w:val="0063528D"/>
    <w:rsid w:val="0063581F"/>
    <w:rsid w:val="0063590C"/>
    <w:rsid w:val="006362FA"/>
    <w:rsid w:val="006377A6"/>
    <w:rsid w:val="00637A3D"/>
    <w:rsid w:val="00637AB4"/>
    <w:rsid w:val="00640D79"/>
    <w:rsid w:val="006411EF"/>
    <w:rsid w:val="00641250"/>
    <w:rsid w:val="006418DF"/>
    <w:rsid w:val="00641CB2"/>
    <w:rsid w:val="00642DFE"/>
    <w:rsid w:val="006431E2"/>
    <w:rsid w:val="0064404E"/>
    <w:rsid w:val="006445C6"/>
    <w:rsid w:val="00645A98"/>
    <w:rsid w:val="0064629D"/>
    <w:rsid w:val="00646778"/>
    <w:rsid w:val="006468AD"/>
    <w:rsid w:val="00647755"/>
    <w:rsid w:val="00651534"/>
    <w:rsid w:val="0065255A"/>
    <w:rsid w:val="00653CC9"/>
    <w:rsid w:val="006544CA"/>
    <w:rsid w:val="00656BD3"/>
    <w:rsid w:val="00656EFC"/>
    <w:rsid w:val="006571F8"/>
    <w:rsid w:val="006609EC"/>
    <w:rsid w:val="00661B18"/>
    <w:rsid w:val="006627EA"/>
    <w:rsid w:val="00662EEB"/>
    <w:rsid w:val="00663822"/>
    <w:rsid w:val="00664649"/>
    <w:rsid w:val="00664C52"/>
    <w:rsid w:val="00664DE7"/>
    <w:rsid w:val="006651B9"/>
    <w:rsid w:val="006663E7"/>
    <w:rsid w:val="006664A1"/>
    <w:rsid w:val="00670544"/>
    <w:rsid w:val="0067185F"/>
    <w:rsid w:val="00672166"/>
    <w:rsid w:val="006722B3"/>
    <w:rsid w:val="00672639"/>
    <w:rsid w:val="006726F8"/>
    <w:rsid w:val="00672794"/>
    <w:rsid w:val="00672826"/>
    <w:rsid w:val="00672C88"/>
    <w:rsid w:val="00673DE2"/>
    <w:rsid w:val="006748B8"/>
    <w:rsid w:val="00674B9E"/>
    <w:rsid w:val="00675C95"/>
    <w:rsid w:val="00676052"/>
    <w:rsid w:val="00676220"/>
    <w:rsid w:val="006764E3"/>
    <w:rsid w:val="00676A8D"/>
    <w:rsid w:val="00677580"/>
    <w:rsid w:val="006775C3"/>
    <w:rsid w:val="00680742"/>
    <w:rsid w:val="00680913"/>
    <w:rsid w:val="006809E3"/>
    <w:rsid w:val="00681707"/>
    <w:rsid w:val="00682895"/>
    <w:rsid w:val="00684078"/>
    <w:rsid w:val="00684A51"/>
    <w:rsid w:val="00684AD4"/>
    <w:rsid w:val="0068555B"/>
    <w:rsid w:val="00685997"/>
    <w:rsid w:val="00686F85"/>
    <w:rsid w:val="006872DE"/>
    <w:rsid w:val="00687510"/>
    <w:rsid w:val="00687B7A"/>
    <w:rsid w:val="00687BF9"/>
    <w:rsid w:val="00687C7B"/>
    <w:rsid w:val="006902F2"/>
    <w:rsid w:val="00690AB9"/>
    <w:rsid w:val="0069175A"/>
    <w:rsid w:val="006921B7"/>
    <w:rsid w:val="0069290A"/>
    <w:rsid w:val="00692983"/>
    <w:rsid w:val="00693321"/>
    <w:rsid w:val="0069375E"/>
    <w:rsid w:val="00693848"/>
    <w:rsid w:val="0069395D"/>
    <w:rsid w:val="00693EB4"/>
    <w:rsid w:val="00693ECA"/>
    <w:rsid w:val="0069460A"/>
    <w:rsid w:val="00694CDB"/>
    <w:rsid w:val="0069539E"/>
    <w:rsid w:val="006956C4"/>
    <w:rsid w:val="006969BB"/>
    <w:rsid w:val="00696B55"/>
    <w:rsid w:val="00696C0C"/>
    <w:rsid w:val="00696C13"/>
    <w:rsid w:val="00696D37"/>
    <w:rsid w:val="00697659"/>
    <w:rsid w:val="0069775A"/>
    <w:rsid w:val="00697813"/>
    <w:rsid w:val="00697926"/>
    <w:rsid w:val="006A0395"/>
    <w:rsid w:val="006A06F8"/>
    <w:rsid w:val="006A1265"/>
    <w:rsid w:val="006A1368"/>
    <w:rsid w:val="006A1798"/>
    <w:rsid w:val="006A1D5B"/>
    <w:rsid w:val="006A31E3"/>
    <w:rsid w:val="006A3AAA"/>
    <w:rsid w:val="006A3EE8"/>
    <w:rsid w:val="006A4788"/>
    <w:rsid w:val="006A53B9"/>
    <w:rsid w:val="006A561F"/>
    <w:rsid w:val="006A56E6"/>
    <w:rsid w:val="006A5CE9"/>
    <w:rsid w:val="006A6506"/>
    <w:rsid w:val="006A67DF"/>
    <w:rsid w:val="006A6A9D"/>
    <w:rsid w:val="006A72BF"/>
    <w:rsid w:val="006A7331"/>
    <w:rsid w:val="006B00AE"/>
    <w:rsid w:val="006B0333"/>
    <w:rsid w:val="006B03F2"/>
    <w:rsid w:val="006B0E1A"/>
    <w:rsid w:val="006B1213"/>
    <w:rsid w:val="006B31A9"/>
    <w:rsid w:val="006B37DC"/>
    <w:rsid w:val="006B3C3D"/>
    <w:rsid w:val="006B4E92"/>
    <w:rsid w:val="006B4F68"/>
    <w:rsid w:val="006B6AC1"/>
    <w:rsid w:val="006C0592"/>
    <w:rsid w:val="006C0813"/>
    <w:rsid w:val="006C1A3D"/>
    <w:rsid w:val="006C1CAB"/>
    <w:rsid w:val="006C21B6"/>
    <w:rsid w:val="006C272E"/>
    <w:rsid w:val="006C2849"/>
    <w:rsid w:val="006C2C71"/>
    <w:rsid w:val="006C36DC"/>
    <w:rsid w:val="006C4F7D"/>
    <w:rsid w:val="006C5479"/>
    <w:rsid w:val="006C62BB"/>
    <w:rsid w:val="006C6891"/>
    <w:rsid w:val="006C76E0"/>
    <w:rsid w:val="006C7B2E"/>
    <w:rsid w:val="006D0073"/>
    <w:rsid w:val="006D0AC0"/>
    <w:rsid w:val="006D12B4"/>
    <w:rsid w:val="006D13B5"/>
    <w:rsid w:val="006D259B"/>
    <w:rsid w:val="006D348A"/>
    <w:rsid w:val="006D4368"/>
    <w:rsid w:val="006D4FD5"/>
    <w:rsid w:val="006D713C"/>
    <w:rsid w:val="006E1296"/>
    <w:rsid w:val="006E12FF"/>
    <w:rsid w:val="006E1919"/>
    <w:rsid w:val="006E1A1C"/>
    <w:rsid w:val="006E1F25"/>
    <w:rsid w:val="006E2348"/>
    <w:rsid w:val="006E2F97"/>
    <w:rsid w:val="006E30C4"/>
    <w:rsid w:val="006E607E"/>
    <w:rsid w:val="006E690A"/>
    <w:rsid w:val="006F0987"/>
    <w:rsid w:val="006F0A74"/>
    <w:rsid w:val="006F1220"/>
    <w:rsid w:val="006F16C5"/>
    <w:rsid w:val="006F1AC2"/>
    <w:rsid w:val="006F1AC8"/>
    <w:rsid w:val="006F42CD"/>
    <w:rsid w:val="006F5F86"/>
    <w:rsid w:val="006F6C58"/>
    <w:rsid w:val="006F7B83"/>
    <w:rsid w:val="006F7E41"/>
    <w:rsid w:val="007002EC"/>
    <w:rsid w:val="00700CF4"/>
    <w:rsid w:val="00700E55"/>
    <w:rsid w:val="00700F81"/>
    <w:rsid w:val="00701372"/>
    <w:rsid w:val="007014D4"/>
    <w:rsid w:val="00702C5B"/>
    <w:rsid w:val="00702E4C"/>
    <w:rsid w:val="00702FE5"/>
    <w:rsid w:val="00703928"/>
    <w:rsid w:val="00703954"/>
    <w:rsid w:val="00703DC3"/>
    <w:rsid w:val="007041DB"/>
    <w:rsid w:val="007053DA"/>
    <w:rsid w:val="00705684"/>
    <w:rsid w:val="00705C30"/>
    <w:rsid w:val="00705D7F"/>
    <w:rsid w:val="00706C5D"/>
    <w:rsid w:val="007073CA"/>
    <w:rsid w:val="007107C3"/>
    <w:rsid w:val="00711154"/>
    <w:rsid w:val="00711A20"/>
    <w:rsid w:val="007122D1"/>
    <w:rsid w:val="007127F6"/>
    <w:rsid w:val="00713075"/>
    <w:rsid w:val="00715CDB"/>
    <w:rsid w:val="0071654C"/>
    <w:rsid w:val="00716B70"/>
    <w:rsid w:val="007177E1"/>
    <w:rsid w:val="00720EF6"/>
    <w:rsid w:val="007211E2"/>
    <w:rsid w:val="00721B23"/>
    <w:rsid w:val="00722CD4"/>
    <w:rsid w:val="00722F1E"/>
    <w:rsid w:val="007242C7"/>
    <w:rsid w:val="00724739"/>
    <w:rsid w:val="00725D27"/>
    <w:rsid w:val="0072630F"/>
    <w:rsid w:val="00731BAB"/>
    <w:rsid w:val="007320D5"/>
    <w:rsid w:val="00732922"/>
    <w:rsid w:val="00732F99"/>
    <w:rsid w:val="00733137"/>
    <w:rsid w:val="0073383D"/>
    <w:rsid w:val="007351FB"/>
    <w:rsid w:val="007355E9"/>
    <w:rsid w:val="00735751"/>
    <w:rsid w:val="00736510"/>
    <w:rsid w:val="00736D41"/>
    <w:rsid w:val="00737003"/>
    <w:rsid w:val="0073704F"/>
    <w:rsid w:val="007407C0"/>
    <w:rsid w:val="0074081C"/>
    <w:rsid w:val="00740B6A"/>
    <w:rsid w:val="007416F2"/>
    <w:rsid w:val="007421DE"/>
    <w:rsid w:val="00743551"/>
    <w:rsid w:val="0074425F"/>
    <w:rsid w:val="00744D7F"/>
    <w:rsid w:val="00745A3C"/>
    <w:rsid w:val="007461A4"/>
    <w:rsid w:val="007475C1"/>
    <w:rsid w:val="007475EE"/>
    <w:rsid w:val="00750EBB"/>
    <w:rsid w:val="0075154C"/>
    <w:rsid w:val="0075162E"/>
    <w:rsid w:val="00752005"/>
    <w:rsid w:val="00752245"/>
    <w:rsid w:val="00752348"/>
    <w:rsid w:val="00752C1F"/>
    <w:rsid w:val="00753329"/>
    <w:rsid w:val="00753494"/>
    <w:rsid w:val="00754034"/>
    <w:rsid w:val="00754AD0"/>
    <w:rsid w:val="00754DCC"/>
    <w:rsid w:val="00755393"/>
    <w:rsid w:val="00755ADB"/>
    <w:rsid w:val="00756556"/>
    <w:rsid w:val="00756CAC"/>
    <w:rsid w:val="00756D2F"/>
    <w:rsid w:val="00757702"/>
    <w:rsid w:val="007577DE"/>
    <w:rsid w:val="00757ABF"/>
    <w:rsid w:val="007601EA"/>
    <w:rsid w:val="007605AF"/>
    <w:rsid w:val="00760FE8"/>
    <w:rsid w:val="007618C4"/>
    <w:rsid w:val="0076272E"/>
    <w:rsid w:val="00763BAE"/>
    <w:rsid w:val="00764FB6"/>
    <w:rsid w:val="007655AC"/>
    <w:rsid w:val="00766C94"/>
    <w:rsid w:val="00767062"/>
    <w:rsid w:val="00767102"/>
    <w:rsid w:val="00767690"/>
    <w:rsid w:val="00767750"/>
    <w:rsid w:val="007677DD"/>
    <w:rsid w:val="00767980"/>
    <w:rsid w:val="0077018E"/>
    <w:rsid w:val="00770B19"/>
    <w:rsid w:val="00770E30"/>
    <w:rsid w:val="0077125F"/>
    <w:rsid w:val="00772056"/>
    <w:rsid w:val="00772589"/>
    <w:rsid w:val="0077463F"/>
    <w:rsid w:val="007751FA"/>
    <w:rsid w:val="00775565"/>
    <w:rsid w:val="00775D35"/>
    <w:rsid w:val="00775F4A"/>
    <w:rsid w:val="00776135"/>
    <w:rsid w:val="007762BA"/>
    <w:rsid w:val="007767A1"/>
    <w:rsid w:val="007769DA"/>
    <w:rsid w:val="00777565"/>
    <w:rsid w:val="00777CE3"/>
    <w:rsid w:val="007806A7"/>
    <w:rsid w:val="00780A0F"/>
    <w:rsid w:val="007816B4"/>
    <w:rsid w:val="00781B32"/>
    <w:rsid w:val="00781D85"/>
    <w:rsid w:val="00781F92"/>
    <w:rsid w:val="00782476"/>
    <w:rsid w:val="007835E4"/>
    <w:rsid w:val="007836EA"/>
    <w:rsid w:val="00783A69"/>
    <w:rsid w:val="0078410E"/>
    <w:rsid w:val="00784508"/>
    <w:rsid w:val="00784CDA"/>
    <w:rsid w:val="007869B8"/>
    <w:rsid w:val="007871E0"/>
    <w:rsid w:val="007872E5"/>
    <w:rsid w:val="00787591"/>
    <w:rsid w:val="007901CB"/>
    <w:rsid w:val="007903DD"/>
    <w:rsid w:val="007906C4"/>
    <w:rsid w:val="00790F50"/>
    <w:rsid w:val="00790F7D"/>
    <w:rsid w:val="00792FC2"/>
    <w:rsid w:val="00793087"/>
    <w:rsid w:val="007940EA"/>
    <w:rsid w:val="0079673F"/>
    <w:rsid w:val="007967E8"/>
    <w:rsid w:val="0079718D"/>
    <w:rsid w:val="00797968"/>
    <w:rsid w:val="00797A0D"/>
    <w:rsid w:val="007A0B60"/>
    <w:rsid w:val="007A0FCA"/>
    <w:rsid w:val="007A1EB0"/>
    <w:rsid w:val="007A2170"/>
    <w:rsid w:val="007A22BF"/>
    <w:rsid w:val="007A26CF"/>
    <w:rsid w:val="007A2AE0"/>
    <w:rsid w:val="007A30A1"/>
    <w:rsid w:val="007A3323"/>
    <w:rsid w:val="007A3607"/>
    <w:rsid w:val="007A40F6"/>
    <w:rsid w:val="007A4AD5"/>
    <w:rsid w:val="007A53F6"/>
    <w:rsid w:val="007A5901"/>
    <w:rsid w:val="007A6734"/>
    <w:rsid w:val="007A7099"/>
    <w:rsid w:val="007B07DF"/>
    <w:rsid w:val="007B093F"/>
    <w:rsid w:val="007B09D0"/>
    <w:rsid w:val="007B130B"/>
    <w:rsid w:val="007B308F"/>
    <w:rsid w:val="007B4CEC"/>
    <w:rsid w:val="007B72B8"/>
    <w:rsid w:val="007B7A58"/>
    <w:rsid w:val="007C02C5"/>
    <w:rsid w:val="007C1D2D"/>
    <w:rsid w:val="007C1EEB"/>
    <w:rsid w:val="007C21B5"/>
    <w:rsid w:val="007C2856"/>
    <w:rsid w:val="007C2D4F"/>
    <w:rsid w:val="007C4F45"/>
    <w:rsid w:val="007C5459"/>
    <w:rsid w:val="007C568D"/>
    <w:rsid w:val="007D05D1"/>
    <w:rsid w:val="007D1479"/>
    <w:rsid w:val="007D23E6"/>
    <w:rsid w:val="007D2D8A"/>
    <w:rsid w:val="007D3243"/>
    <w:rsid w:val="007D44F8"/>
    <w:rsid w:val="007D4815"/>
    <w:rsid w:val="007D5F0F"/>
    <w:rsid w:val="007D67FA"/>
    <w:rsid w:val="007E0F85"/>
    <w:rsid w:val="007E243D"/>
    <w:rsid w:val="007E403A"/>
    <w:rsid w:val="007E4BD2"/>
    <w:rsid w:val="007E522C"/>
    <w:rsid w:val="007E5841"/>
    <w:rsid w:val="007E5D69"/>
    <w:rsid w:val="007E5E69"/>
    <w:rsid w:val="007E6088"/>
    <w:rsid w:val="007E614F"/>
    <w:rsid w:val="007E6736"/>
    <w:rsid w:val="007E67A3"/>
    <w:rsid w:val="007E6DC8"/>
    <w:rsid w:val="007E7331"/>
    <w:rsid w:val="007E7D70"/>
    <w:rsid w:val="007F0084"/>
    <w:rsid w:val="007F0BA1"/>
    <w:rsid w:val="007F1FC3"/>
    <w:rsid w:val="007F3D1E"/>
    <w:rsid w:val="007F5919"/>
    <w:rsid w:val="007F5E3D"/>
    <w:rsid w:val="007F5F20"/>
    <w:rsid w:val="007F62E1"/>
    <w:rsid w:val="007F67B5"/>
    <w:rsid w:val="007F7DB4"/>
    <w:rsid w:val="008004B3"/>
    <w:rsid w:val="00801393"/>
    <w:rsid w:val="00802AB4"/>
    <w:rsid w:val="00802E05"/>
    <w:rsid w:val="00802F88"/>
    <w:rsid w:val="00803139"/>
    <w:rsid w:val="00803CB9"/>
    <w:rsid w:val="00805355"/>
    <w:rsid w:val="008059B8"/>
    <w:rsid w:val="0080605E"/>
    <w:rsid w:val="0080681D"/>
    <w:rsid w:val="00806C33"/>
    <w:rsid w:val="00807ABB"/>
    <w:rsid w:val="00807CD6"/>
    <w:rsid w:val="00810209"/>
    <w:rsid w:val="008116C6"/>
    <w:rsid w:val="008124DC"/>
    <w:rsid w:val="00812606"/>
    <w:rsid w:val="0081293E"/>
    <w:rsid w:val="0081357C"/>
    <w:rsid w:val="00814948"/>
    <w:rsid w:val="00815465"/>
    <w:rsid w:val="00815A63"/>
    <w:rsid w:val="00815C32"/>
    <w:rsid w:val="008169DE"/>
    <w:rsid w:val="00817156"/>
    <w:rsid w:val="00817D6A"/>
    <w:rsid w:val="00817E9A"/>
    <w:rsid w:val="008200CF"/>
    <w:rsid w:val="0082062A"/>
    <w:rsid w:val="00820F4C"/>
    <w:rsid w:val="00821641"/>
    <w:rsid w:val="00821F35"/>
    <w:rsid w:val="00822492"/>
    <w:rsid w:val="0082293A"/>
    <w:rsid w:val="00822FFD"/>
    <w:rsid w:val="008263A5"/>
    <w:rsid w:val="00827438"/>
    <w:rsid w:val="00827451"/>
    <w:rsid w:val="00827539"/>
    <w:rsid w:val="00827806"/>
    <w:rsid w:val="008306BD"/>
    <w:rsid w:val="008308B2"/>
    <w:rsid w:val="00830BBE"/>
    <w:rsid w:val="00830F16"/>
    <w:rsid w:val="00831A80"/>
    <w:rsid w:val="00831BFC"/>
    <w:rsid w:val="00831D99"/>
    <w:rsid w:val="00831F25"/>
    <w:rsid w:val="00833743"/>
    <w:rsid w:val="008340A4"/>
    <w:rsid w:val="008372D4"/>
    <w:rsid w:val="00840491"/>
    <w:rsid w:val="00840CC0"/>
    <w:rsid w:val="00840EF2"/>
    <w:rsid w:val="00841137"/>
    <w:rsid w:val="008419D3"/>
    <w:rsid w:val="008425FF"/>
    <w:rsid w:val="00842C1A"/>
    <w:rsid w:val="00843652"/>
    <w:rsid w:val="008438A8"/>
    <w:rsid w:val="008441C1"/>
    <w:rsid w:val="008443F5"/>
    <w:rsid w:val="00844DC9"/>
    <w:rsid w:val="0084696B"/>
    <w:rsid w:val="00846CB8"/>
    <w:rsid w:val="00847158"/>
    <w:rsid w:val="008475A9"/>
    <w:rsid w:val="0084798A"/>
    <w:rsid w:val="00850518"/>
    <w:rsid w:val="008508B6"/>
    <w:rsid w:val="008519B6"/>
    <w:rsid w:val="00852065"/>
    <w:rsid w:val="008522C8"/>
    <w:rsid w:val="008525B3"/>
    <w:rsid w:val="00852CA9"/>
    <w:rsid w:val="008532A3"/>
    <w:rsid w:val="00853A06"/>
    <w:rsid w:val="00855B41"/>
    <w:rsid w:val="00855E23"/>
    <w:rsid w:val="00856799"/>
    <w:rsid w:val="00857337"/>
    <w:rsid w:val="00857D93"/>
    <w:rsid w:val="0086076A"/>
    <w:rsid w:val="0086096E"/>
    <w:rsid w:val="00861A23"/>
    <w:rsid w:val="00862301"/>
    <w:rsid w:val="008637E0"/>
    <w:rsid w:val="0086436F"/>
    <w:rsid w:val="00864AFB"/>
    <w:rsid w:val="00865E65"/>
    <w:rsid w:val="00866340"/>
    <w:rsid w:val="00866396"/>
    <w:rsid w:val="00866506"/>
    <w:rsid w:val="00866A40"/>
    <w:rsid w:val="00867489"/>
    <w:rsid w:val="008674E2"/>
    <w:rsid w:val="00867B8F"/>
    <w:rsid w:val="00870099"/>
    <w:rsid w:val="00870174"/>
    <w:rsid w:val="00870883"/>
    <w:rsid w:val="00870993"/>
    <w:rsid w:val="0087135F"/>
    <w:rsid w:val="00871D92"/>
    <w:rsid w:val="0087289B"/>
    <w:rsid w:val="00872D94"/>
    <w:rsid w:val="008736E0"/>
    <w:rsid w:val="00873988"/>
    <w:rsid w:val="00873B38"/>
    <w:rsid w:val="00873E43"/>
    <w:rsid w:val="00874899"/>
    <w:rsid w:val="00874DFB"/>
    <w:rsid w:val="0087529B"/>
    <w:rsid w:val="0087665F"/>
    <w:rsid w:val="00876944"/>
    <w:rsid w:val="00877838"/>
    <w:rsid w:val="00877E36"/>
    <w:rsid w:val="00877ED7"/>
    <w:rsid w:val="00880364"/>
    <w:rsid w:val="00880898"/>
    <w:rsid w:val="00881D13"/>
    <w:rsid w:val="00881DF1"/>
    <w:rsid w:val="00882543"/>
    <w:rsid w:val="00882862"/>
    <w:rsid w:val="00884567"/>
    <w:rsid w:val="00884E84"/>
    <w:rsid w:val="00885245"/>
    <w:rsid w:val="00885479"/>
    <w:rsid w:val="008854FD"/>
    <w:rsid w:val="008858C2"/>
    <w:rsid w:val="00885AD0"/>
    <w:rsid w:val="00887462"/>
    <w:rsid w:val="00887C4F"/>
    <w:rsid w:val="008903FA"/>
    <w:rsid w:val="00891201"/>
    <w:rsid w:val="00891592"/>
    <w:rsid w:val="008918FB"/>
    <w:rsid w:val="00891D31"/>
    <w:rsid w:val="00891E9E"/>
    <w:rsid w:val="008938B6"/>
    <w:rsid w:val="008945C5"/>
    <w:rsid w:val="0089539F"/>
    <w:rsid w:val="0089547D"/>
    <w:rsid w:val="00896CB4"/>
    <w:rsid w:val="00897542"/>
    <w:rsid w:val="00897735"/>
    <w:rsid w:val="008A063F"/>
    <w:rsid w:val="008A2CEC"/>
    <w:rsid w:val="008A2F68"/>
    <w:rsid w:val="008A31A5"/>
    <w:rsid w:val="008A31F7"/>
    <w:rsid w:val="008A331E"/>
    <w:rsid w:val="008A332E"/>
    <w:rsid w:val="008A3947"/>
    <w:rsid w:val="008A573F"/>
    <w:rsid w:val="008A5DDB"/>
    <w:rsid w:val="008A6892"/>
    <w:rsid w:val="008A72B6"/>
    <w:rsid w:val="008A7A44"/>
    <w:rsid w:val="008A7E89"/>
    <w:rsid w:val="008B015A"/>
    <w:rsid w:val="008B017A"/>
    <w:rsid w:val="008B1647"/>
    <w:rsid w:val="008B1C2B"/>
    <w:rsid w:val="008B1DD7"/>
    <w:rsid w:val="008B2443"/>
    <w:rsid w:val="008B24E5"/>
    <w:rsid w:val="008B4EFA"/>
    <w:rsid w:val="008B4FA6"/>
    <w:rsid w:val="008B5282"/>
    <w:rsid w:val="008B55D4"/>
    <w:rsid w:val="008B5C94"/>
    <w:rsid w:val="008B63AA"/>
    <w:rsid w:val="008B65DD"/>
    <w:rsid w:val="008B7C17"/>
    <w:rsid w:val="008B7CE5"/>
    <w:rsid w:val="008C0A1F"/>
    <w:rsid w:val="008C12F2"/>
    <w:rsid w:val="008C1E04"/>
    <w:rsid w:val="008C2D01"/>
    <w:rsid w:val="008C3B4C"/>
    <w:rsid w:val="008C3BCD"/>
    <w:rsid w:val="008C40E6"/>
    <w:rsid w:val="008C4761"/>
    <w:rsid w:val="008C4D3B"/>
    <w:rsid w:val="008C586F"/>
    <w:rsid w:val="008C5D36"/>
    <w:rsid w:val="008C5DA9"/>
    <w:rsid w:val="008C71DA"/>
    <w:rsid w:val="008C7791"/>
    <w:rsid w:val="008C78F5"/>
    <w:rsid w:val="008D0302"/>
    <w:rsid w:val="008D038C"/>
    <w:rsid w:val="008D0A6C"/>
    <w:rsid w:val="008D0F7A"/>
    <w:rsid w:val="008D2370"/>
    <w:rsid w:val="008D25EB"/>
    <w:rsid w:val="008D3576"/>
    <w:rsid w:val="008D3C06"/>
    <w:rsid w:val="008D3C53"/>
    <w:rsid w:val="008D3F44"/>
    <w:rsid w:val="008D52D9"/>
    <w:rsid w:val="008D64B8"/>
    <w:rsid w:val="008D68E4"/>
    <w:rsid w:val="008D6CF6"/>
    <w:rsid w:val="008D72F1"/>
    <w:rsid w:val="008D7940"/>
    <w:rsid w:val="008E0506"/>
    <w:rsid w:val="008E05EE"/>
    <w:rsid w:val="008E0B50"/>
    <w:rsid w:val="008E0CFF"/>
    <w:rsid w:val="008E141E"/>
    <w:rsid w:val="008E1774"/>
    <w:rsid w:val="008E1BB7"/>
    <w:rsid w:val="008E389A"/>
    <w:rsid w:val="008E4E49"/>
    <w:rsid w:val="008E588A"/>
    <w:rsid w:val="008E5D6B"/>
    <w:rsid w:val="008E641C"/>
    <w:rsid w:val="008E643D"/>
    <w:rsid w:val="008E6BA1"/>
    <w:rsid w:val="008E72D0"/>
    <w:rsid w:val="008E76F0"/>
    <w:rsid w:val="008E7B87"/>
    <w:rsid w:val="008F01EB"/>
    <w:rsid w:val="008F15FE"/>
    <w:rsid w:val="008F1F41"/>
    <w:rsid w:val="008F21CB"/>
    <w:rsid w:val="008F2938"/>
    <w:rsid w:val="008F2D29"/>
    <w:rsid w:val="008F32BD"/>
    <w:rsid w:val="008F37F9"/>
    <w:rsid w:val="008F3B3F"/>
    <w:rsid w:val="008F4649"/>
    <w:rsid w:val="008F5187"/>
    <w:rsid w:val="008F60D8"/>
    <w:rsid w:val="008F60DF"/>
    <w:rsid w:val="008F744F"/>
    <w:rsid w:val="009005AA"/>
    <w:rsid w:val="00901851"/>
    <w:rsid w:val="0090268D"/>
    <w:rsid w:val="00902727"/>
    <w:rsid w:val="00903050"/>
    <w:rsid w:val="0090312B"/>
    <w:rsid w:val="009036A8"/>
    <w:rsid w:val="00903761"/>
    <w:rsid w:val="00904232"/>
    <w:rsid w:val="0090424B"/>
    <w:rsid w:val="0090428F"/>
    <w:rsid w:val="00904F0B"/>
    <w:rsid w:val="00905211"/>
    <w:rsid w:val="00905592"/>
    <w:rsid w:val="00906551"/>
    <w:rsid w:val="00910736"/>
    <w:rsid w:val="00911713"/>
    <w:rsid w:val="0091226D"/>
    <w:rsid w:val="00912EF4"/>
    <w:rsid w:val="009137F0"/>
    <w:rsid w:val="00913C64"/>
    <w:rsid w:val="00914DCC"/>
    <w:rsid w:val="00915748"/>
    <w:rsid w:val="009164DD"/>
    <w:rsid w:val="0091736D"/>
    <w:rsid w:val="0092105C"/>
    <w:rsid w:val="00921078"/>
    <w:rsid w:val="009212DF"/>
    <w:rsid w:val="009218A3"/>
    <w:rsid w:val="00923B28"/>
    <w:rsid w:val="00923C40"/>
    <w:rsid w:val="00924B74"/>
    <w:rsid w:val="00925685"/>
    <w:rsid w:val="009256C7"/>
    <w:rsid w:val="00927FCE"/>
    <w:rsid w:val="0093037A"/>
    <w:rsid w:val="00933C96"/>
    <w:rsid w:val="00936F21"/>
    <w:rsid w:val="009373E6"/>
    <w:rsid w:val="009375CD"/>
    <w:rsid w:val="00941321"/>
    <w:rsid w:val="0094154D"/>
    <w:rsid w:val="009420A7"/>
    <w:rsid w:val="0094211F"/>
    <w:rsid w:val="009434FA"/>
    <w:rsid w:val="009438FB"/>
    <w:rsid w:val="00944510"/>
    <w:rsid w:val="00944801"/>
    <w:rsid w:val="00945725"/>
    <w:rsid w:val="00946006"/>
    <w:rsid w:val="009462D7"/>
    <w:rsid w:val="0094654B"/>
    <w:rsid w:val="009465E2"/>
    <w:rsid w:val="009476A6"/>
    <w:rsid w:val="00947A85"/>
    <w:rsid w:val="00950BCC"/>
    <w:rsid w:val="0095155F"/>
    <w:rsid w:val="0095171A"/>
    <w:rsid w:val="009517C9"/>
    <w:rsid w:val="00951A7F"/>
    <w:rsid w:val="009521B9"/>
    <w:rsid w:val="009531F8"/>
    <w:rsid w:val="00953A5B"/>
    <w:rsid w:val="00953C5C"/>
    <w:rsid w:val="00954429"/>
    <w:rsid w:val="00954B37"/>
    <w:rsid w:val="00955321"/>
    <w:rsid w:val="009555DD"/>
    <w:rsid w:val="00955D69"/>
    <w:rsid w:val="009563CE"/>
    <w:rsid w:val="00956757"/>
    <w:rsid w:val="00956A52"/>
    <w:rsid w:val="009575E7"/>
    <w:rsid w:val="00957BCD"/>
    <w:rsid w:val="00957F65"/>
    <w:rsid w:val="00957F8F"/>
    <w:rsid w:val="0096272C"/>
    <w:rsid w:val="00962796"/>
    <w:rsid w:val="00962E84"/>
    <w:rsid w:val="00963F65"/>
    <w:rsid w:val="009651F4"/>
    <w:rsid w:val="00965683"/>
    <w:rsid w:val="00970482"/>
    <w:rsid w:val="009704DA"/>
    <w:rsid w:val="009720F3"/>
    <w:rsid w:val="0097267A"/>
    <w:rsid w:val="009726F3"/>
    <w:rsid w:val="009727CA"/>
    <w:rsid w:val="00972A1C"/>
    <w:rsid w:val="00973A97"/>
    <w:rsid w:val="00973C29"/>
    <w:rsid w:val="00974E54"/>
    <w:rsid w:val="0097577F"/>
    <w:rsid w:val="009757C9"/>
    <w:rsid w:val="00975E46"/>
    <w:rsid w:val="00976045"/>
    <w:rsid w:val="00976328"/>
    <w:rsid w:val="009763B2"/>
    <w:rsid w:val="0097680D"/>
    <w:rsid w:val="00976D4B"/>
    <w:rsid w:val="00976E0C"/>
    <w:rsid w:val="00977235"/>
    <w:rsid w:val="00980C3F"/>
    <w:rsid w:val="00980DF8"/>
    <w:rsid w:val="00981A0E"/>
    <w:rsid w:val="00981D4C"/>
    <w:rsid w:val="00982438"/>
    <w:rsid w:val="00983238"/>
    <w:rsid w:val="00983FED"/>
    <w:rsid w:val="0098404C"/>
    <w:rsid w:val="009846E1"/>
    <w:rsid w:val="00984A41"/>
    <w:rsid w:val="00984A7D"/>
    <w:rsid w:val="00985283"/>
    <w:rsid w:val="00985767"/>
    <w:rsid w:val="009865CD"/>
    <w:rsid w:val="00987073"/>
    <w:rsid w:val="00987458"/>
    <w:rsid w:val="00987636"/>
    <w:rsid w:val="009877DE"/>
    <w:rsid w:val="00987DDB"/>
    <w:rsid w:val="009908B2"/>
    <w:rsid w:val="00990E5A"/>
    <w:rsid w:val="00992DAA"/>
    <w:rsid w:val="00993720"/>
    <w:rsid w:val="00994F30"/>
    <w:rsid w:val="00995992"/>
    <w:rsid w:val="00995D76"/>
    <w:rsid w:val="009977A5"/>
    <w:rsid w:val="009A03E5"/>
    <w:rsid w:val="009A07A9"/>
    <w:rsid w:val="009A0F3B"/>
    <w:rsid w:val="009A10F3"/>
    <w:rsid w:val="009A1BB4"/>
    <w:rsid w:val="009A2628"/>
    <w:rsid w:val="009A2837"/>
    <w:rsid w:val="009A3200"/>
    <w:rsid w:val="009A3839"/>
    <w:rsid w:val="009A3FAB"/>
    <w:rsid w:val="009A45B4"/>
    <w:rsid w:val="009A4ADA"/>
    <w:rsid w:val="009A4F0A"/>
    <w:rsid w:val="009A5451"/>
    <w:rsid w:val="009A6CD7"/>
    <w:rsid w:val="009B027F"/>
    <w:rsid w:val="009B04B9"/>
    <w:rsid w:val="009B079E"/>
    <w:rsid w:val="009B0897"/>
    <w:rsid w:val="009B1242"/>
    <w:rsid w:val="009B28EA"/>
    <w:rsid w:val="009B322A"/>
    <w:rsid w:val="009B4250"/>
    <w:rsid w:val="009B42A7"/>
    <w:rsid w:val="009B4B6E"/>
    <w:rsid w:val="009B4F19"/>
    <w:rsid w:val="009B51C3"/>
    <w:rsid w:val="009B54B8"/>
    <w:rsid w:val="009B59A1"/>
    <w:rsid w:val="009B669E"/>
    <w:rsid w:val="009B7571"/>
    <w:rsid w:val="009B7BD9"/>
    <w:rsid w:val="009B7D93"/>
    <w:rsid w:val="009C0973"/>
    <w:rsid w:val="009C146E"/>
    <w:rsid w:val="009C180A"/>
    <w:rsid w:val="009C196D"/>
    <w:rsid w:val="009C2096"/>
    <w:rsid w:val="009C2381"/>
    <w:rsid w:val="009C27DC"/>
    <w:rsid w:val="009C2A56"/>
    <w:rsid w:val="009C2FB5"/>
    <w:rsid w:val="009C36F8"/>
    <w:rsid w:val="009C3FE9"/>
    <w:rsid w:val="009C42C2"/>
    <w:rsid w:val="009C476F"/>
    <w:rsid w:val="009C5784"/>
    <w:rsid w:val="009C657E"/>
    <w:rsid w:val="009C6C4D"/>
    <w:rsid w:val="009C7847"/>
    <w:rsid w:val="009C7DD5"/>
    <w:rsid w:val="009C7E65"/>
    <w:rsid w:val="009C7FD4"/>
    <w:rsid w:val="009C7FE9"/>
    <w:rsid w:val="009D2056"/>
    <w:rsid w:val="009D2AF3"/>
    <w:rsid w:val="009D3368"/>
    <w:rsid w:val="009D36BC"/>
    <w:rsid w:val="009D3951"/>
    <w:rsid w:val="009D3986"/>
    <w:rsid w:val="009D3AB4"/>
    <w:rsid w:val="009D4280"/>
    <w:rsid w:val="009D500C"/>
    <w:rsid w:val="009D5A1C"/>
    <w:rsid w:val="009D5F1A"/>
    <w:rsid w:val="009D69FB"/>
    <w:rsid w:val="009D6C21"/>
    <w:rsid w:val="009D6EC8"/>
    <w:rsid w:val="009D7B96"/>
    <w:rsid w:val="009D7C70"/>
    <w:rsid w:val="009E0651"/>
    <w:rsid w:val="009E08D7"/>
    <w:rsid w:val="009E0CC1"/>
    <w:rsid w:val="009E1C63"/>
    <w:rsid w:val="009E227D"/>
    <w:rsid w:val="009E23ED"/>
    <w:rsid w:val="009E2E5C"/>
    <w:rsid w:val="009E303A"/>
    <w:rsid w:val="009E3588"/>
    <w:rsid w:val="009E383C"/>
    <w:rsid w:val="009E3C11"/>
    <w:rsid w:val="009E43A3"/>
    <w:rsid w:val="009E4BA1"/>
    <w:rsid w:val="009E5019"/>
    <w:rsid w:val="009E5433"/>
    <w:rsid w:val="009E55AB"/>
    <w:rsid w:val="009E64D4"/>
    <w:rsid w:val="009E721F"/>
    <w:rsid w:val="009E7982"/>
    <w:rsid w:val="009F0056"/>
    <w:rsid w:val="009F0662"/>
    <w:rsid w:val="009F0B43"/>
    <w:rsid w:val="009F1095"/>
    <w:rsid w:val="009F1832"/>
    <w:rsid w:val="009F1AF1"/>
    <w:rsid w:val="009F2193"/>
    <w:rsid w:val="009F2829"/>
    <w:rsid w:val="009F2FDB"/>
    <w:rsid w:val="009F43CE"/>
    <w:rsid w:val="009F4EC9"/>
    <w:rsid w:val="009F5151"/>
    <w:rsid w:val="009F62FD"/>
    <w:rsid w:val="009F6758"/>
    <w:rsid w:val="009F6DD8"/>
    <w:rsid w:val="009F7308"/>
    <w:rsid w:val="009F73B4"/>
    <w:rsid w:val="009F73E7"/>
    <w:rsid w:val="009F74AE"/>
    <w:rsid w:val="00A0044F"/>
    <w:rsid w:val="00A004E9"/>
    <w:rsid w:val="00A00786"/>
    <w:rsid w:val="00A00B94"/>
    <w:rsid w:val="00A00F81"/>
    <w:rsid w:val="00A02BAA"/>
    <w:rsid w:val="00A02E64"/>
    <w:rsid w:val="00A03263"/>
    <w:rsid w:val="00A04519"/>
    <w:rsid w:val="00A04F1B"/>
    <w:rsid w:val="00A04FEF"/>
    <w:rsid w:val="00A0501B"/>
    <w:rsid w:val="00A057D9"/>
    <w:rsid w:val="00A05EE5"/>
    <w:rsid w:val="00A06581"/>
    <w:rsid w:val="00A06723"/>
    <w:rsid w:val="00A0697D"/>
    <w:rsid w:val="00A06F1B"/>
    <w:rsid w:val="00A07123"/>
    <w:rsid w:val="00A0759D"/>
    <w:rsid w:val="00A07DF8"/>
    <w:rsid w:val="00A11633"/>
    <w:rsid w:val="00A12C8F"/>
    <w:rsid w:val="00A14947"/>
    <w:rsid w:val="00A14FC3"/>
    <w:rsid w:val="00A15ACC"/>
    <w:rsid w:val="00A15D7B"/>
    <w:rsid w:val="00A17461"/>
    <w:rsid w:val="00A22340"/>
    <w:rsid w:val="00A2259C"/>
    <w:rsid w:val="00A23338"/>
    <w:rsid w:val="00A24335"/>
    <w:rsid w:val="00A247FC"/>
    <w:rsid w:val="00A25026"/>
    <w:rsid w:val="00A2511A"/>
    <w:rsid w:val="00A2542C"/>
    <w:rsid w:val="00A26260"/>
    <w:rsid w:val="00A26389"/>
    <w:rsid w:val="00A2648B"/>
    <w:rsid w:val="00A2719A"/>
    <w:rsid w:val="00A27267"/>
    <w:rsid w:val="00A27AEC"/>
    <w:rsid w:val="00A27B68"/>
    <w:rsid w:val="00A301F1"/>
    <w:rsid w:val="00A306F9"/>
    <w:rsid w:val="00A3072A"/>
    <w:rsid w:val="00A30AD7"/>
    <w:rsid w:val="00A30BAD"/>
    <w:rsid w:val="00A31C53"/>
    <w:rsid w:val="00A32127"/>
    <w:rsid w:val="00A32A83"/>
    <w:rsid w:val="00A332A4"/>
    <w:rsid w:val="00A3457F"/>
    <w:rsid w:val="00A34A0E"/>
    <w:rsid w:val="00A35047"/>
    <w:rsid w:val="00A35CE0"/>
    <w:rsid w:val="00A35D08"/>
    <w:rsid w:val="00A36173"/>
    <w:rsid w:val="00A366BF"/>
    <w:rsid w:val="00A368DB"/>
    <w:rsid w:val="00A371EA"/>
    <w:rsid w:val="00A402DF"/>
    <w:rsid w:val="00A423AA"/>
    <w:rsid w:val="00A429E6"/>
    <w:rsid w:val="00A42E3B"/>
    <w:rsid w:val="00A42EEE"/>
    <w:rsid w:val="00A44A79"/>
    <w:rsid w:val="00A44CF7"/>
    <w:rsid w:val="00A44DFD"/>
    <w:rsid w:val="00A44EEB"/>
    <w:rsid w:val="00A45EE2"/>
    <w:rsid w:val="00A460CE"/>
    <w:rsid w:val="00A46A70"/>
    <w:rsid w:val="00A47645"/>
    <w:rsid w:val="00A47E72"/>
    <w:rsid w:val="00A5049E"/>
    <w:rsid w:val="00A50630"/>
    <w:rsid w:val="00A50865"/>
    <w:rsid w:val="00A5222C"/>
    <w:rsid w:val="00A52358"/>
    <w:rsid w:val="00A523CD"/>
    <w:rsid w:val="00A527E6"/>
    <w:rsid w:val="00A52A24"/>
    <w:rsid w:val="00A52BD4"/>
    <w:rsid w:val="00A53448"/>
    <w:rsid w:val="00A53EC3"/>
    <w:rsid w:val="00A53EC6"/>
    <w:rsid w:val="00A54298"/>
    <w:rsid w:val="00A54FAE"/>
    <w:rsid w:val="00A55891"/>
    <w:rsid w:val="00A55AC1"/>
    <w:rsid w:val="00A55C0F"/>
    <w:rsid w:val="00A55D23"/>
    <w:rsid w:val="00A56312"/>
    <w:rsid w:val="00A568C5"/>
    <w:rsid w:val="00A56A24"/>
    <w:rsid w:val="00A56AA8"/>
    <w:rsid w:val="00A571E7"/>
    <w:rsid w:val="00A6111D"/>
    <w:rsid w:val="00A615B2"/>
    <w:rsid w:val="00A62B57"/>
    <w:rsid w:val="00A62BD7"/>
    <w:rsid w:val="00A63AF1"/>
    <w:rsid w:val="00A649FD"/>
    <w:rsid w:val="00A64E13"/>
    <w:rsid w:val="00A65966"/>
    <w:rsid w:val="00A65CFC"/>
    <w:rsid w:val="00A665EA"/>
    <w:rsid w:val="00A67511"/>
    <w:rsid w:val="00A676D3"/>
    <w:rsid w:val="00A67B61"/>
    <w:rsid w:val="00A67E63"/>
    <w:rsid w:val="00A7008E"/>
    <w:rsid w:val="00A70C4E"/>
    <w:rsid w:val="00A70F07"/>
    <w:rsid w:val="00A719EF"/>
    <w:rsid w:val="00A71D64"/>
    <w:rsid w:val="00A71E13"/>
    <w:rsid w:val="00A7207F"/>
    <w:rsid w:val="00A72565"/>
    <w:rsid w:val="00A72B59"/>
    <w:rsid w:val="00A7343E"/>
    <w:rsid w:val="00A74426"/>
    <w:rsid w:val="00A77B97"/>
    <w:rsid w:val="00A80436"/>
    <w:rsid w:val="00A80664"/>
    <w:rsid w:val="00A81B66"/>
    <w:rsid w:val="00A835AB"/>
    <w:rsid w:val="00A85324"/>
    <w:rsid w:val="00A8600C"/>
    <w:rsid w:val="00A86E71"/>
    <w:rsid w:val="00A86F01"/>
    <w:rsid w:val="00A8713F"/>
    <w:rsid w:val="00A87AC1"/>
    <w:rsid w:val="00A90764"/>
    <w:rsid w:val="00A90805"/>
    <w:rsid w:val="00A90BA1"/>
    <w:rsid w:val="00A9128C"/>
    <w:rsid w:val="00A91602"/>
    <w:rsid w:val="00A91AC6"/>
    <w:rsid w:val="00A91B6D"/>
    <w:rsid w:val="00A923BD"/>
    <w:rsid w:val="00A92CD7"/>
    <w:rsid w:val="00A9382E"/>
    <w:rsid w:val="00A93A06"/>
    <w:rsid w:val="00A93BCC"/>
    <w:rsid w:val="00A948B0"/>
    <w:rsid w:val="00A948BC"/>
    <w:rsid w:val="00A9581F"/>
    <w:rsid w:val="00A97A9A"/>
    <w:rsid w:val="00AA0671"/>
    <w:rsid w:val="00AA0B0C"/>
    <w:rsid w:val="00AA0C0D"/>
    <w:rsid w:val="00AA0D4B"/>
    <w:rsid w:val="00AA1F07"/>
    <w:rsid w:val="00AA20BB"/>
    <w:rsid w:val="00AA2531"/>
    <w:rsid w:val="00AA312E"/>
    <w:rsid w:val="00AA3214"/>
    <w:rsid w:val="00AA3309"/>
    <w:rsid w:val="00AA3319"/>
    <w:rsid w:val="00AA3E2D"/>
    <w:rsid w:val="00AA3FB5"/>
    <w:rsid w:val="00AA459F"/>
    <w:rsid w:val="00AA476B"/>
    <w:rsid w:val="00AA492E"/>
    <w:rsid w:val="00AA57AE"/>
    <w:rsid w:val="00AA5DCC"/>
    <w:rsid w:val="00AA6F54"/>
    <w:rsid w:val="00AA7617"/>
    <w:rsid w:val="00AA7D1D"/>
    <w:rsid w:val="00AA7EAF"/>
    <w:rsid w:val="00AB05F4"/>
    <w:rsid w:val="00AB07FD"/>
    <w:rsid w:val="00AB08ED"/>
    <w:rsid w:val="00AB1605"/>
    <w:rsid w:val="00AB1957"/>
    <w:rsid w:val="00AB1AF2"/>
    <w:rsid w:val="00AB1E09"/>
    <w:rsid w:val="00AB1F78"/>
    <w:rsid w:val="00AB1F80"/>
    <w:rsid w:val="00AB2633"/>
    <w:rsid w:val="00AB28C7"/>
    <w:rsid w:val="00AB2DB3"/>
    <w:rsid w:val="00AB2FCE"/>
    <w:rsid w:val="00AB33AB"/>
    <w:rsid w:val="00AB4A59"/>
    <w:rsid w:val="00AB523B"/>
    <w:rsid w:val="00AB5330"/>
    <w:rsid w:val="00AB5D0A"/>
    <w:rsid w:val="00AB6EBD"/>
    <w:rsid w:val="00AB6FD8"/>
    <w:rsid w:val="00AB7747"/>
    <w:rsid w:val="00AC14CE"/>
    <w:rsid w:val="00AC182E"/>
    <w:rsid w:val="00AC2011"/>
    <w:rsid w:val="00AC22B6"/>
    <w:rsid w:val="00AC2A56"/>
    <w:rsid w:val="00AC31EF"/>
    <w:rsid w:val="00AC3440"/>
    <w:rsid w:val="00AC3488"/>
    <w:rsid w:val="00AC4010"/>
    <w:rsid w:val="00AC59B1"/>
    <w:rsid w:val="00AC6867"/>
    <w:rsid w:val="00AC6B0C"/>
    <w:rsid w:val="00AC73BC"/>
    <w:rsid w:val="00AC73E0"/>
    <w:rsid w:val="00AC791F"/>
    <w:rsid w:val="00AC7CF7"/>
    <w:rsid w:val="00AD0075"/>
    <w:rsid w:val="00AD055E"/>
    <w:rsid w:val="00AD0DF5"/>
    <w:rsid w:val="00AD15EB"/>
    <w:rsid w:val="00AD17AB"/>
    <w:rsid w:val="00AD28B2"/>
    <w:rsid w:val="00AD380F"/>
    <w:rsid w:val="00AD47A7"/>
    <w:rsid w:val="00AD47AC"/>
    <w:rsid w:val="00AD48BF"/>
    <w:rsid w:val="00AD56B4"/>
    <w:rsid w:val="00AD5B98"/>
    <w:rsid w:val="00AD6238"/>
    <w:rsid w:val="00AD7BE0"/>
    <w:rsid w:val="00AE039F"/>
    <w:rsid w:val="00AE0EB1"/>
    <w:rsid w:val="00AE1175"/>
    <w:rsid w:val="00AE14C8"/>
    <w:rsid w:val="00AE171A"/>
    <w:rsid w:val="00AE1C22"/>
    <w:rsid w:val="00AE24BE"/>
    <w:rsid w:val="00AE2831"/>
    <w:rsid w:val="00AE2F2D"/>
    <w:rsid w:val="00AE3108"/>
    <w:rsid w:val="00AE3194"/>
    <w:rsid w:val="00AE3D5E"/>
    <w:rsid w:val="00AE3E37"/>
    <w:rsid w:val="00AE3F62"/>
    <w:rsid w:val="00AE44F9"/>
    <w:rsid w:val="00AE542E"/>
    <w:rsid w:val="00AE5671"/>
    <w:rsid w:val="00AE59A3"/>
    <w:rsid w:val="00AE5C1A"/>
    <w:rsid w:val="00AE5E31"/>
    <w:rsid w:val="00AE6E4E"/>
    <w:rsid w:val="00AE7E56"/>
    <w:rsid w:val="00AF0BCB"/>
    <w:rsid w:val="00AF0CBF"/>
    <w:rsid w:val="00AF0CDE"/>
    <w:rsid w:val="00AF107C"/>
    <w:rsid w:val="00AF21A6"/>
    <w:rsid w:val="00AF2410"/>
    <w:rsid w:val="00AF257F"/>
    <w:rsid w:val="00AF25A7"/>
    <w:rsid w:val="00AF277A"/>
    <w:rsid w:val="00AF27BD"/>
    <w:rsid w:val="00AF30B3"/>
    <w:rsid w:val="00AF33CF"/>
    <w:rsid w:val="00AF3F74"/>
    <w:rsid w:val="00AF4003"/>
    <w:rsid w:val="00AF4C91"/>
    <w:rsid w:val="00AF4D50"/>
    <w:rsid w:val="00AF4E65"/>
    <w:rsid w:val="00AF4FB1"/>
    <w:rsid w:val="00AF54BD"/>
    <w:rsid w:val="00AF5A1F"/>
    <w:rsid w:val="00AF5C03"/>
    <w:rsid w:val="00AF6179"/>
    <w:rsid w:val="00AF6CD1"/>
    <w:rsid w:val="00AF6E0C"/>
    <w:rsid w:val="00AF731C"/>
    <w:rsid w:val="00AF7698"/>
    <w:rsid w:val="00AF789C"/>
    <w:rsid w:val="00AF7B33"/>
    <w:rsid w:val="00B006D1"/>
    <w:rsid w:val="00B00702"/>
    <w:rsid w:val="00B00E60"/>
    <w:rsid w:val="00B0137F"/>
    <w:rsid w:val="00B01AC5"/>
    <w:rsid w:val="00B01D1E"/>
    <w:rsid w:val="00B01F16"/>
    <w:rsid w:val="00B03EAF"/>
    <w:rsid w:val="00B04105"/>
    <w:rsid w:val="00B04C0D"/>
    <w:rsid w:val="00B06667"/>
    <w:rsid w:val="00B0686D"/>
    <w:rsid w:val="00B06A50"/>
    <w:rsid w:val="00B06D0A"/>
    <w:rsid w:val="00B10C22"/>
    <w:rsid w:val="00B11049"/>
    <w:rsid w:val="00B11720"/>
    <w:rsid w:val="00B12256"/>
    <w:rsid w:val="00B12628"/>
    <w:rsid w:val="00B12953"/>
    <w:rsid w:val="00B1295A"/>
    <w:rsid w:val="00B12D80"/>
    <w:rsid w:val="00B132F8"/>
    <w:rsid w:val="00B1446F"/>
    <w:rsid w:val="00B151A9"/>
    <w:rsid w:val="00B15E41"/>
    <w:rsid w:val="00B15F16"/>
    <w:rsid w:val="00B17B45"/>
    <w:rsid w:val="00B17D1E"/>
    <w:rsid w:val="00B17E8F"/>
    <w:rsid w:val="00B207A8"/>
    <w:rsid w:val="00B20A45"/>
    <w:rsid w:val="00B2154A"/>
    <w:rsid w:val="00B227DB"/>
    <w:rsid w:val="00B22C5C"/>
    <w:rsid w:val="00B232D2"/>
    <w:rsid w:val="00B235CD"/>
    <w:rsid w:val="00B23641"/>
    <w:rsid w:val="00B23CFB"/>
    <w:rsid w:val="00B242E4"/>
    <w:rsid w:val="00B24672"/>
    <w:rsid w:val="00B24D91"/>
    <w:rsid w:val="00B24F30"/>
    <w:rsid w:val="00B269BD"/>
    <w:rsid w:val="00B30169"/>
    <w:rsid w:val="00B31280"/>
    <w:rsid w:val="00B31ABF"/>
    <w:rsid w:val="00B33BE3"/>
    <w:rsid w:val="00B34017"/>
    <w:rsid w:val="00B341A1"/>
    <w:rsid w:val="00B34FA4"/>
    <w:rsid w:val="00B35221"/>
    <w:rsid w:val="00B35BF8"/>
    <w:rsid w:val="00B35C93"/>
    <w:rsid w:val="00B35CEC"/>
    <w:rsid w:val="00B36EB0"/>
    <w:rsid w:val="00B377F6"/>
    <w:rsid w:val="00B37AA6"/>
    <w:rsid w:val="00B4054D"/>
    <w:rsid w:val="00B4211F"/>
    <w:rsid w:val="00B42331"/>
    <w:rsid w:val="00B426DF"/>
    <w:rsid w:val="00B436DB"/>
    <w:rsid w:val="00B4395F"/>
    <w:rsid w:val="00B43BC1"/>
    <w:rsid w:val="00B4419D"/>
    <w:rsid w:val="00B44303"/>
    <w:rsid w:val="00B44485"/>
    <w:rsid w:val="00B5056E"/>
    <w:rsid w:val="00B505A0"/>
    <w:rsid w:val="00B51B4D"/>
    <w:rsid w:val="00B528E8"/>
    <w:rsid w:val="00B53323"/>
    <w:rsid w:val="00B538E5"/>
    <w:rsid w:val="00B53B5D"/>
    <w:rsid w:val="00B5736E"/>
    <w:rsid w:val="00B6055E"/>
    <w:rsid w:val="00B6132A"/>
    <w:rsid w:val="00B61C1A"/>
    <w:rsid w:val="00B6317D"/>
    <w:rsid w:val="00B633FD"/>
    <w:rsid w:val="00B639F6"/>
    <w:rsid w:val="00B644E2"/>
    <w:rsid w:val="00B64669"/>
    <w:rsid w:val="00B648C5"/>
    <w:rsid w:val="00B64C53"/>
    <w:rsid w:val="00B64CAE"/>
    <w:rsid w:val="00B64E77"/>
    <w:rsid w:val="00B657AF"/>
    <w:rsid w:val="00B65A8F"/>
    <w:rsid w:val="00B6639F"/>
    <w:rsid w:val="00B6662B"/>
    <w:rsid w:val="00B67387"/>
    <w:rsid w:val="00B67957"/>
    <w:rsid w:val="00B70D34"/>
    <w:rsid w:val="00B70E15"/>
    <w:rsid w:val="00B72670"/>
    <w:rsid w:val="00B73444"/>
    <w:rsid w:val="00B738E4"/>
    <w:rsid w:val="00B74386"/>
    <w:rsid w:val="00B751B3"/>
    <w:rsid w:val="00B75426"/>
    <w:rsid w:val="00B760CC"/>
    <w:rsid w:val="00B7723F"/>
    <w:rsid w:val="00B77778"/>
    <w:rsid w:val="00B77F8C"/>
    <w:rsid w:val="00B8048C"/>
    <w:rsid w:val="00B80534"/>
    <w:rsid w:val="00B808D7"/>
    <w:rsid w:val="00B828F4"/>
    <w:rsid w:val="00B82D33"/>
    <w:rsid w:val="00B837CB"/>
    <w:rsid w:val="00B838D4"/>
    <w:rsid w:val="00B8412C"/>
    <w:rsid w:val="00B8433C"/>
    <w:rsid w:val="00B84C2F"/>
    <w:rsid w:val="00B856D2"/>
    <w:rsid w:val="00B87491"/>
    <w:rsid w:val="00B87C28"/>
    <w:rsid w:val="00B87C60"/>
    <w:rsid w:val="00B931FE"/>
    <w:rsid w:val="00B941C3"/>
    <w:rsid w:val="00B967A6"/>
    <w:rsid w:val="00B96845"/>
    <w:rsid w:val="00B96ECF"/>
    <w:rsid w:val="00B97C2B"/>
    <w:rsid w:val="00B97C75"/>
    <w:rsid w:val="00BA0ED8"/>
    <w:rsid w:val="00BA29E9"/>
    <w:rsid w:val="00BA2BFC"/>
    <w:rsid w:val="00BA37DD"/>
    <w:rsid w:val="00BA4E6B"/>
    <w:rsid w:val="00BA5371"/>
    <w:rsid w:val="00BA6B6A"/>
    <w:rsid w:val="00BA6BD2"/>
    <w:rsid w:val="00BA7142"/>
    <w:rsid w:val="00BA71A6"/>
    <w:rsid w:val="00BB0FB5"/>
    <w:rsid w:val="00BB237C"/>
    <w:rsid w:val="00BB35B7"/>
    <w:rsid w:val="00BB41A3"/>
    <w:rsid w:val="00BB424F"/>
    <w:rsid w:val="00BB5517"/>
    <w:rsid w:val="00BB5F45"/>
    <w:rsid w:val="00BB6604"/>
    <w:rsid w:val="00BB7ABD"/>
    <w:rsid w:val="00BC0043"/>
    <w:rsid w:val="00BC06E9"/>
    <w:rsid w:val="00BC0FAE"/>
    <w:rsid w:val="00BC1086"/>
    <w:rsid w:val="00BC1117"/>
    <w:rsid w:val="00BC18C8"/>
    <w:rsid w:val="00BC1AE8"/>
    <w:rsid w:val="00BC2207"/>
    <w:rsid w:val="00BC32DC"/>
    <w:rsid w:val="00BC35B6"/>
    <w:rsid w:val="00BC3F09"/>
    <w:rsid w:val="00BC440E"/>
    <w:rsid w:val="00BC6D3C"/>
    <w:rsid w:val="00BC7271"/>
    <w:rsid w:val="00BD085D"/>
    <w:rsid w:val="00BD0BF1"/>
    <w:rsid w:val="00BD12F6"/>
    <w:rsid w:val="00BD1B51"/>
    <w:rsid w:val="00BD21EA"/>
    <w:rsid w:val="00BD2D38"/>
    <w:rsid w:val="00BD2EFD"/>
    <w:rsid w:val="00BD31AB"/>
    <w:rsid w:val="00BD3444"/>
    <w:rsid w:val="00BD35D1"/>
    <w:rsid w:val="00BD44AC"/>
    <w:rsid w:val="00BD4596"/>
    <w:rsid w:val="00BD5D70"/>
    <w:rsid w:val="00BD5FA9"/>
    <w:rsid w:val="00BD6018"/>
    <w:rsid w:val="00BD622E"/>
    <w:rsid w:val="00BD64A6"/>
    <w:rsid w:val="00BD6F23"/>
    <w:rsid w:val="00BD714A"/>
    <w:rsid w:val="00BD762A"/>
    <w:rsid w:val="00BD7A2B"/>
    <w:rsid w:val="00BE0F0B"/>
    <w:rsid w:val="00BE0FC4"/>
    <w:rsid w:val="00BE1405"/>
    <w:rsid w:val="00BE2568"/>
    <w:rsid w:val="00BE26CD"/>
    <w:rsid w:val="00BE2C9A"/>
    <w:rsid w:val="00BE312D"/>
    <w:rsid w:val="00BE5DF6"/>
    <w:rsid w:val="00BE6348"/>
    <w:rsid w:val="00BF04E8"/>
    <w:rsid w:val="00BF0873"/>
    <w:rsid w:val="00BF0DF9"/>
    <w:rsid w:val="00BF0FDD"/>
    <w:rsid w:val="00BF1054"/>
    <w:rsid w:val="00BF1C20"/>
    <w:rsid w:val="00BF204C"/>
    <w:rsid w:val="00BF25F3"/>
    <w:rsid w:val="00BF2CE8"/>
    <w:rsid w:val="00BF303B"/>
    <w:rsid w:val="00BF318B"/>
    <w:rsid w:val="00BF3E0F"/>
    <w:rsid w:val="00BF4185"/>
    <w:rsid w:val="00BF418E"/>
    <w:rsid w:val="00BF4B54"/>
    <w:rsid w:val="00BF57F5"/>
    <w:rsid w:val="00BF583C"/>
    <w:rsid w:val="00BF6ED8"/>
    <w:rsid w:val="00BF709E"/>
    <w:rsid w:val="00BF716C"/>
    <w:rsid w:val="00C00E9E"/>
    <w:rsid w:val="00C01385"/>
    <w:rsid w:val="00C015FF"/>
    <w:rsid w:val="00C01748"/>
    <w:rsid w:val="00C0190D"/>
    <w:rsid w:val="00C039FE"/>
    <w:rsid w:val="00C03E0F"/>
    <w:rsid w:val="00C04806"/>
    <w:rsid w:val="00C05C64"/>
    <w:rsid w:val="00C067F8"/>
    <w:rsid w:val="00C069E8"/>
    <w:rsid w:val="00C06BD6"/>
    <w:rsid w:val="00C073A1"/>
    <w:rsid w:val="00C07E0F"/>
    <w:rsid w:val="00C10578"/>
    <w:rsid w:val="00C10A3D"/>
    <w:rsid w:val="00C10DD4"/>
    <w:rsid w:val="00C118CF"/>
    <w:rsid w:val="00C135BC"/>
    <w:rsid w:val="00C15554"/>
    <w:rsid w:val="00C1578E"/>
    <w:rsid w:val="00C15C95"/>
    <w:rsid w:val="00C15E1A"/>
    <w:rsid w:val="00C1640A"/>
    <w:rsid w:val="00C16DEE"/>
    <w:rsid w:val="00C16F2C"/>
    <w:rsid w:val="00C17A12"/>
    <w:rsid w:val="00C202CB"/>
    <w:rsid w:val="00C2046A"/>
    <w:rsid w:val="00C2068B"/>
    <w:rsid w:val="00C20E8B"/>
    <w:rsid w:val="00C211E6"/>
    <w:rsid w:val="00C21B47"/>
    <w:rsid w:val="00C21C08"/>
    <w:rsid w:val="00C21CC2"/>
    <w:rsid w:val="00C2212E"/>
    <w:rsid w:val="00C22909"/>
    <w:rsid w:val="00C22A2E"/>
    <w:rsid w:val="00C22C90"/>
    <w:rsid w:val="00C22CBA"/>
    <w:rsid w:val="00C22E16"/>
    <w:rsid w:val="00C22E1C"/>
    <w:rsid w:val="00C24BCD"/>
    <w:rsid w:val="00C2547A"/>
    <w:rsid w:val="00C2596A"/>
    <w:rsid w:val="00C265D2"/>
    <w:rsid w:val="00C27537"/>
    <w:rsid w:val="00C27A22"/>
    <w:rsid w:val="00C27A6F"/>
    <w:rsid w:val="00C301AA"/>
    <w:rsid w:val="00C3042D"/>
    <w:rsid w:val="00C30490"/>
    <w:rsid w:val="00C30913"/>
    <w:rsid w:val="00C31E41"/>
    <w:rsid w:val="00C32491"/>
    <w:rsid w:val="00C32793"/>
    <w:rsid w:val="00C328FE"/>
    <w:rsid w:val="00C33507"/>
    <w:rsid w:val="00C33BFB"/>
    <w:rsid w:val="00C35C5B"/>
    <w:rsid w:val="00C4153E"/>
    <w:rsid w:val="00C419DA"/>
    <w:rsid w:val="00C4231E"/>
    <w:rsid w:val="00C424E7"/>
    <w:rsid w:val="00C4394C"/>
    <w:rsid w:val="00C4409D"/>
    <w:rsid w:val="00C4421C"/>
    <w:rsid w:val="00C44E62"/>
    <w:rsid w:val="00C44E72"/>
    <w:rsid w:val="00C45041"/>
    <w:rsid w:val="00C4582A"/>
    <w:rsid w:val="00C45A06"/>
    <w:rsid w:val="00C465BB"/>
    <w:rsid w:val="00C46D9F"/>
    <w:rsid w:val="00C4795A"/>
    <w:rsid w:val="00C47E5B"/>
    <w:rsid w:val="00C47ED2"/>
    <w:rsid w:val="00C51D5F"/>
    <w:rsid w:val="00C51EC4"/>
    <w:rsid w:val="00C5233F"/>
    <w:rsid w:val="00C5379A"/>
    <w:rsid w:val="00C54201"/>
    <w:rsid w:val="00C544CC"/>
    <w:rsid w:val="00C54D0B"/>
    <w:rsid w:val="00C574BE"/>
    <w:rsid w:val="00C57C53"/>
    <w:rsid w:val="00C57FA3"/>
    <w:rsid w:val="00C60300"/>
    <w:rsid w:val="00C60AD0"/>
    <w:rsid w:val="00C6170F"/>
    <w:rsid w:val="00C61BEE"/>
    <w:rsid w:val="00C61E4B"/>
    <w:rsid w:val="00C62525"/>
    <w:rsid w:val="00C62F0B"/>
    <w:rsid w:val="00C631D6"/>
    <w:rsid w:val="00C63A08"/>
    <w:rsid w:val="00C64353"/>
    <w:rsid w:val="00C64477"/>
    <w:rsid w:val="00C64765"/>
    <w:rsid w:val="00C64BFF"/>
    <w:rsid w:val="00C65357"/>
    <w:rsid w:val="00C65A9F"/>
    <w:rsid w:val="00C6721F"/>
    <w:rsid w:val="00C701FD"/>
    <w:rsid w:val="00C704E9"/>
    <w:rsid w:val="00C70613"/>
    <w:rsid w:val="00C72191"/>
    <w:rsid w:val="00C72FCB"/>
    <w:rsid w:val="00C736B3"/>
    <w:rsid w:val="00C75095"/>
    <w:rsid w:val="00C75B0C"/>
    <w:rsid w:val="00C75BAD"/>
    <w:rsid w:val="00C75BE6"/>
    <w:rsid w:val="00C75CDC"/>
    <w:rsid w:val="00C763C9"/>
    <w:rsid w:val="00C774BA"/>
    <w:rsid w:val="00C77679"/>
    <w:rsid w:val="00C80057"/>
    <w:rsid w:val="00C801CA"/>
    <w:rsid w:val="00C82232"/>
    <w:rsid w:val="00C82913"/>
    <w:rsid w:val="00C82F07"/>
    <w:rsid w:val="00C8386E"/>
    <w:rsid w:val="00C85283"/>
    <w:rsid w:val="00C85528"/>
    <w:rsid w:val="00C8572E"/>
    <w:rsid w:val="00C8671C"/>
    <w:rsid w:val="00C867C9"/>
    <w:rsid w:val="00C872F4"/>
    <w:rsid w:val="00C877C2"/>
    <w:rsid w:val="00C878A2"/>
    <w:rsid w:val="00C9104B"/>
    <w:rsid w:val="00C924B0"/>
    <w:rsid w:val="00C9336A"/>
    <w:rsid w:val="00C94DB6"/>
    <w:rsid w:val="00C9504D"/>
    <w:rsid w:val="00C954B5"/>
    <w:rsid w:val="00C95951"/>
    <w:rsid w:val="00C96233"/>
    <w:rsid w:val="00C96451"/>
    <w:rsid w:val="00C972B1"/>
    <w:rsid w:val="00C973C6"/>
    <w:rsid w:val="00C9759C"/>
    <w:rsid w:val="00C97854"/>
    <w:rsid w:val="00C97E70"/>
    <w:rsid w:val="00CA12B9"/>
    <w:rsid w:val="00CA18B5"/>
    <w:rsid w:val="00CA2614"/>
    <w:rsid w:val="00CA29F1"/>
    <w:rsid w:val="00CA2BE7"/>
    <w:rsid w:val="00CA2CCE"/>
    <w:rsid w:val="00CA3227"/>
    <w:rsid w:val="00CA33DA"/>
    <w:rsid w:val="00CA3408"/>
    <w:rsid w:val="00CA37E0"/>
    <w:rsid w:val="00CA43FD"/>
    <w:rsid w:val="00CA4A59"/>
    <w:rsid w:val="00CA4BCE"/>
    <w:rsid w:val="00CA541A"/>
    <w:rsid w:val="00CA545F"/>
    <w:rsid w:val="00CA564C"/>
    <w:rsid w:val="00CA5D66"/>
    <w:rsid w:val="00CA6678"/>
    <w:rsid w:val="00CA68EA"/>
    <w:rsid w:val="00CA7780"/>
    <w:rsid w:val="00CA786E"/>
    <w:rsid w:val="00CA7EF8"/>
    <w:rsid w:val="00CB00EE"/>
    <w:rsid w:val="00CB0234"/>
    <w:rsid w:val="00CB0355"/>
    <w:rsid w:val="00CB0655"/>
    <w:rsid w:val="00CB11A0"/>
    <w:rsid w:val="00CB11B7"/>
    <w:rsid w:val="00CB155C"/>
    <w:rsid w:val="00CB2975"/>
    <w:rsid w:val="00CB2C83"/>
    <w:rsid w:val="00CB2DEF"/>
    <w:rsid w:val="00CB401B"/>
    <w:rsid w:val="00CB4615"/>
    <w:rsid w:val="00CB4C57"/>
    <w:rsid w:val="00CB4DC9"/>
    <w:rsid w:val="00CB5CBD"/>
    <w:rsid w:val="00CB5D3B"/>
    <w:rsid w:val="00CB5E1E"/>
    <w:rsid w:val="00CB60E2"/>
    <w:rsid w:val="00CB64ED"/>
    <w:rsid w:val="00CB7224"/>
    <w:rsid w:val="00CC012F"/>
    <w:rsid w:val="00CC0BB6"/>
    <w:rsid w:val="00CC2837"/>
    <w:rsid w:val="00CC489B"/>
    <w:rsid w:val="00CC4ADD"/>
    <w:rsid w:val="00CC5251"/>
    <w:rsid w:val="00CC527D"/>
    <w:rsid w:val="00CC555F"/>
    <w:rsid w:val="00CC57C4"/>
    <w:rsid w:val="00CC5BE3"/>
    <w:rsid w:val="00CC6129"/>
    <w:rsid w:val="00CC6B9E"/>
    <w:rsid w:val="00CC776B"/>
    <w:rsid w:val="00CC78F2"/>
    <w:rsid w:val="00CD064E"/>
    <w:rsid w:val="00CD0A09"/>
    <w:rsid w:val="00CD1AC9"/>
    <w:rsid w:val="00CD2BCD"/>
    <w:rsid w:val="00CD2C15"/>
    <w:rsid w:val="00CD2D06"/>
    <w:rsid w:val="00CD2D3D"/>
    <w:rsid w:val="00CD3A4C"/>
    <w:rsid w:val="00CD3A86"/>
    <w:rsid w:val="00CD538F"/>
    <w:rsid w:val="00CD6227"/>
    <w:rsid w:val="00CD6D0D"/>
    <w:rsid w:val="00CD6E1A"/>
    <w:rsid w:val="00CD722D"/>
    <w:rsid w:val="00CD7776"/>
    <w:rsid w:val="00CD7921"/>
    <w:rsid w:val="00CE08B2"/>
    <w:rsid w:val="00CE10E9"/>
    <w:rsid w:val="00CE12ED"/>
    <w:rsid w:val="00CE1369"/>
    <w:rsid w:val="00CE2910"/>
    <w:rsid w:val="00CE2A16"/>
    <w:rsid w:val="00CE2A54"/>
    <w:rsid w:val="00CE2A59"/>
    <w:rsid w:val="00CE3AAB"/>
    <w:rsid w:val="00CE3C4B"/>
    <w:rsid w:val="00CE5393"/>
    <w:rsid w:val="00CE565B"/>
    <w:rsid w:val="00CE57B5"/>
    <w:rsid w:val="00CE59C2"/>
    <w:rsid w:val="00CE5BBB"/>
    <w:rsid w:val="00CE618F"/>
    <w:rsid w:val="00CE61E1"/>
    <w:rsid w:val="00CF36BE"/>
    <w:rsid w:val="00CF4EE7"/>
    <w:rsid w:val="00CF55F7"/>
    <w:rsid w:val="00CF57A9"/>
    <w:rsid w:val="00CF5A8B"/>
    <w:rsid w:val="00CF5F54"/>
    <w:rsid w:val="00CF6000"/>
    <w:rsid w:val="00CF6C03"/>
    <w:rsid w:val="00CF7833"/>
    <w:rsid w:val="00CF7D4B"/>
    <w:rsid w:val="00D003F3"/>
    <w:rsid w:val="00D00526"/>
    <w:rsid w:val="00D005A1"/>
    <w:rsid w:val="00D0138A"/>
    <w:rsid w:val="00D015CB"/>
    <w:rsid w:val="00D0179B"/>
    <w:rsid w:val="00D023C1"/>
    <w:rsid w:val="00D033AF"/>
    <w:rsid w:val="00D0364F"/>
    <w:rsid w:val="00D038D9"/>
    <w:rsid w:val="00D03AA5"/>
    <w:rsid w:val="00D03FBE"/>
    <w:rsid w:val="00D0402C"/>
    <w:rsid w:val="00D04EC7"/>
    <w:rsid w:val="00D0505B"/>
    <w:rsid w:val="00D056DC"/>
    <w:rsid w:val="00D0653E"/>
    <w:rsid w:val="00D06834"/>
    <w:rsid w:val="00D06D7A"/>
    <w:rsid w:val="00D06DB7"/>
    <w:rsid w:val="00D06EED"/>
    <w:rsid w:val="00D10483"/>
    <w:rsid w:val="00D10739"/>
    <w:rsid w:val="00D10AC6"/>
    <w:rsid w:val="00D10B32"/>
    <w:rsid w:val="00D111F1"/>
    <w:rsid w:val="00D11DFB"/>
    <w:rsid w:val="00D14426"/>
    <w:rsid w:val="00D1541F"/>
    <w:rsid w:val="00D15AF8"/>
    <w:rsid w:val="00D15C65"/>
    <w:rsid w:val="00D15E6A"/>
    <w:rsid w:val="00D16622"/>
    <w:rsid w:val="00D17453"/>
    <w:rsid w:val="00D176FD"/>
    <w:rsid w:val="00D17E69"/>
    <w:rsid w:val="00D202A5"/>
    <w:rsid w:val="00D20CC1"/>
    <w:rsid w:val="00D20FDE"/>
    <w:rsid w:val="00D22CBD"/>
    <w:rsid w:val="00D22FDE"/>
    <w:rsid w:val="00D24183"/>
    <w:rsid w:val="00D257AA"/>
    <w:rsid w:val="00D25FD5"/>
    <w:rsid w:val="00D26E44"/>
    <w:rsid w:val="00D2734A"/>
    <w:rsid w:val="00D30361"/>
    <w:rsid w:val="00D308ED"/>
    <w:rsid w:val="00D30E57"/>
    <w:rsid w:val="00D3129A"/>
    <w:rsid w:val="00D315DA"/>
    <w:rsid w:val="00D31EA6"/>
    <w:rsid w:val="00D3215C"/>
    <w:rsid w:val="00D32384"/>
    <w:rsid w:val="00D32685"/>
    <w:rsid w:val="00D32B4D"/>
    <w:rsid w:val="00D3308E"/>
    <w:rsid w:val="00D33279"/>
    <w:rsid w:val="00D338B0"/>
    <w:rsid w:val="00D34163"/>
    <w:rsid w:val="00D3448D"/>
    <w:rsid w:val="00D34A5C"/>
    <w:rsid w:val="00D34EB1"/>
    <w:rsid w:val="00D352D0"/>
    <w:rsid w:val="00D36B5E"/>
    <w:rsid w:val="00D36D86"/>
    <w:rsid w:val="00D37B8C"/>
    <w:rsid w:val="00D37D6B"/>
    <w:rsid w:val="00D40A81"/>
    <w:rsid w:val="00D41559"/>
    <w:rsid w:val="00D42042"/>
    <w:rsid w:val="00D428AA"/>
    <w:rsid w:val="00D428C8"/>
    <w:rsid w:val="00D429E5"/>
    <w:rsid w:val="00D440BC"/>
    <w:rsid w:val="00D440D7"/>
    <w:rsid w:val="00D45708"/>
    <w:rsid w:val="00D45B4D"/>
    <w:rsid w:val="00D462D6"/>
    <w:rsid w:val="00D4697B"/>
    <w:rsid w:val="00D46EE2"/>
    <w:rsid w:val="00D473E5"/>
    <w:rsid w:val="00D479EE"/>
    <w:rsid w:val="00D50314"/>
    <w:rsid w:val="00D503F2"/>
    <w:rsid w:val="00D50A34"/>
    <w:rsid w:val="00D50F2B"/>
    <w:rsid w:val="00D532EB"/>
    <w:rsid w:val="00D5398C"/>
    <w:rsid w:val="00D53EFA"/>
    <w:rsid w:val="00D54462"/>
    <w:rsid w:val="00D552B8"/>
    <w:rsid w:val="00D5580F"/>
    <w:rsid w:val="00D55BE7"/>
    <w:rsid w:val="00D5649A"/>
    <w:rsid w:val="00D57D4E"/>
    <w:rsid w:val="00D60363"/>
    <w:rsid w:val="00D6087A"/>
    <w:rsid w:val="00D60AA6"/>
    <w:rsid w:val="00D60D2C"/>
    <w:rsid w:val="00D618BE"/>
    <w:rsid w:val="00D61F9D"/>
    <w:rsid w:val="00D6278F"/>
    <w:rsid w:val="00D62C72"/>
    <w:rsid w:val="00D64802"/>
    <w:rsid w:val="00D64E9C"/>
    <w:rsid w:val="00D65789"/>
    <w:rsid w:val="00D66EB1"/>
    <w:rsid w:val="00D66EDC"/>
    <w:rsid w:val="00D677FC"/>
    <w:rsid w:val="00D700D6"/>
    <w:rsid w:val="00D70313"/>
    <w:rsid w:val="00D70823"/>
    <w:rsid w:val="00D7082F"/>
    <w:rsid w:val="00D71EA8"/>
    <w:rsid w:val="00D72588"/>
    <w:rsid w:val="00D7259C"/>
    <w:rsid w:val="00D735E0"/>
    <w:rsid w:val="00D73CA8"/>
    <w:rsid w:val="00D751FF"/>
    <w:rsid w:val="00D7599A"/>
    <w:rsid w:val="00D75C1C"/>
    <w:rsid w:val="00D76A62"/>
    <w:rsid w:val="00D77E33"/>
    <w:rsid w:val="00D80313"/>
    <w:rsid w:val="00D8214F"/>
    <w:rsid w:val="00D83942"/>
    <w:rsid w:val="00D83B25"/>
    <w:rsid w:val="00D83B50"/>
    <w:rsid w:val="00D85129"/>
    <w:rsid w:val="00D85281"/>
    <w:rsid w:val="00D8610E"/>
    <w:rsid w:val="00D86C43"/>
    <w:rsid w:val="00D87DF9"/>
    <w:rsid w:val="00D90356"/>
    <w:rsid w:val="00D90CCD"/>
    <w:rsid w:val="00D911A2"/>
    <w:rsid w:val="00D91B75"/>
    <w:rsid w:val="00D92271"/>
    <w:rsid w:val="00D92443"/>
    <w:rsid w:val="00D92CFD"/>
    <w:rsid w:val="00D9304E"/>
    <w:rsid w:val="00D937A6"/>
    <w:rsid w:val="00D94764"/>
    <w:rsid w:val="00D94A7C"/>
    <w:rsid w:val="00D94FCB"/>
    <w:rsid w:val="00D9518E"/>
    <w:rsid w:val="00D95896"/>
    <w:rsid w:val="00D95DB9"/>
    <w:rsid w:val="00D95FF8"/>
    <w:rsid w:val="00D9634D"/>
    <w:rsid w:val="00D964E1"/>
    <w:rsid w:val="00D972ED"/>
    <w:rsid w:val="00D975DF"/>
    <w:rsid w:val="00DA0127"/>
    <w:rsid w:val="00DA03E4"/>
    <w:rsid w:val="00DA1286"/>
    <w:rsid w:val="00DA13BE"/>
    <w:rsid w:val="00DA1E89"/>
    <w:rsid w:val="00DA2655"/>
    <w:rsid w:val="00DA2B39"/>
    <w:rsid w:val="00DA2EE7"/>
    <w:rsid w:val="00DA3621"/>
    <w:rsid w:val="00DA52CE"/>
    <w:rsid w:val="00DA5593"/>
    <w:rsid w:val="00DA68DE"/>
    <w:rsid w:val="00DA70E7"/>
    <w:rsid w:val="00DA7308"/>
    <w:rsid w:val="00DA7FE5"/>
    <w:rsid w:val="00DB0085"/>
    <w:rsid w:val="00DB0A5F"/>
    <w:rsid w:val="00DB1B50"/>
    <w:rsid w:val="00DB1CED"/>
    <w:rsid w:val="00DB2100"/>
    <w:rsid w:val="00DB237A"/>
    <w:rsid w:val="00DB2983"/>
    <w:rsid w:val="00DB309D"/>
    <w:rsid w:val="00DB32E5"/>
    <w:rsid w:val="00DB33A3"/>
    <w:rsid w:val="00DB35BE"/>
    <w:rsid w:val="00DB3857"/>
    <w:rsid w:val="00DB4957"/>
    <w:rsid w:val="00DB556D"/>
    <w:rsid w:val="00DB6E1C"/>
    <w:rsid w:val="00DC1158"/>
    <w:rsid w:val="00DC1257"/>
    <w:rsid w:val="00DC18EE"/>
    <w:rsid w:val="00DC1D4D"/>
    <w:rsid w:val="00DC26EE"/>
    <w:rsid w:val="00DC2D4B"/>
    <w:rsid w:val="00DC3475"/>
    <w:rsid w:val="00DC36F9"/>
    <w:rsid w:val="00DC37EC"/>
    <w:rsid w:val="00DC3D01"/>
    <w:rsid w:val="00DC3DC0"/>
    <w:rsid w:val="00DC5B2B"/>
    <w:rsid w:val="00DC60D6"/>
    <w:rsid w:val="00DC63A8"/>
    <w:rsid w:val="00DC6C94"/>
    <w:rsid w:val="00DC75A6"/>
    <w:rsid w:val="00DC79E9"/>
    <w:rsid w:val="00DD0456"/>
    <w:rsid w:val="00DD0D95"/>
    <w:rsid w:val="00DD1098"/>
    <w:rsid w:val="00DD2964"/>
    <w:rsid w:val="00DD318D"/>
    <w:rsid w:val="00DD3866"/>
    <w:rsid w:val="00DD39ED"/>
    <w:rsid w:val="00DD3B05"/>
    <w:rsid w:val="00DD42A4"/>
    <w:rsid w:val="00DD5B17"/>
    <w:rsid w:val="00DD6368"/>
    <w:rsid w:val="00DD648B"/>
    <w:rsid w:val="00DD7D6F"/>
    <w:rsid w:val="00DD7D7D"/>
    <w:rsid w:val="00DE14FA"/>
    <w:rsid w:val="00DE197A"/>
    <w:rsid w:val="00DE1A0D"/>
    <w:rsid w:val="00DE2456"/>
    <w:rsid w:val="00DE30EE"/>
    <w:rsid w:val="00DE4F52"/>
    <w:rsid w:val="00DE6706"/>
    <w:rsid w:val="00DE6865"/>
    <w:rsid w:val="00DE6C26"/>
    <w:rsid w:val="00DE6C95"/>
    <w:rsid w:val="00DE7A09"/>
    <w:rsid w:val="00DF0373"/>
    <w:rsid w:val="00DF093E"/>
    <w:rsid w:val="00DF291D"/>
    <w:rsid w:val="00DF29F5"/>
    <w:rsid w:val="00DF2E12"/>
    <w:rsid w:val="00DF3F28"/>
    <w:rsid w:val="00DF40AC"/>
    <w:rsid w:val="00DF48A3"/>
    <w:rsid w:val="00DF514A"/>
    <w:rsid w:val="00DF624F"/>
    <w:rsid w:val="00DF6690"/>
    <w:rsid w:val="00DF66C0"/>
    <w:rsid w:val="00DF6804"/>
    <w:rsid w:val="00DF796D"/>
    <w:rsid w:val="00DF7F2E"/>
    <w:rsid w:val="00E000DC"/>
    <w:rsid w:val="00E006A5"/>
    <w:rsid w:val="00E020B0"/>
    <w:rsid w:val="00E0228D"/>
    <w:rsid w:val="00E0358D"/>
    <w:rsid w:val="00E03803"/>
    <w:rsid w:val="00E03A5A"/>
    <w:rsid w:val="00E04323"/>
    <w:rsid w:val="00E04D74"/>
    <w:rsid w:val="00E05848"/>
    <w:rsid w:val="00E06A98"/>
    <w:rsid w:val="00E070A2"/>
    <w:rsid w:val="00E07915"/>
    <w:rsid w:val="00E10651"/>
    <w:rsid w:val="00E10898"/>
    <w:rsid w:val="00E1106B"/>
    <w:rsid w:val="00E111CE"/>
    <w:rsid w:val="00E12253"/>
    <w:rsid w:val="00E125E0"/>
    <w:rsid w:val="00E12797"/>
    <w:rsid w:val="00E12FC9"/>
    <w:rsid w:val="00E13B47"/>
    <w:rsid w:val="00E13F8B"/>
    <w:rsid w:val="00E14078"/>
    <w:rsid w:val="00E14806"/>
    <w:rsid w:val="00E149BD"/>
    <w:rsid w:val="00E160E6"/>
    <w:rsid w:val="00E17414"/>
    <w:rsid w:val="00E17F0A"/>
    <w:rsid w:val="00E20ABA"/>
    <w:rsid w:val="00E2148F"/>
    <w:rsid w:val="00E23B9C"/>
    <w:rsid w:val="00E24346"/>
    <w:rsid w:val="00E24926"/>
    <w:rsid w:val="00E255B4"/>
    <w:rsid w:val="00E259BD"/>
    <w:rsid w:val="00E2644F"/>
    <w:rsid w:val="00E2649E"/>
    <w:rsid w:val="00E2656A"/>
    <w:rsid w:val="00E27498"/>
    <w:rsid w:val="00E27A34"/>
    <w:rsid w:val="00E31080"/>
    <w:rsid w:val="00E31541"/>
    <w:rsid w:val="00E3314B"/>
    <w:rsid w:val="00E33561"/>
    <w:rsid w:val="00E33BEE"/>
    <w:rsid w:val="00E33ED2"/>
    <w:rsid w:val="00E34E3D"/>
    <w:rsid w:val="00E34E85"/>
    <w:rsid w:val="00E35941"/>
    <w:rsid w:val="00E359A0"/>
    <w:rsid w:val="00E35E9A"/>
    <w:rsid w:val="00E35EFE"/>
    <w:rsid w:val="00E35F8D"/>
    <w:rsid w:val="00E3643C"/>
    <w:rsid w:val="00E36AFC"/>
    <w:rsid w:val="00E373AB"/>
    <w:rsid w:val="00E40361"/>
    <w:rsid w:val="00E4063B"/>
    <w:rsid w:val="00E40F77"/>
    <w:rsid w:val="00E412D0"/>
    <w:rsid w:val="00E427BE"/>
    <w:rsid w:val="00E42934"/>
    <w:rsid w:val="00E42CF0"/>
    <w:rsid w:val="00E43B76"/>
    <w:rsid w:val="00E44096"/>
    <w:rsid w:val="00E44A2E"/>
    <w:rsid w:val="00E44A38"/>
    <w:rsid w:val="00E451DA"/>
    <w:rsid w:val="00E452E4"/>
    <w:rsid w:val="00E45461"/>
    <w:rsid w:val="00E464E6"/>
    <w:rsid w:val="00E46754"/>
    <w:rsid w:val="00E46CB9"/>
    <w:rsid w:val="00E47914"/>
    <w:rsid w:val="00E50BE9"/>
    <w:rsid w:val="00E50F9E"/>
    <w:rsid w:val="00E51327"/>
    <w:rsid w:val="00E51F79"/>
    <w:rsid w:val="00E52080"/>
    <w:rsid w:val="00E534B4"/>
    <w:rsid w:val="00E5438E"/>
    <w:rsid w:val="00E54A4F"/>
    <w:rsid w:val="00E54BA0"/>
    <w:rsid w:val="00E55B7C"/>
    <w:rsid w:val="00E56322"/>
    <w:rsid w:val="00E565F4"/>
    <w:rsid w:val="00E57AE0"/>
    <w:rsid w:val="00E57F89"/>
    <w:rsid w:val="00E605EB"/>
    <w:rsid w:val="00E60982"/>
    <w:rsid w:val="00E60E77"/>
    <w:rsid w:val="00E6284C"/>
    <w:rsid w:val="00E62C62"/>
    <w:rsid w:val="00E63453"/>
    <w:rsid w:val="00E635D2"/>
    <w:rsid w:val="00E63A8D"/>
    <w:rsid w:val="00E63C6D"/>
    <w:rsid w:val="00E64BA9"/>
    <w:rsid w:val="00E64E76"/>
    <w:rsid w:val="00E651F9"/>
    <w:rsid w:val="00E6537D"/>
    <w:rsid w:val="00E654C1"/>
    <w:rsid w:val="00E65D97"/>
    <w:rsid w:val="00E66B3E"/>
    <w:rsid w:val="00E67662"/>
    <w:rsid w:val="00E676B1"/>
    <w:rsid w:val="00E679CA"/>
    <w:rsid w:val="00E7009D"/>
    <w:rsid w:val="00E70E88"/>
    <w:rsid w:val="00E71AA3"/>
    <w:rsid w:val="00E71F02"/>
    <w:rsid w:val="00E7213B"/>
    <w:rsid w:val="00E725F3"/>
    <w:rsid w:val="00E72A5A"/>
    <w:rsid w:val="00E72A81"/>
    <w:rsid w:val="00E73054"/>
    <w:rsid w:val="00E73354"/>
    <w:rsid w:val="00E7388A"/>
    <w:rsid w:val="00E74187"/>
    <w:rsid w:val="00E74537"/>
    <w:rsid w:val="00E763AD"/>
    <w:rsid w:val="00E767BE"/>
    <w:rsid w:val="00E7773F"/>
    <w:rsid w:val="00E814B0"/>
    <w:rsid w:val="00E8256A"/>
    <w:rsid w:val="00E82ACB"/>
    <w:rsid w:val="00E82C38"/>
    <w:rsid w:val="00E83220"/>
    <w:rsid w:val="00E83320"/>
    <w:rsid w:val="00E83806"/>
    <w:rsid w:val="00E8383A"/>
    <w:rsid w:val="00E83CD1"/>
    <w:rsid w:val="00E83E90"/>
    <w:rsid w:val="00E854BA"/>
    <w:rsid w:val="00E86C4C"/>
    <w:rsid w:val="00E90547"/>
    <w:rsid w:val="00E91640"/>
    <w:rsid w:val="00E91E0C"/>
    <w:rsid w:val="00E923A1"/>
    <w:rsid w:val="00E9242D"/>
    <w:rsid w:val="00E93F84"/>
    <w:rsid w:val="00E940FD"/>
    <w:rsid w:val="00E94190"/>
    <w:rsid w:val="00E94703"/>
    <w:rsid w:val="00E949E7"/>
    <w:rsid w:val="00E94E20"/>
    <w:rsid w:val="00E95339"/>
    <w:rsid w:val="00E95D15"/>
    <w:rsid w:val="00E960CB"/>
    <w:rsid w:val="00E96757"/>
    <w:rsid w:val="00E9697B"/>
    <w:rsid w:val="00E9736A"/>
    <w:rsid w:val="00E97D00"/>
    <w:rsid w:val="00EA011D"/>
    <w:rsid w:val="00EA0488"/>
    <w:rsid w:val="00EA0585"/>
    <w:rsid w:val="00EA1332"/>
    <w:rsid w:val="00EA3C09"/>
    <w:rsid w:val="00EA3F4C"/>
    <w:rsid w:val="00EA4258"/>
    <w:rsid w:val="00EA4379"/>
    <w:rsid w:val="00EA4F77"/>
    <w:rsid w:val="00EA5159"/>
    <w:rsid w:val="00EA5372"/>
    <w:rsid w:val="00EA6AB4"/>
    <w:rsid w:val="00EA7893"/>
    <w:rsid w:val="00EA7C66"/>
    <w:rsid w:val="00EB0C61"/>
    <w:rsid w:val="00EB29DC"/>
    <w:rsid w:val="00EB2EA2"/>
    <w:rsid w:val="00EB30D6"/>
    <w:rsid w:val="00EB3413"/>
    <w:rsid w:val="00EB3491"/>
    <w:rsid w:val="00EB3688"/>
    <w:rsid w:val="00EB458D"/>
    <w:rsid w:val="00EB5255"/>
    <w:rsid w:val="00EB5C47"/>
    <w:rsid w:val="00EB5C6B"/>
    <w:rsid w:val="00EB5F6D"/>
    <w:rsid w:val="00EB6CD0"/>
    <w:rsid w:val="00EB6FC0"/>
    <w:rsid w:val="00EB735F"/>
    <w:rsid w:val="00EB756C"/>
    <w:rsid w:val="00EB760C"/>
    <w:rsid w:val="00EB780D"/>
    <w:rsid w:val="00EB7FDD"/>
    <w:rsid w:val="00EC08BD"/>
    <w:rsid w:val="00EC1670"/>
    <w:rsid w:val="00EC2274"/>
    <w:rsid w:val="00EC39F1"/>
    <w:rsid w:val="00EC3B3B"/>
    <w:rsid w:val="00EC3C25"/>
    <w:rsid w:val="00EC44D8"/>
    <w:rsid w:val="00EC58AA"/>
    <w:rsid w:val="00EC5E83"/>
    <w:rsid w:val="00EC5F16"/>
    <w:rsid w:val="00EC60DE"/>
    <w:rsid w:val="00EC67DE"/>
    <w:rsid w:val="00EC770D"/>
    <w:rsid w:val="00EC78F3"/>
    <w:rsid w:val="00EC7CA2"/>
    <w:rsid w:val="00ED04E8"/>
    <w:rsid w:val="00ED0639"/>
    <w:rsid w:val="00ED095B"/>
    <w:rsid w:val="00ED0DBE"/>
    <w:rsid w:val="00ED0ED0"/>
    <w:rsid w:val="00ED2B6C"/>
    <w:rsid w:val="00ED36F9"/>
    <w:rsid w:val="00ED37D1"/>
    <w:rsid w:val="00ED3C08"/>
    <w:rsid w:val="00ED434A"/>
    <w:rsid w:val="00ED49C4"/>
    <w:rsid w:val="00ED59C7"/>
    <w:rsid w:val="00ED7AC8"/>
    <w:rsid w:val="00EE1743"/>
    <w:rsid w:val="00EE17CB"/>
    <w:rsid w:val="00EE2ACF"/>
    <w:rsid w:val="00EE44DE"/>
    <w:rsid w:val="00EE4521"/>
    <w:rsid w:val="00EE5242"/>
    <w:rsid w:val="00EE5C1F"/>
    <w:rsid w:val="00EE60DD"/>
    <w:rsid w:val="00EE60F4"/>
    <w:rsid w:val="00EE67CB"/>
    <w:rsid w:val="00EE6F25"/>
    <w:rsid w:val="00EE70D1"/>
    <w:rsid w:val="00EE7677"/>
    <w:rsid w:val="00EF0496"/>
    <w:rsid w:val="00EF0EED"/>
    <w:rsid w:val="00EF1436"/>
    <w:rsid w:val="00EF18E7"/>
    <w:rsid w:val="00EF1D2C"/>
    <w:rsid w:val="00EF4755"/>
    <w:rsid w:val="00EF544F"/>
    <w:rsid w:val="00EF58C3"/>
    <w:rsid w:val="00EF6616"/>
    <w:rsid w:val="00EF7135"/>
    <w:rsid w:val="00EF7DBD"/>
    <w:rsid w:val="00F001FD"/>
    <w:rsid w:val="00F00297"/>
    <w:rsid w:val="00F00643"/>
    <w:rsid w:val="00F00CF5"/>
    <w:rsid w:val="00F01EBC"/>
    <w:rsid w:val="00F027DB"/>
    <w:rsid w:val="00F0348B"/>
    <w:rsid w:val="00F045E5"/>
    <w:rsid w:val="00F04899"/>
    <w:rsid w:val="00F055DF"/>
    <w:rsid w:val="00F05E1E"/>
    <w:rsid w:val="00F05F7C"/>
    <w:rsid w:val="00F0616A"/>
    <w:rsid w:val="00F06507"/>
    <w:rsid w:val="00F06614"/>
    <w:rsid w:val="00F06674"/>
    <w:rsid w:val="00F066FA"/>
    <w:rsid w:val="00F06B2D"/>
    <w:rsid w:val="00F07675"/>
    <w:rsid w:val="00F11490"/>
    <w:rsid w:val="00F1153E"/>
    <w:rsid w:val="00F11C64"/>
    <w:rsid w:val="00F122A3"/>
    <w:rsid w:val="00F12E0D"/>
    <w:rsid w:val="00F13D01"/>
    <w:rsid w:val="00F147D8"/>
    <w:rsid w:val="00F14A7A"/>
    <w:rsid w:val="00F14B85"/>
    <w:rsid w:val="00F15811"/>
    <w:rsid w:val="00F15BDB"/>
    <w:rsid w:val="00F15BEC"/>
    <w:rsid w:val="00F15EEC"/>
    <w:rsid w:val="00F15FB7"/>
    <w:rsid w:val="00F163FF"/>
    <w:rsid w:val="00F17352"/>
    <w:rsid w:val="00F20759"/>
    <w:rsid w:val="00F20A38"/>
    <w:rsid w:val="00F20D80"/>
    <w:rsid w:val="00F216A2"/>
    <w:rsid w:val="00F21EA9"/>
    <w:rsid w:val="00F22985"/>
    <w:rsid w:val="00F229A7"/>
    <w:rsid w:val="00F23E1C"/>
    <w:rsid w:val="00F24715"/>
    <w:rsid w:val="00F24835"/>
    <w:rsid w:val="00F25729"/>
    <w:rsid w:val="00F263A9"/>
    <w:rsid w:val="00F26510"/>
    <w:rsid w:val="00F2665B"/>
    <w:rsid w:val="00F26B6B"/>
    <w:rsid w:val="00F26DB1"/>
    <w:rsid w:val="00F30642"/>
    <w:rsid w:val="00F319ED"/>
    <w:rsid w:val="00F32388"/>
    <w:rsid w:val="00F326D3"/>
    <w:rsid w:val="00F32904"/>
    <w:rsid w:val="00F333CD"/>
    <w:rsid w:val="00F3383E"/>
    <w:rsid w:val="00F33EC8"/>
    <w:rsid w:val="00F34209"/>
    <w:rsid w:val="00F3451F"/>
    <w:rsid w:val="00F354E8"/>
    <w:rsid w:val="00F3556B"/>
    <w:rsid w:val="00F35873"/>
    <w:rsid w:val="00F36141"/>
    <w:rsid w:val="00F3633A"/>
    <w:rsid w:val="00F3668E"/>
    <w:rsid w:val="00F37073"/>
    <w:rsid w:val="00F37622"/>
    <w:rsid w:val="00F40186"/>
    <w:rsid w:val="00F40229"/>
    <w:rsid w:val="00F40CA5"/>
    <w:rsid w:val="00F41F91"/>
    <w:rsid w:val="00F42405"/>
    <w:rsid w:val="00F42961"/>
    <w:rsid w:val="00F42DD0"/>
    <w:rsid w:val="00F43CD1"/>
    <w:rsid w:val="00F446F6"/>
    <w:rsid w:val="00F44BFC"/>
    <w:rsid w:val="00F4584F"/>
    <w:rsid w:val="00F4599B"/>
    <w:rsid w:val="00F459E4"/>
    <w:rsid w:val="00F45B1E"/>
    <w:rsid w:val="00F45F70"/>
    <w:rsid w:val="00F465A7"/>
    <w:rsid w:val="00F46CB4"/>
    <w:rsid w:val="00F505CD"/>
    <w:rsid w:val="00F50772"/>
    <w:rsid w:val="00F50AA2"/>
    <w:rsid w:val="00F50B7C"/>
    <w:rsid w:val="00F50C37"/>
    <w:rsid w:val="00F51BD5"/>
    <w:rsid w:val="00F52823"/>
    <w:rsid w:val="00F52903"/>
    <w:rsid w:val="00F5334A"/>
    <w:rsid w:val="00F536C6"/>
    <w:rsid w:val="00F53D63"/>
    <w:rsid w:val="00F54E38"/>
    <w:rsid w:val="00F550E6"/>
    <w:rsid w:val="00F56017"/>
    <w:rsid w:val="00F5605F"/>
    <w:rsid w:val="00F569AC"/>
    <w:rsid w:val="00F56D02"/>
    <w:rsid w:val="00F56EB5"/>
    <w:rsid w:val="00F56ED0"/>
    <w:rsid w:val="00F571BE"/>
    <w:rsid w:val="00F5747D"/>
    <w:rsid w:val="00F57802"/>
    <w:rsid w:val="00F60987"/>
    <w:rsid w:val="00F619EF"/>
    <w:rsid w:val="00F61C6D"/>
    <w:rsid w:val="00F63276"/>
    <w:rsid w:val="00F636DB"/>
    <w:rsid w:val="00F63D69"/>
    <w:rsid w:val="00F64BAB"/>
    <w:rsid w:val="00F64C76"/>
    <w:rsid w:val="00F667A7"/>
    <w:rsid w:val="00F66EAD"/>
    <w:rsid w:val="00F6748A"/>
    <w:rsid w:val="00F709D8"/>
    <w:rsid w:val="00F71FD7"/>
    <w:rsid w:val="00F726D2"/>
    <w:rsid w:val="00F728B2"/>
    <w:rsid w:val="00F72E0A"/>
    <w:rsid w:val="00F72EA8"/>
    <w:rsid w:val="00F732BC"/>
    <w:rsid w:val="00F73DB7"/>
    <w:rsid w:val="00F74345"/>
    <w:rsid w:val="00F75466"/>
    <w:rsid w:val="00F7568C"/>
    <w:rsid w:val="00F76199"/>
    <w:rsid w:val="00F765D0"/>
    <w:rsid w:val="00F76FDE"/>
    <w:rsid w:val="00F77B2F"/>
    <w:rsid w:val="00F77C37"/>
    <w:rsid w:val="00F77C52"/>
    <w:rsid w:val="00F804C1"/>
    <w:rsid w:val="00F80A0A"/>
    <w:rsid w:val="00F8101A"/>
    <w:rsid w:val="00F813D9"/>
    <w:rsid w:val="00F81C36"/>
    <w:rsid w:val="00F81F4B"/>
    <w:rsid w:val="00F825D6"/>
    <w:rsid w:val="00F82B19"/>
    <w:rsid w:val="00F831FB"/>
    <w:rsid w:val="00F83548"/>
    <w:rsid w:val="00F83C4E"/>
    <w:rsid w:val="00F8473B"/>
    <w:rsid w:val="00F85046"/>
    <w:rsid w:val="00F87722"/>
    <w:rsid w:val="00F8793C"/>
    <w:rsid w:val="00F90948"/>
    <w:rsid w:val="00F9212D"/>
    <w:rsid w:val="00F9233F"/>
    <w:rsid w:val="00F92658"/>
    <w:rsid w:val="00F93132"/>
    <w:rsid w:val="00F934F7"/>
    <w:rsid w:val="00F93B13"/>
    <w:rsid w:val="00F93D4C"/>
    <w:rsid w:val="00F93E67"/>
    <w:rsid w:val="00F93EBE"/>
    <w:rsid w:val="00F94ABE"/>
    <w:rsid w:val="00F94D91"/>
    <w:rsid w:val="00F94ED5"/>
    <w:rsid w:val="00F96272"/>
    <w:rsid w:val="00F965DA"/>
    <w:rsid w:val="00F96709"/>
    <w:rsid w:val="00F9744C"/>
    <w:rsid w:val="00FA02A7"/>
    <w:rsid w:val="00FA04C8"/>
    <w:rsid w:val="00FA0A9F"/>
    <w:rsid w:val="00FA3442"/>
    <w:rsid w:val="00FA3C1D"/>
    <w:rsid w:val="00FA406A"/>
    <w:rsid w:val="00FA4AE3"/>
    <w:rsid w:val="00FA4EC1"/>
    <w:rsid w:val="00FA5638"/>
    <w:rsid w:val="00FA58C1"/>
    <w:rsid w:val="00FA5DEF"/>
    <w:rsid w:val="00FA606A"/>
    <w:rsid w:val="00FA6112"/>
    <w:rsid w:val="00FA7032"/>
    <w:rsid w:val="00FA738B"/>
    <w:rsid w:val="00FA788B"/>
    <w:rsid w:val="00FA7F66"/>
    <w:rsid w:val="00FB11DB"/>
    <w:rsid w:val="00FB184F"/>
    <w:rsid w:val="00FB22C2"/>
    <w:rsid w:val="00FB27D8"/>
    <w:rsid w:val="00FB295B"/>
    <w:rsid w:val="00FB2EE5"/>
    <w:rsid w:val="00FB2F3D"/>
    <w:rsid w:val="00FB32CA"/>
    <w:rsid w:val="00FB3BC6"/>
    <w:rsid w:val="00FB49A8"/>
    <w:rsid w:val="00FB503A"/>
    <w:rsid w:val="00FB506D"/>
    <w:rsid w:val="00FB516C"/>
    <w:rsid w:val="00FB5B8D"/>
    <w:rsid w:val="00FB6A3D"/>
    <w:rsid w:val="00FB6DB1"/>
    <w:rsid w:val="00FB717D"/>
    <w:rsid w:val="00FC06BD"/>
    <w:rsid w:val="00FC1E7A"/>
    <w:rsid w:val="00FC2BBC"/>
    <w:rsid w:val="00FC3C84"/>
    <w:rsid w:val="00FC4132"/>
    <w:rsid w:val="00FC47F0"/>
    <w:rsid w:val="00FC5E92"/>
    <w:rsid w:val="00FC6BF1"/>
    <w:rsid w:val="00FC738B"/>
    <w:rsid w:val="00FC738F"/>
    <w:rsid w:val="00FC73CA"/>
    <w:rsid w:val="00FD0055"/>
    <w:rsid w:val="00FD0236"/>
    <w:rsid w:val="00FD059F"/>
    <w:rsid w:val="00FD1786"/>
    <w:rsid w:val="00FD18F4"/>
    <w:rsid w:val="00FD1A3D"/>
    <w:rsid w:val="00FD2825"/>
    <w:rsid w:val="00FD2F55"/>
    <w:rsid w:val="00FD3A77"/>
    <w:rsid w:val="00FD448E"/>
    <w:rsid w:val="00FD4556"/>
    <w:rsid w:val="00FD54DB"/>
    <w:rsid w:val="00FD619F"/>
    <w:rsid w:val="00FD6BC1"/>
    <w:rsid w:val="00FD6F55"/>
    <w:rsid w:val="00FD741C"/>
    <w:rsid w:val="00FD7A44"/>
    <w:rsid w:val="00FD7D4D"/>
    <w:rsid w:val="00FE0799"/>
    <w:rsid w:val="00FE0885"/>
    <w:rsid w:val="00FE0B91"/>
    <w:rsid w:val="00FE0BA5"/>
    <w:rsid w:val="00FE150D"/>
    <w:rsid w:val="00FE273A"/>
    <w:rsid w:val="00FE2CB2"/>
    <w:rsid w:val="00FE4A64"/>
    <w:rsid w:val="00FE4E72"/>
    <w:rsid w:val="00FE545F"/>
    <w:rsid w:val="00FE6409"/>
    <w:rsid w:val="00FE6760"/>
    <w:rsid w:val="00FE6A7E"/>
    <w:rsid w:val="00FE6FD6"/>
    <w:rsid w:val="00FF023B"/>
    <w:rsid w:val="00FF0DF9"/>
    <w:rsid w:val="00FF103A"/>
    <w:rsid w:val="00FF10F6"/>
    <w:rsid w:val="00FF1279"/>
    <w:rsid w:val="00FF1D56"/>
    <w:rsid w:val="00FF3327"/>
    <w:rsid w:val="00FF480A"/>
    <w:rsid w:val="00FF4CB4"/>
    <w:rsid w:val="00FF5CDC"/>
    <w:rsid w:val="00FF6353"/>
    <w:rsid w:val="01290F7E"/>
    <w:rsid w:val="012B4701"/>
    <w:rsid w:val="015D1E09"/>
    <w:rsid w:val="018B689A"/>
    <w:rsid w:val="01944FA6"/>
    <w:rsid w:val="020967F0"/>
    <w:rsid w:val="022352DD"/>
    <w:rsid w:val="02697903"/>
    <w:rsid w:val="02916316"/>
    <w:rsid w:val="02C167B0"/>
    <w:rsid w:val="02F96569"/>
    <w:rsid w:val="03202CAB"/>
    <w:rsid w:val="03EA7B21"/>
    <w:rsid w:val="03F4511E"/>
    <w:rsid w:val="040A3A97"/>
    <w:rsid w:val="045E36B4"/>
    <w:rsid w:val="04A377DA"/>
    <w:rsid w:val="04AE7B23"/>
    <w:rsid w:val="04B05722"/>
    <w:rsid w:val="04D379E7"/>
    <w:rsid w:val="04DC4690"/>
    <w:rsid w:val="057904EC"/>
    <w:rsid w:val="05F83EAE"/>
    <w:rsid w:val="063E7D85"/>
    <w:rsid w:val="06B1064E"/>
    <w:rsid w:val="07293586"/>
    <w:rsid w:val="07295285"/>
    <w:rsid w:val="07627EC7"/>
    <w:rsid w:val="07636392"/>
    <w:rsid w:val="07770C56"/>
    <w:rsid w:val="07F438B2"/>
    <w:rsid w:val="086329D2"/>
    <w:rsid w:val="09095327"/>
    <w:rsid w:val="092217DD"/>
    <w:rsid w:val="093A7294"/>
    <w:rsid w:val="09F12028"/>
    <w:rsid w:val="0A0B54E8"/>
    <w:rsid w:val="0A263993"/>
    <w:rsid w:val="0A2D3AC2"/>
    <w:rsid w:val="0A7858FE"/>
    <w:rsid w:val="0AA755DF"/>
    <w:rsid w:val="0ABE495C"/>
    <w:rsid w:val="0AF24DBE"/>
    <w:rsid w:val="0B120D44"/>
    <w:rsid w:val="0B1D2D1B"/>
    <w:rsid w:val="0B4E3C25"/>
    <w:rsid w:val="0B884C29"/>
    <w:rsid w:val="0BD27BF6"/>
    <w:rsid w:val="0C3B3C7D"/>
    <w:rsid w:val="0C6306C8"/>
    <w:rsid w:val="0C884A9F"/>
    <w:rsid w:val="0CAB2EAE"/>
    <w:rsid w:val="0D621C7D"/>
    <w:rsid w:val="0DEB14A0"/>
    <w:rsid w:val="0E4849B3"/>
    <w:rsid w:val="0E6179B4"/>
    <w:rsid w:val="0E73034D"/>
    <w:rsid w:val="0EF64C83"/>
    <w:rsid w:val="0F13775A"/>
    <w:rsid w:val="0F5F45FE"/>
    <w:rsid w:val="0F817848"/>
    <w:rsid w:val="0F9A112B"/>
    <w:rsid w:val="0F9C0108"/>
    <w:rsid w:val="0FAD7D39"/>
    <w:rsid w:val="0FCC70AF"/>
    <w:rsid w:val="102E1B18"/>
    <w:rsid w:val="10463305"/>
    <w:rsid w:val="106D2F64"/>
    <w:rsid w:val="10802FDB"/>
    <w:rsid w:val="10B63710"/>
    <w:rsid w:val="10E21B52"/>
    <w:rsid w:val="10F10820"/>
    <w:rsid w:val="10F15368"/>
    <w:rsid w:val="110D6172"/>
    <w:rsid w:val="111C2F7A"/>
    <w:rsid w:val="11533EE2"/>
    <w:rsid w:val="11665CA1"/>
    <w:rsid w:val="118250EA"/>
    <w:rsid w:val="12905F07"/>
    <w:rsid w:val="130354DD"/>
    <w:rsid w:val="1376180B"/>
    <w:rsid w:val="13951726"/>
    <w:rsid w:val="14200447"/>
    <w:rsid w:val="14396509"/>
    <w:rsid w:val="14DD2C3C"/>
    <w:rsid w:val="14EB396E"/>
    <w:rsid w:val="150115A9"/>
    <w:rsid w:val="152F4368"/>
    <w:rsid w:val="15A44D56"/>
    <w:rsid w:val="15F3346A"/>
    <w:rsid w:val="16087E1D"/>
    <w:rsid w:val="16134661"/>
    <w:rsid w:val="162D6610"/>
    <w:rsid w:val="16826719"/>
    <w:rsid w:val="17005548"/>
    <w:rsid w:val="17253C74"/>
    <w:rsid w:val="17497BD2"/>
    <w:rsid w:val="17701D14"/>
    <w:rsid w:val="17735226"/>
    <w:rsid w:val="17793FC0"/>
    <w:rsid w:val="18904C65"/>
    <w:rsid w:val="189F624C"/>
    <w:rsid w:val="198D78AF"/>
    <w:rsid w:val="1A1C66C0"/>
    <w:rsid w:val="1A3D7454"/>
    <w:rsid w:val="1A42393B"/>
    <w:rsid w:val="1A476E2F"/>
    <w:rsid w:val="1A767105"/>
    <w:rsid w:val="1AAD45DE"/>
    <w:rsid w:val="1B046F80"/>
    <w:rsid w:val="1B1F577F"/>
    <w:rsid w:val="1B3267B5"/>
    <w:rsid w:val="1B40161D"/>
    <w:rsid w:val="1B441859"/>
    <w:rsid w:val="1B6606B1"/>
    <w:rsid w:val="1BDD2D6F"/>
    <w:rsid w:val="1BEA2B96"/>
    <w:rsid w:val="1BEB6AF1"/>
    <w:rsid w:val="1C1D5326"/>
    <w:rsid w:val="1C4E7F01"/>
    <w:rsid w:val="1C5E7925"/>
    <w:rsid w:val="1CC06E27"/>
    <w:rsid w:val="1CFD070F"/>
    <w:rsid w:val="1D5F6196"/>
    <w:rsid w:val="1D6132A5"/>
    <w:rsid w:val="1D8E56D5"/>
    <w:rsid w:val="1E0068A1"/>
    <w:rsid w:val="1E0B5246"/>
    <w:rsid w:val="1E125EF4"/>
    <w:rsid w:val="1E290D81"/>
    <w:rsid w:val="1E62203C"/>
    <w:rsid w:val="1E7A43DA"/>
    <w:rsid w:val="1E7B133C"/>
    <w:rsid w:val="1E847AA6"/>
    <w:rsid w:val="1E9B2DD4"/>
    <w:rsid w:val="1F06438B"/>
    <w:rsid w:val="1FE7539E"/>
    <w:rsid w:val="202A5BD2"/>
    <w:rsid w:val="20436F19"/>
    <w:rsid w:val="20671BE0"/>
    <w:rsid w:val="20963CB8"/>
    <w:rsid w:val="209E05F3"/>
    <w:rsid w:val="20A81A1B"/>
    <w:rsid w:val="20B07FB6"/>
    <w:rsid w:val="20B646FB"/>
    <w:rsid w:val="20C33E97"/>
    <w:rsid w:val="20C55B80"/>
    <w:rsid w:val="20C5716C"/>
    <w:rsid w:val="213B74B1"/>
    <w:rsid w:val="214320A3"/>
    <w:rsid w:val="215A2310"/>
    <w:rsid w:val="216A5446"/>
    <w:rsid w:val="21DE318A"/>
    <w:rsid w:val="21EF5B80"/>
    <w:rsid w:val="22421B7E"/>
    <w:rsid w:val="22576990"/>
    <w:rsid w:val="229455FB"/>
    <w:rsid w:val="22AA7723"/>
    <w:rsid w:val="22F47480"/>
    <w:rsid w:val="2315555B"/>
    <w:rsid w:val="23B52F25"/>
    <w:rsid w:val="23D95F46"/>
    <w:rsid w:val="23DE1C48"/>
    <w:rsid w:val="240210CD"/>
    <w:rsid w:val="2407541B"/>
    <w:rsid w:val="24BF09F7"/>
    <w:rsid w:val="24F9780D"/>
    <w:rsid w:val="250273A3"/>
    <w:rsid w:val="252D53FE"/>
    <w:rsid w:val="25EC2D81"/>
    <w:rsid w:val="277057A2"/>
    <w:rsid w:val="27743E5C"/>
    <w:rsid w:val="279D7857"/>
    <w:rsid w:val="27AE656C"/>
    <w:rsid w:val="28A8200F"/>
    <w:rsid w:val="28B47DEB"/>
    <w:rsid w:val="29206EB8"/>
    <w:rsid w:val="293D1B3F"/>
    <w:rsid w:val="29595666"/>
    <w:rsid w:val="2961556C"/>
    <w:rsid w:val="296C128F"/>
    <w:rsid w:val="29832776"/>
    <w:rsid w:val="29874881"/>
    <w:rsid w:val="29A82C80"/>
    <w:rsid w:val="29E325E0"/>
    <w:rsid w:val="2A452503"/>
    <w:rsid w:val="2AC966AE"/>
    <w:rsid w:val="2AE3365B"/>
    <w:rsid w:val="2B2067D5"/>
    <w:rsid w:val="2B747456"/>
    <w:rsid w:val="2BA936A8"/>
    <w:rsid w:val="2C315A5A"/>
    <w:rsid w:val="2C4B1C25"/>
    <w:rsid w:val="2C7C7A3B"/>
    <w:rsid w:val="2D663A16"/>
    <w:rsid w:val="2D6C440C"/>
    <w:rsid w:val="2D8017AD"/>
    <w:rsid w:val="2D8D5C78"/>
    <w:rsid w:val="2D9E56F5"/>
    <w:rsid w:val="2E667F96"/>
    <w:rsid w:val="2E731311"/>
    <w:rsid w:val="2E8226AB"/>
    <w:rsid w:val="2E9C5E9B"/>
    <w:rsid w:val="2EF04710"/>
    <w:rsid w:val="2F067A90"/>
    <w:rsid w:val="2F3A60E3"/>
    <w:rsid w:val="2FA572A9"/>
    <w:rsid w:val="2FBE76D7"/>
    <w:rsid w:val="2FD065E6"/>
    <w:rsid w:val="2FD96870"/>
    <w:rsid w:val="2FE5304B"/>
    <w:rsid w:val="30580BC9"/>
    <w:rsid w:val="30D03166"/>
    <w:rsid w:val="30E803E9"/>
    <w:rsid w:val="311E2ED7"/>
    <w:rsid w:val="315619EE"/>
    <w:rsid w:val="315C449C"/>
    <w:rsid w:val="31B82709"/>
    <w:rsid w:val="31D05482"/>
    <w:rsid w:val="32400B34"/>
    <w:rsid w:val="325400A0"/>
    <w:rsid w:val="326B2C1E"/>
    <w:rsid w:val="328D0749"/>
    <w:rsid w:val="329E6876"/>
    <w:rsid w:val="331F7372"/>
    <w:rsid w:val="333015F2"/>
    <w:rsid w:val="334B6320"/>
    <w:rsid w:val="33501E4A"/>
    <w:rsid w:val="3350577D"/>
    <w:rsid w:val="33565EA0"/>
    <w:rsid w:val="335D331F"/>
    <w:rsid w:val="33D740F0"/>
    <w:rsid w:val="33D934D4"/>
    <w:rsid w:val="33DF6B01"/>
    <w:rsid w:val="33FE2F6A"/>
    <w:rsid w:val="340E07E5"/>
    <w:rsid w:val="34235BF7"/>
    <w:rsid w:val="343C6163"/>
    <w:rsid w:val="34967B08"/>
    <w:rsid w:val="34DF336E"/>
    <w:rsid w:val="3511718E"/>
    <w:rsid w:val="352D6B3A"/>
    <w:rsid w:val="3586450E"/>
    <w:rsid w:val="358C5FA8"/>
    <w:rsid w:val="3596327C"/>
    <w:rsid w:val="35A818A1"/>
    <w:rsid w:val="35C15DF1"/>
    <w:rsid w:val="35C61178"/>
    <w:rsid w:val="35DE52C2"/>
    <w:rsid w:val="36074A7F"/>
    <w:rsid w:val="365A7C39"/>
    <w:rsid w:val="368101F6"/>
    <w:rsid w:val="36923549"/>
    <w:rsid w:val="36B75FBF"/>
    <w:rsid w:val="36BD0C45"/>
    <w:rsid w:val="37166D64"/>
    <w:rsid w:val="3781248A"/>
    <w:rsid w:val="37DC5F59"/>
    <w:rsid w:val="37E00298"/>
    <w:rsid w:val="38424BAE"/>
    <w:rsid w:val="38841AAC"/>
    <w:rsid w:val="38B302F9"/>
    <w:rsid w:val="38F12CD3"/>
    <w:rsid w:val="38F94775"/>
    <w:rsid w:val="392971ED"/>
    <w:rsid w:val="39325651"/>
    <w:rsid w:val="39F50E2C"/>
    <w:rsid w:val="3A726921"/>
    <w:rsid w:val="3A872856"/>
    <w:rsid w:val="3AE07D2F"/>
    <w:rsid w:val="3AE7497A"/>
    <w:rsid w:val="3B3763D1"/>
    <w:rsid w:val="3BA3121E"/>
    <w:rsid w:val="3C2F6E1E"/>
    <w:rsid w:val="3C320116"/>
    <w:rsid w:val="3C4F64BA"/>
    <w:rsid w:val="3C6B4749"/>
    <w:rsid w:val="3C89008E"/>
    <w:rsid w:val="3CDA245A"/>
    <w:rsid w:val="3D1E06B7"/>
    <w:rsid w:val="3D3D5401"/>
    <w:rsid w:val="3D502F08"/>
    <w:rsid w:val="3D9B44B0"/>
    <w:rsid w:val="3DFD6240"/>
    <w:rsid w:val="3E3B302E"/>
    <w:rsid w:val="3EDA0523"/>
    <w:rsid w:val="3EF766F7"/>
    <w:rsid w:val="3F1735F3"/>
    <w:rsid w:val="3F207230"/>
    <w:rsid w:val="3F5900B0"/>
    <w:rsid w:val="403503FB"/>
    <w:rsid w:val="407A6407"/>
    <w:rsid w:val="4081166C"/>
    <w:rsid w:val="40DA74F3"/>
    <w:rsid w:val="40F968FD"/>
    <w:rsid w:val="412D79B9"/>
    <w:rsid w:val="41DD0B24"/>
    <w:rsid w:val="41E41072"/>
    <w:rsid w:val="4200449D"/>
    <w:rsid w:val="423A3BCC"/>
    <w:rsid w:val="424E57D2"/>
    <w:rsid w:val="425828A0"/>
    <w:rsid w:val="425E3E47"/>
    <w:rsid w:val="42B26C49"/>
    <w:rsid w:val="42ED123B"/>
    <w:rsid w:val="42F454E4"/>
    <w:rsid w:val="433A6FE6"/>
    <w:rsid w:val="43480868"/>
    <w:rsid w:val="4350713C"/>
    <w:rsid w:val="43571A95"/>
    <w:rsid w:val="436653E0"/>
    <w:rsid w:val="437555CC"/>
    <w:rsid w:val="43957E18"/>
    <w:rsid w:val="43B93E73"/>
    <w:rsid w:val="43BD1F36"/>
    <w:rsid w:val="43C4431A"/>
    <w:rsid w:val="43DE2931"/>
    <w:rsid w:val="43F06CFA"/>
    <w:rsid w:val="441B1DD7"/>
    <w:rsid w:val="44383A3A"/>
    <w:rsid w:val="44615A7C"/>
    <w:rsid w:val="44B951CC"/>
    <w:rsid w:val="44C77495"/>
    <w:rsid w:val="44CD14E0"/>
    <w:rsid w:val="44F20B0B"/>
    <w:rsid w:val="45237733"/>
    <w:rsid w:val="452E5F4C"/>
    <w:rsid w:val="45612018"/>
    <w:rsid w:val="458946E9"/>
    <w:rsid w:val="45A47C0E"/>
    <w:rsid w:val="46364CA7"/>
    <w:rsid w:val="46577FD6"/>
    <w:rsid w:val="469F338D"/>
    <w:rsid w:val="46D955A7"/>
    <w:rsid w:val="46E14C12"/>
    <w:rsid w:val="46F14E69"/>
    <w:rsid w:val="47133957"/>
    <w:rsid w:val="47552708"/>
    <w:rsid w:val="477C493B"/>
    <w:rsid w:val="47A07E0C"/>
    <w:rsid w:val="47D2124A"/>
    <w:rsid w:val="47DE55F6"/>
    <w:rsid w:val="47F16A4D"/>
    <w:rsid w:val="48264C12"/>
    <w:rsid w:val="4870272E"/>
    <w:rsid w:val="48962F69"/>
    <w:rsid w:val="48B14AB8"/>
    <w:rsid w:val="48C93502"/>
    <w:rsid w:val="48EC175E"/>
    <w:rsid w:val="49251EF8"/>
    <w:rsid w:val="49AF724A"/>
    <w:rsid w:val="49DC7715"/>
    <w:rsid w:val="4A023139"/>
    <w:rsid w:val="4A0B01F8"/>
    <w:rsid w:val="4A257510"/>
    <w:rsid w:val="4A7B576F"/>
    <w:rsid w:val="4AB12199"/>
    <w:rsid w:val="4AB80380"/>
    <w:rsid w:val="4AF33BB5"/>
    <w:rsid w:val="4AF561A9"/>
    <w:rsid w:val="4B9E75B0"/>
    <w:rsid w:val="4BB10662"/>
    <w:rsid w:val="4C044E68"/>
    <w:rsid w:val="4C4657D2"/>
    <w:rsid w:val="4C4A0649"/>
    <w:rsid w:val="4C60222C"/>
    <w:rsid w:val="4C7E5ECA"/>
    <w:rsid w:val="4C876AA5"/>
    <w:rsid w:val="4D0E00FB"/>
    <w:rsid w:val="4D176606"/>
    <w:rsid w:val="4D2903CF"/>
    <w:rsid w:val="4D5F2D35"/>
    <w:rsid w:val="4DB50BA7"/>
    <w:rsid w:val="4DEC4FB0"/>
    <w:rsid w:val="4E075D8A"/>
    <w:rsid w:val="4E0F1241"/>
    <w:rsid w:val="4E8D3AF4"/>
    <w:rsid w:val="4EC00FAD"/>
    <w:rsid w:val="4EFA0F67"/>
    <w:rsid w:val="4F442DE9"/>
    <w:rsid w:val="4F9843DC"/>
    <w:rsid w:val="4FC62A8C"/>
    <w:rsid w:val="4FE20F0D"/>
    <w:rsid w:val="4FE51552"/>
    <w:rsid w:val="50504C4B"/>
    <w:rsid w:val="509C6E7C"/>
    <w:rsid w:val="512C1180"/>
    <w:rsid w:val="51383FC9"/>
    <w:rsid w:val="5153495F"/>
    <w:rsid w:val="5162104E"/>
    <w:rsid w:val="51D96B0C"/>
    <w:rsid w:val="51E27A91"/>
    <w:rsid w:val="521F5143"/>
    <w:rsid w:val="52D715BF"/>
    <w:rsid w:val="52F404CC"/>
    <w:rsid w:val="52FF2454"/>
    <w:rsid w:val="53A039CC"/>
    <w:rsid w:val="53A1505A"/>
    <w:rsid w:val="54063E08"/>
    <w:rsid w:val="541008E5"/>
    <w:rsid w:val="541A5C08"/>
    <w:rsid w:val="543437E8"/>
    <w:rsid w:val="54843081"/>
    <w:rsid w:val="54962C06"/>
    <w:rsid w:val="549D5EB5"/>
    <w:rsid w:val="54B41F2C"/>
    <w:rsid w:val="54F73313"/>
    <w:rsid w:val="54F80955"/>
    <w:rsid w:val="555170A7"/>
    <w:rsid w:val="5587536D"/>
    <w:rsid w:val="559B174B"/>
    <w:rsid w:val="55CE0CF4"/>
    <w:rsid w:val="55D43B94"/>
    <w:rsid w:val="55D43DF5"/>
    <w:rsid w:val="56352C8B"/>
    <w:rsid w:val="565432B3"/>
    <w:rsid w:val="56B22A9C"/>
    <w:rsid w:val="572A43B4"/>
    <w:rsid w:val="57B72A76"/>
    <w:rsid w:val="57C3426C"/>
    <w:rsid w:val="57CE1F93"/>
    <w:rsid w:val="58003366"/>
    <w:rsid w:val="583A3974"/>
    <w:rsid w:val="588743D1"/>
    <w:rsid w:val="5887701A"/>
    <w:rsid w:val="589757AA"/>
    <w:rsid w:val="5898534D"/>
    <w:rsid w:val="58A9755A"/>
    <w:rsid w:val="58B642F9"/>
    <w:rsid w:val="58C94852"/>
    <w:rsid w:val="5980657C"/>
    <w:rsid w:val="599C7C2F"/>
    <w:rsid w:val="59C0439F"/>
    <w:rsid w:val="59EE791A"/>
    <w:rsid w:val="5A0B7AC4"/>
    <w:rsid w:val="5A2D36B1"/>
    <w:rsid w:val="5ABE2233"/>
    <w:rsid w:val="5B8B17A8"/>
    <w:rsid w:val="5BDF5D95"/>
    <w:rsid w:val="5BFE7528"/>
    <w:rsid w:val="5C46111F"/>
    <w:rsid w:val="5C820539"/>
    <w:rsid w:val="5C8843C4"/>
    <w:rsid w:val="5CA27E79"/>
    <w:rsid w:val="5E2467F1"/>
    <w:rsid w:val="5E821EE9"/>
    <w:rsid w:val="5EE75079"/>
    <w:rsid w:val="5F1A2B43"/>
    <w:rsid w:val="5F3E1E41"/>
    <w:rsid w:val="5FB837BB"/>
    <w:rsid w:val="60CC405A"/>
    <w:rsid w:val="60D31618"/>
    <w:rsid w:val="61387D32"/>
    <w:rsid w:val="61407DE2"/>
    <w:rsid w:val="614B4949"/>
    <w:rsid w:val="617A1A94"/>
    <w:rsid w:val="61E215D8"/>
    <w:rsid w:val="621B3775"/>
    <w:rsid w:val="622F6826"/>
    <w:rsid w:val="62364782"/>
    <w:rsid w:val="62BE3C02"/>
    <w:rsid w:val="62D320B1"/>
    <w:rsid w:val="63091321"/>
    <w:rsid w:val="6394356A"/>
    <w:rsid w:val="63C61B2C"/>
    <w:rsid w:val="63D40BE9"/>
    <w:rsid w:val="63F70A4B"/>
    <w:rsid w:val="64102431"/>
    <w:rsid w:val="647A412F"/>
    <w:rsid w:val="64A5243A"/>
    <w:rsid w:val="64C574CA"/>
    <w:rsid w:val="64F531DE"/>
    <w:rsid w:val="65013851"/>
    <w:rsid w:val="65373578"/>
    <w:rsid w:val="6557354E"/>
    <w:rsid w:val="65706983"/>
    <w:rsid w:val="657171FE"/>
    <w:rsid w:val="65DC1CFD"/>
    <w:rsid w:val="66B654CB"/>
    <w:rsid w:val="671059A6"/>
    <w:rsid w:val="671F124A"/>
    <w:rsid w:val="675875E6"/>
    <w:rsid w:val="67746F85"/>
    <w:rsid w:val="677A33C6"/>
    <w:rsid w:val="679F35B5"/>
    <w:rsid w:val="67DF08A2"/>
    <w:rsid w:val="681F6961"/>
    <w:rsid w:val="68610A2F"/>
    <w:rsid w:val="68692862"/>
    <w:rsid w:val="68805514"/>
    <w:rsid w:val="6888718C"/>
    <w:rsid w:val="6892654B"/>
    <w:rsid w:val="68F95994"/>
    <w:rsid w:val="69316E2F"/>
    <w:rsid w:val="694E2071"/>
    <w:rsid w:val="69766163"/>
    <w:rsid w:val="697A3B33"/>
    <w:rsid w:val="69892FFC"/>
    <w:rsid w:val="69967687"/>
    <w:rsid w:val="69D44760"/>
    <w:rsid w:val="6A520EC7"/>
    <w:rsid w:val="6AF87E20"/>
    <w:rsid w:val="6AFE7836"/>
    <w:rsid w:val="6B0B024E"/>
    <w:rsid w:val="6B1C774A"/>
    <w:rsid w:val="6B322639"/>
    <w:rsid w:val="6BB763A6"/>
    <w:rsid w:val="6BCA186A"/>
    <w:rsid w:val="6C636C38"/>
    <w:rsid w:val="6C712D2B"/>
    <w:rsid w:val="6D246B76"/>
    <w:rsid w:val="6DB34098"/>
    <w:rsid w:val="6DB545B6"/>
    <w:rsid w:val="6DD53761"/>
    <w:rsid w:val="6DDA2238"/>
    <w:rsid w:val="6DE02FB4"/>
    <w:rsid w:val="6E166F6D"/>
    <w:rsid w:val="6E514CED"/>
    <w:rsid w:val="6E923865"/>
    <w:rsid w:val="6EB563D5"/>
    <w:rsid w:val="6ED92677"/>
    <w:rsid w:val="6EE470F0"/>
    <w:rsid w:val="6F225983"/>
    <w:rsid w:val="6F433BCC"/>
    <w:rsid w:val="6F622D67"/>
    <w:rsid w:val="6FD1766A"/>
    <w:rsid w:val="6FFC5590"/>
    <w:rsid w:val="706D1DD0"/>
    <w:rsid w:val="70856B87"/>
    <w:rsid w:val="708D0F8E"/>
    <w:rsid w:val="70D527EE"/>
    <w:rsid w:val="715B5300"/>
    <w:rsid w:val="71664AA5"/>
    <w:rsid w:val="71D27F8A"/>
    <w:rsid w:val="71E573FD"/>
    <w:rsid w:val="722F1BA7"/>
    <w:rsid w:val="72553024"/>
    <w:rsid w:val="725B58E6"/>
    <w:rsid w:val="72E2393D"/>
    <w:rsid w:val="73122968"/>
    <w:rsid w:val="731F5D5E"/>
    <w:rsid w:val="73C51AD5"/>
    <w:rsid w:val="73D37492"/>
    <w:rsid w:val="73E221E3"/>
    <w:rsid w:val="741E793C"/>
    <w:rsid w:val="742E508B"/>
    <w:rsid w:val="745E3944"/>
    <w:rsid w:val="74CE5F27"/>
    <w:rsid w:val="75073186"/>
    <w:rsid w:val="75A51914"/>
    <w:rsid w:val="75FE45EA"/>
    <w:rsid w:val="7635099D"/>
    <w:rsid w:val="763C6B83"/>
    <w:rsid w:val="76B4739E"/>
    <w:rsid w:val="77762421"/>
    <w:rsid w:val="778B6797"/>
    <w:rsid w:val="77B56B1F"/>
    <w:rsid w:val="77FF289B"/>
    <w:rsid w:val="780D320A"/>
    <w:rsid w:val="780F09F4"/>
    <w:rsid w:val="78A90480"/>
    <w:rsid w:val="793945FE"/>
    <w:rsid w:val="799E25B5"/>
    <w:rsid w:val="79E76BC6"/>
    <w:rsid w:val="7A1C3FAC"/>
    <w:rsid w:val="7A364017"/>
    <w:rsid w:val="7A7F1A71"/>
    <w:rsid w:val="7A8265E1"/>
    <w:rsid w:val="7AB94F83"/>
    <w:rsid w:val="7B686D42"/>
    <w:rsid w:val="7B841746"/>
    <w:rsid w:val="7BAE0860"/>
    <w:rsid w:val="7C6C5AC7"/>
    <w:rsid w:val="7CC6544B"/>
    <w:rsid w:val="7D0239FF"/>
    <w:rsid w:val="7D124E1E"/>
    <w:rsid w:val="7D152518"/>
    <w:rsid w:val="7D5E40CD"/>
    <w:rsid w:val="7D7B6424"/>
    <w:rsid w:val="7DB01666"/>
    <w:rsid w:val="7DCC321F"/>
    <w:rsid w:val="7DCD56F2"/>
    <w:rsid w:val="7E394D59"/>
    <w:rsid w:val="7E3C487A"/>
    <w:rsid w:val="7E611BB9"/>
    <w:rsid w:val="7EE54599"/>
    <w:rsid w:val="7EFA6098"/>
    <w:rsid w:val="7F001CE7"/>
    <w:rsid w:val="7F0B3F10"/>
    <w:rsid w:val="7F8B2A0B"/>
    <w:rsid w:val="7FE47E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qFormat="1" w:unhideWhenUsed="0" w:uiPriority="99" w:semiHidden="0"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99" w:semiHidden="0" w:name="toc 4" w:locked="1"/>
    <w:lsdException w:qFormat="1" w:unhideWhenUsed="0" w:uiPriority="99" w:semiHidden="0" w:name="toc 5" w:locked="1"/>
    <w:lsdException w:qFormat="1" w:unhideWhenUsed="0" w:uiPriority="99" w:semiHidden="0" w:name="toc 6" w:locked="1"/>
    <w:lsdException w:qFormat="1" w:unhideWhenUsed="0" w:uiPriority="99" w:semiHidden="0" w:name="toc 7" w:locked="1"/>
    <w:lsdException w:qFormat="1" w:unhideWhenUsed="0" w:uiPriority="99" w:semiHidden="0" w:name="toc 8" w:locked="1"/>
    <w:lsdException w:qFormat="1" w:unhideWhenUsed="0" w:uiPriority="99" w:semiHidden="0" w:name="toc 9" w:locked="1"/>
    <w:lsdException w:qFormat="1" w:unhideWhenUsed="0" w:uiPriority="99" w:semiHidden="0" w:name="Normal Indent" w:locked="1"/>
    <w:lsdException w:qFormat="1" w:unhideWhenUsed="0"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ocked="1"/>
    <w:lsdException w:qFormat="1" w:unhideWhenUsed="0" w:uiPriority="99" w:semiHidden="0" w:name="caption" w:locked="1"/>
    <w:lsdException w:qFormat="1" w:unhideWhenUsed="0" w:uiPriority="99" w:semiHidden="0" w:name="table of figures" w:locked="1"/>
    <w:lsdException w:qFormat="1" w:unhideWhenUsed="0" w:uiPriority="99" w:semiHidden="0" w:name="envelope address" w:locked="1"/>
    <w:lsdException w:qFormat="1" w:unhideWhenUsed="0" w:uiPriority="99" w:semiHidden="0" w:name="envelope return" w:locked="1"/>
    <w:lsdException w:qFormat="1" w:unhideWhenUsed="0" w:uiPriority="99" w:semiHidden="0" w:name="footnote reference" w:locked="1"/>
    <w:lsdException w:qFormat="1" w:unhideWhenUsed="0" w:uiPriority="99" w:name="annotation reference"/>
    <w:lsdException w:uiPriority="99" w:name="line number" w:locked="1"/>
    <w:lsdException w:qFormat="1" w:unhideWhenUsed="0" w:uiPriority="99" w:semiHidden="0" w:name="page number" w:locked="1"/>
    <w:lsdException w:qFormat="1" w:unhideWhenUsed="0" w:uiPriority="99" w:semiHidden="0" w:name="endnote reference" w:locked="1"/>
    <w:lsdException w:qFormat="1" w:unhideWhenUsed="0" w:uiPriority="99" w:semiHidden="0" w:name="endnote text" w:locked="1"/>
    <w:lsdException w:qFormat="1" w:unhideWhenUsed="0" w:uiPriority="99" w:semiHidden="0" w:name="table of authorities" w:locked="1"/>
    <w:lsdException w:qFormat="1" w:unhideWhenUsed="0" w:uiPriority="99" w:semiHidden="0" w:name="macro" w:locked="1"/>
    <w:lsdException w:qFormat="1" w:unhideWhenUsed="0" w:uiPriority="99" w:semiHidden="0" w:name="toa heading" w:locked="1"/>
    <w:lsdException w:qFormat="1" w:unhideWhenUsed="0" w:uiPriority="99" w:semiHidden="0" w:name="List" w:locked="1"/>
    <w:lsdException w:qFormat="1" w:unhideWhenUsed="0" w:uiPriority="99" w:semiHidden="0" w:name="List Bullet" w:locked="1"/>
    <w:lsdException w:qFormat="1" w:unhideWhenUsed="0" w:uiPriority="99" w:semiHidden="0" w:name="List Number" w:locked="1"/>
    <w:lsdException w:qFormat="1" w:unhideWhenUsed="0" w:uiPriority="99" w:semiHidden="0" w:name="List 2" w:locked="1"/>
    <w:lsdException w:qFormat="1" w:unhideWhenUsed="0" w:uiPriority="99" w:semiHidden="0" w:name="List 3" w:locked="1"/>
    <w:lsdException w:qFormat="1" w:unhideWhenUsed="0" w:uiPriority="99" w:semiHidden="0" w:name="List 4" w:locked="1"/>
    <w:lsdException w:qFormat="1" w:unhideWhenUsed="0" w:uiPriority="99" w:semiHidden="0" w:name="List 5" w:locked="1"/>
    <w:lsdException w:qFormat="1" w:unhideWhenUsed="0" w:uiPriority="99" w:semiHidden="0" w:name="List Bullet 2" w:locked="1"/>
    <w:lsdException w:qFormat="1" w:unhideWhenUsed="0" w:uiPriority="99" w:semiHidden="0" w:name="List Bullet 3" w:locked="1"/>
    <w:lsdException w:qFormat="1" w:unhideWhenUsed="0" w:uiPriority="99" w:semiHidden="0" w:name="List Bullet 4" w:locked="1"/>
    <w:lsdException w:qFormat="1" w:unhideWhenUsed="0" w:uiPriority="99" w:semiHidden="0" w:name="List Bullet 5" w:locked="1"/>
    <w:lsdException w:qFormat="1" w:unhideWhenUsed="0" w:uiPriority="99" w:semiHidden="0" w:name="List Number 2" w:locked="1"/>
    <w:lsdException w:qFormat="1" w:unhideWhenUsed="0" w:uiPriority="99" w:semiHidden="0" w:name="List Number 3" w:locked="1"/>
    <w:lsdException w:qFormat="1" w:unhideWhenUsed="0" w:uiPriority="99" w:semiHidden="0" w:name="List Number 4" w:locked="1"/>
    <w:lsdException w:qFormat="1" w:unhideWhenUsed="0" w:uiPriority="99" w:semiHidden="0" w:name="List Number 5" w:locked="1"/>
    <w:lsdException w:qFormat="1" w:unhideWhenUsed="0" w:uiPriority="99" w:semiHidden="0" w:name="Title" w:locked="1"/>
    <w:lsdException w:qFormat="1" w:unhideWhenUsed="0" w:uiPriority="99" w:semiHidden="0" w:name="Closing" w:locked="1"/>
    <w:lsdException w:qFormat="1" w:unhideWhenUsed="0" w:uiPriority="99" w:semiHidden="0"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ocked="1"/>
    <w:lsdException w:qFormat="1" w:unhideWhenUsed="0" w:uiPriority="99" w:semiHidden="0" w:name="List Continue 2" w:locked="1"/>
    <w:lsdException w:qFormat="1" w:unhideWhenUsed="0" w:uiPriority="99" w:semiHidden="0" w:name="List Continue 3" w:locked="1"/>
    <w:lsdException w:qFormat="1" w:unhideWhenUsed="0" w:uiPriority="99" w:semiHidden="0" w:name="List Continue 4" w:locked="1"/>
    <w:lsdException w:qFormat="1" w:unhideWhenUsed="0" w:uiPriority="99" w:semiHidden="0" w:name="List Continue 5" w:locked="1"/>
    <w:lsdException w:qFormat="1" w:unhideWhenUsed="0" w:uiPriority="99" w:semiHidden="0" w:name="Message Header" w:locked="1"/>
    <w:lsdException w:qFormat="1" w:unhideWhenUsed="0" w:uiPriority="99" w:semiHidden="0" w:name="Subtitle" w:locked="1"/>
    <w:lsdException w:qFormat="1" w:unhideWhenUsed="0" w:uiPriority="99" w:semiHidden="0"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ocked="1"/>
    <w:lsdException w:qFormat="1" w:unhideWhenUsed="0" w:uiPriority="99" w:semiHidden="0" w:name="Note Heading" w:locked="1"/>
    <w:lsdException w:qFormat="1" w:unhideWhenUsed="0" w:uiPriority="99" w:semiHidden="0" w:name="Body Text 2" w:locked="1"/>
    <w:lsdException w:qFormat="1" w:unhideWhenUsed="0" w:uiPriority="99" w:semiHidden="0" w:name="Body Text 3" w:locked="1"/>
    <w:lsdException w:qFormat="1" w:unhideWhenUsed="0" w:uiPriority="99" w:semiHidden="0" w:name="Body Text Indent 2" w:locked="1"/>
    <w:lsdException w:qFormat="1" w:unhideWhenUsed="0" w:uiPriority="99" w:semiHidden="0" w:name="Body Text Indent 3" w:locked="1"/>
    <w:lsdException w:qFormat="1" w:unhideWhenUsed="0" w:uiPriority="99" w:semiHidden="0" w:name="Block Text" w:locked="1"/>
    <w:lsdException w:qFormat="1" w:unhideWhenUsed="0" w:uiPriority="99" w:semiHidden="0" w:name="Hyperlink" w:locked="1"/>
    <w:lsdException w:qFormat="1" w:unhideWhenUsed="0" w:uiPriority="99" w:semiHidden="0" w:name="FollowedHyperlink" w:locked="1"/>
    <w:lsdException w:qFormat="1" w:unhideWhenUsed="0" w:uiPriority="99" w:semiHidden="0" w:name="Strong" w:locked="1"/>
    <w:lsdException w:qFormat="1" w:unhideWhenUsed="0" w:uiPriority="99" w:semiHidden="0" w:name="Emphasis" w:locked="1"/>
    <w:lsdException w:qFormat="1" w:unhideWhenUsed="0" w:uiPriority="99" w:semiHidden="0" w:name="Document Map" w:locked="1"/>
    <w:lsdException w:qFormat="1" w:unhideWhenUsed="0" w:uiPriority="99" w:semiHidden="0" w:name="Plain Text" w:locked="1"/>
    <w:lsdException w:qFormat="1" w:unhideWhenUsed="0" w:uiPriority="99" w:semiHidden="0" w:name="E-mail Signature" w:locked="1"/>
    <w:lsdException w:qFormat="1" w:unhideWhenUsed="0" w:uiPriority="99" w:semiHidden="0" w:name="Normal (Web)"/>
    <w:lsdException w:uiPriority="99" w:name="HTML Acronym" w:locked="1"/>
    <w:lsdException w:qFormat="1" w:unhideWhenUsed="0" w:uiPriority="99" w:semiHidden="0" w:name="HTML Address" w:locked="1"/>
    <w:lsdException w:uiPriority="99" w:name="HTML Cite" w:locked="1"/>
    <w:lsdException w:qFormat="1" w:unhideWhenUsed="0" w:uiPriority="99" w:semiHidden="0"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qFormat="1" w:unhideWhenUsed="0" w:uiPriority="99" w:semiHidden="0"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qFormat="1" w:unhideWhenUsed="0" w:uiPriority="99" w:semiHidden="0"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ocked="1"/>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3"/>
    <w:autoRedefine/>
    <w:qFormat/>
    <w:locked/>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104"/>
    <w:autoRedefine/>
    <w:qFormat/>
    <w:locked/>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05"/>
    <w:autoRedefine/>
    <w:qFormat/>
    <w:locked/>
    <w:uiPriority w:val="0"/>
    <w:pPr>
      <w:keepNext/>
      <w:keepLines/>
      <w:spacing w:before="260" w:after="260" w:line="416" w:lineRule="auto"/>
      <w:outlineLvl w:val="2"/>
    </w:pPr>
    <w:rPr>
      <w:b/>
      <w:bCs/>
      <w:sz w:val="32"/>
      <w:szCs w:val="32"/>
    </w:rPr>
  </w:style>
  <w:style w:type="paragraph" w:styleId="6">
    <w:name w:val="heading 4"/>
    <w:basedOn w:val="1"/>
    <w:next w:val="1"/>
    <w:link w:val="106"/>
    <w:autoRedefine/>
    <w:qFormat/>
    <w:locked/>
    <w:uiPriority w:val="99"/>
    <w:pPr>
      <w:keepNext/>
      <w:keepLines/>
      <w:spacing w:before="280" w:after="290" w:line="376" w:lineRule="auto"/>
      <w:outlineLvl w:val="3"/>
    </w:pPr>
    <w:rPr>
      <w:rFonts w:ascii="Cambria" w:hAnsi="Cambria"/>
      <w:b/>
      <w:bCs/>
      <w:sz w:val="28"/>
      <w:szCs w:val="28"/>
    </w:rPr>
  </w:style>
  <w:style w:type="paragraph" w:styleId="7">
    <w:name w:val="heading 5"/>
    <w:basedOn w:val="1"/>
    <w:next w:val="8"/>
    <w:link w:val="107"/>
    <w:autoRedefine/>
    <w:qFormat/>
    <w:locked/>
    <w:uiPriority w:val="99"/>
    <w:pPr>
      <w:keepNext/>
      <w:keepLines/>
      <w:tabs>
        <w:tab w:val="left" w:pos="1008"/>
      </w:tabs>
      <w:spacing w:before="280" w:after="290" w:line="376" w:lineRule="auto"/>
      <w:ind w:left="1008" w:hanging="1008"/>
      <w:outlineLvl w:val="4"/>
    </w:pPr>
    <w:rPr>
      <w:b/>
      <w:sz w:val="28"/>
      <w:szCs w:val="20"/>
    </w:rPr>
  </w:style>
  <w:style w:type="paragraph" w:styleId="10">
    <w:name w:val="heading 6"/>
    <w:basedOn w:val="1"/>
    <w:next w:val="1"/>
    <w:link w:val="108"/>
    <w:autoRedefine/>
    <w:qFormat/>
    <w:locked/>
    <w:uiPriority w:val="99"/>
    <w:pPr>
      <w:keepNext/>
      <w:keepLines/>
      <w:spacing w:line="360" w:lineRule="auto"/>
      <w:jc w:val="center"/>
      <w:outlineLvl w:val="5"/>
    </w:pPr>
    <w:rPr>
      <w:rFonts w:ascii="Arial" w:hAnsi="Arial"/>
      <w:b/>
      <w:bCs/>
      <w:sz w:val="24"/>
    </w:rPr>
  </w:style>
  <w:style w:type="paragraph" w:styleId="11">
    <w:name w:val="heading 7"/>
    <w:basedOn w:val="1"/>
    <w:next w:val="1"/>
    <w:link w:val="109"/>
    <w:autoRedefine/>
    <w:qFormat/>
    <w:locked/>
    <w:uiPriority w:val="99"/>
    <w:pPr>
      <w:keepNext/>
      <w:keepLines/>
      <w:tabs>
        <w:tab w:val="left" w:pos="1296"/>
      </w:tabs>
      <w:adjustRightInd w:val="0"/>
      <w:snapToGrid w:val="0"/>
      <w:spacing w:before="240" w:after="64" w:line="320" w:lineRule="auto"/>
      <w:ind w:left="1296" w:leftChars="200" w:hanging="1296"/>
      <w:jc w:val="left"/>
      <w:outlineLvl w:val="6"/>
    </w:pPr>
    <w:rPr>
      <w:b/>
      <w:bCs/>
      <w:sz w:val="24"/>
    </w:rPr>
  </w:style>
  <w:style w:type="paragraph" w:styleId="12">
    <w:name w:val="heading 8"/>
    <w:basedOn w:val="1"/>
    <w:next w:val="8"/>
    <w:link w:val="110"/>
    <w:autoRedefine/>
    <w:qFormat/>
    <w:locked/>
    <w:uiPriority w:val="99"/>
    <w:pPr>
      <w:keepNext/>
      <w:keepLines/>
      <w:tabs>
        <w:tab w:val="left" w:pos="1440"/>
      </w:tabs>
      <w:adjustRightInd w:val="0"/>
      <w:spacing w:line="360" w:lineRule="auto"/>
      <w:ind w:left="1440" w:hanging="1440"/>
      <w:textAlignment w:val="baseline"/>
      <w:outlineLvl w:val="7"/>
    </w:pPr>
    <w:rPr>
      <w:rFonts w:ascii="Arial" w:hAnsi="Arial"/>
      <w:kern w:val="0"/>
      <w:sz w:val="24"/>
      <w:szCs w:val="20"/>
    </w:rPr>
  </w:style>
  <w:style w:type="paragraph" w:styleId="13">
    <w:name w:val="heading 9"/>
    <w:basedOn w:val="1"/>
    <w:next w:val="8"/>
    <w:link w:val="111"/>
    <w:autoRedefine/>
    <w:qFormat/>
    <w:locked/>
    <w:uiPriority w:val="99"/>
    <w:pPr>
      <w:keepNext/>
      <w:keepLines/>
      <w:tabs>
        <w:tab w:val="left" w:pos="1584"/>
      </w:tabs>
      <w:adjustRightInd w:val="0"/>
      <w:spacing w:line="360" w:lineRule="auto"/>
      <w:ind w:left="1584" w:hanging="1584"/>
      <w:textAlignment w:val="baseline"/>
      <w:outlineLvl w:val="8"/>
    </w:pPr>
    <w:rPr>
      <w:rFonts w:ascii="Arial" w:hAnsi="Arial"/>
      <w:kern w:val="0"/>
      <w:sz w:val="24"/>
      <w:szCs w:val="20"/>
    </w:rPr>
  </w:style>
  <w:style w:type="character" w:default="1" w:styleId="92">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1"/>
    <w:link w:val="114"/>
    <w:autoRedefine/>
    <w:qFormat/>
    <w:locked/>
    <w:uiPriority w:val="99"/>
    <w:pPr>
      <w:widowControl/>
      <w:spacing w:before="100" w:beforeAutospacing="1" w:after="100" w:afterAutospacing="1"/>
      <w:jc w:val="left"/>
    </w:pPr>
    <w:rPr>
      <w:rFonts w:ascii="宋体" w:hAnsi="宋体"/>
      <w:sz w:val="24"/>
    </w:rPr>
  </w:style>
  <w:style w:type="paragraph" w:styleId="8">
    <w:name w:val="Normal Indent"/>
    <w:basedOn w:val="1"/>
    <w:next w:val="9"/>
    <w:link w:val="115"/>
    <w:autoRedefine/>
    <w:qFormat/>
    <w:locked/>
    <w:uiPriority w:val="99"/>
    <w:pPr>
      <w:ind w:firstLine="420" w:firstLineChars="200"/>
    </w:pPr>
    <w:rPr>
      <w:sz w:val="24"/>
      <w:szCs w:val="20"/>
    </w:rPr>
  </w:style>
  <w:style w:type="paragraph" w:styleId="9">
    <w:name w:val="Plain Text"/>
    <w:basedOn w:val="1"/>
    <w:link w:val="126"/>
    <w:autoRedefine/>
    <w:qFormat/>
    <w:locked/>
    <w:uiPriority w:val="99"/>
    <w:rPr>
      <w:rFonts w:ascii="宋体" w:hAnsi="Courier New"/>
      <w:szCs w:val="21"/>
    </w:rPr>
  </w:style>
  <w:style w:type="paragraph" w:styleId="14">
    <w:name w:val="List 3"/>
    <w:basedOn w:val="1"/>
    <w:autoRedefine/>
    <w:qFormat/>
    <w:locked/>
    <w:uiPriority w:val="99"/>
    <w:pPr>
      <w:spacing w:before="60"/>
      <w:ind w:left="1260" w:hanging="420"/>
    </w:pPr>
    <w:rPr>
      <w:rFonts w:ascii="Arial" w:hAnsi="Arial" w:eastAsia="仿宋_GB2312"/>
      <w:kern w:val="0"/>
      <w:sz w:val="24"/>
      <w:szCs w:val="20"/>
    </w:rPr>
  </w:style>
  <w:style w:type="paragraph" w:styleId="15">
    <w:name w:val="toc 7"/>
    <w:basedOn w:val="1"/>
    <w:next w:val="1"/>
    <w:autoRedefine/>
    <w:qFormat/>
    <w:locked/>
    <w:uiPriority w:val="99"/>
    <w:pPr>
      <w:snapToGrid w:val="0"/>
      <w:spacing w:line="500" w:lineRule="exact"/>
      <w:ind w:left="1440"/>
      <w:jc w:val="left"/>
    </w:pPr>
    <w:rPr>
      <w:sz w:val="18"/>
      <w:szCs w:val="18"/>
    </w:rPr>
  </w:style>
  <w:style w:type="paragraph" w:styleId="16">
    <w:name w:val="List Number 2"/>
    <w:basedOn w:val="1"/>
    <w:autoRedefine/>
    <w:qFormat/>
    <w:locked/>
    <w:uiPriority w:val="99"/>
    <w:pPr>
      <w:tabs>
        <w:tab w:val="left" w:pos="780"/>
      </w:tabs>
      <w:spacing w:before="60"/>
      <w:ind w:left="780" w:hanging="360"/>
    </w:pPr>
    <w:rPr>
      <w:rFonts w:ascii="Arial" w:hAnsi="Arial" w:eastAsia="仿宋_GB2312"/>
      <w:kern w:val="0"/>
      <w:sz w:val="24"/>
      <w:szCs w:val="20"/>
    </w:rPr>
  </w:style>
  <w:style w:type="paragraph" w:styleId="17">
    <w:name w:val="table of authorities"/>
    <w:basedOn w:val="1"/>
    <w:next w:val="1"/>
    <w:autoRedefine/>
    <w:qFormat/>
    <w:locked/>
    <w:uiPriority w:val="99"/>
    <w:pPr>
      <w:ind w:left="210" w:hanging="210"/>
      <w:jc w:val="left"/>
    </w:pPr>
    <w:rPr>
      <w:sz w:val="20"/>
      <w:szCs w:val="20"/>
    </w:rPr>
  </w:style>
  <w:style w:type="paragraph" w:styleId="18">
    <w:name w:val="Note Heading"/>
    <w:basedOn w:val="1"/>
    <w:next w:val="1"/>
    <w:link w:val="116"/>
    <w:autoRedefine/>
    <w:qFormat/>
    <w:locked/>
    <w:uiPriority w:val="99"/>
    <w:pPr>
      <w:jc w:val="center"/>
    </w:pPr>
    <w:rPr>
      <w:rFonts w:ascii="Arial" w:hAnsi="Arial"/>
      <w:bCs/>
      <w:sz w:val="28"/>
      <w:szCs w:val="28"/>
    </w:rPr>
  </w:style>
  <w:style w:type="paragraph" w:styleId="19">
    <w:name w:val="List Bullet 4"/>
    <w:basedOn w:val="1"/>
    <w:autoRedefine/>
    <w:qFormat/>
    <w:locked/>
    <w:uiPriority w:val="99"/>
    <w:pPr>
      <w:tabs>
        <w:tab w:val="left" w:pos="1620"/>
      </w:tabs>
      <w:spacing w:before="60"/>
      <w:ind w:left="1620" w:leftChars="600" w:hanging="360" w:hangingChars="200"/>
    </w:pPr>
    <w:rPr>
      <w:rFonts w:ascii="Arial" w:hAnsi="Arial" w:eastAsia="仿宋_GB2312"/>
      <w:kern w:val="0"/>
      <w:sz w:val="24"/>
      <w:szCs w:val="20"/>
    </w:rPr>
  </w:style>
  <w:style w:type="paragraph" w:styleId="20">
    <w:name w:val="E-mail Signature"/>
    <w:basedOn w:val="1"/>
    <w:link w:val="117"/>
    <w:autoRedefine/>
    <w:qFormat/>
    <w:locked/>
    <w:uiPriority w:val="99"/>
    <w:pPr>
      <w:spacing w:before="60"/>
      <w:ind w:firstLine="482"/>
    </w:pPr>
    <w:rPr>
      <w:rFonts w:ascii="Arial" w:hAnsi="Arial" w:eastAsia="仿宋_GB2312"/>
      <w:sz w:val="24"/>
      <w:szCs w:val="22"/>
    </w:rPr>
  </w:style>
  <w:style w:type="paragraph" w:styleId="21">
    <w:name w:val="List Number"/>
    <w:basedOn w:val="1"/>
    <w:autoRedefine/>
    <w:qFormat/>
    <w:locked/>
    <w:uiPriority w:val="99"/>
    <w:pPr>
      <w:tabs>
        <w:tab w:val="left" w:pos="360"/>
      </w:tabs>
      <w:spacing w:before="60"/>
      <w:ind w:left="360" w:hanging="360" w:hangingChars="200"/>
    </w:pPr>
    <w:rPr>
      <w:rFonts w:ascii="Arial" w:hAnsi="Arial" w:eastAsia="仿宋_GB2312"/>
      <w:kern w:val="0"/>
      <w:sz w:val="24"/>
      <w:szCs w:val="20"/>
    </w:rPr>
  </w:style>
  <w:style w:type="paragraph" w:styleId="22">
    <w:name w:val="caption"/>
    <w:basedOn w:val="1"/>
    <w:next w:val="1"/>
    <w:link w:val="118"/>
    <w:autoRedefine/>
    <w:qFormat/>
    <w:locked/>
    <w:uiPriority w:val="99"/>
    <w:pPr>
      <w:snapToGrid w:val="0"/>
      <w:spacing w:line="500" w:lineRule="exact"/>
      <w:jc w:val="left"/>
    </w:pPr>
    <w:rPr>
      <w:rFonts w:ascii="Arial" w:hAnsi="Arial" w:eastAsia="黑体"/>
      <w:sz w:val="20"/>
      <w:szCs w:val="20"/>
    </w:rPr>
  </w:style>
  <w:style w:type="paragraph" w:styleId="23">
    <w:name w:val="List Bullet"/>
    <w:basedOn w:val="1"/>
    <w:autoRedefine/>
    <w:qFormat/>
    <w:locked/>
    <w:uiPriority w:val="99"/>
    <w:pPr>
      <w:numPr>
        <w:ilvl w:val="0"/>
        <w:numId w:val="1"/>
      </w:numPr>
      <w:tabs>
        <w:tab w:val="left" w:pos="360"/>
        <w:tab w:val="clear" w:pos="780"/>
      </w:tabs>
      <w:spacing w:line="360" w:lineRule="auto"/>
      <w:ind w:left="360"/>
    </w:pPr>
    <w:rPr>
      <w:sz w:val="24"/>
      <w:szCs w:val="21"/>
    </w:rPr>
  </w:style>
  <w:style w:type="paragraph" w:styleId="24">
    <w:name w:val="envelope address"/>
    <w:basedOn w:val="1"/>
    <w:autoRedefine/>
    <w:qFormat/>
    <w:locked/>
    <w:uiPriority w:val="99"/>
    <w:pPr>
      <w:snapToGrid w:val="0"/>
      <w:spacing w:before="60"/>
      <w:ind w:left="2880" w:firstLine="482"/>
    </w:pPr>
    <w:rPr>
      <w:rFonts w:ascii="Arial" w:hAnsi="Arial" w:eastAsia="仿宋_GB2312" w:cs="Arial"/>
      <w:kern w:val="0"/>
      <w:sz w:val="24"/>
      <w:szCs w:val="20"/>
    </w:rPr>
  </w:style>
  <w:style w:type="paragraph" w:styleId="25">
    <w:name w:val="Document Map"/>
    <w:basedOn w:val="1"/>
    <w:link w:val="119"/>
    <w:autoRedefine/>
    <w:qFormat/>
    <w:locked/>
    <w:uiPriority w:val="99"/>
    <w:pPr>
      <w:shd w:val="clear" w:color="auto" w:fill="000080"/>
    </w:pPr>
  </w:style>
  <w:style w:type="paragraph" w:styleId="26">
    <w:name w:val="toa heading"/>
    <w:basedOn w:val="1"/>
    <w:next w:val="1"/>
    <w:autoRedefine/>
    <w:qFormat/>
    <w:locked/>
    <w:uiPriority w:val="99"/>
    <w:pPr>
      <w:spacing w:before="120"/>
    </w:pPr>
    <w:rPr>
      <w:rFonts w:ascii="Arial" w:hAnsi="Arial" w:cs="Arial"/>
      <w:sz w:val="24"/>
    </w:rPr>
  </w:style>
  <w:style w:type="paragraph" w:styleId="27">
    <w:name w:val="annotation text"/>
    <w:basedOn w:val="1"/>
    <w:link w:val="120"/>
    <w:autoRedefine/>
    <w:qFormat/>
    <w:uiPriority w:val="99"/>
    <w:pPr>
      <w:jc w:val="left"/>
    </w:pPr>
    <w:rPr>
      <w:kern w:val="0"/>
      <w:sz w:val="24"/>
      <w:szCs w:val="20"/>
    </w:rPr>
  </w:style>
  <w:style w:type="paragraph" w:styleId="28">
    <w:name w:val="Salutation"/>
    <w:basedOn w:val="1"/>
    <w:next w:val="1"/>
    <w:link w:val="121"/>
    <w:autoRedefine/>
    <w:qFormat/>
    <w:locked/>
    <w:uiPriority w:val="99"/>
  </w:style>
  <w:style w:type="paragraph" w:styleId="29">
    <w:name w:val="Body Text 3"/>
    <w:basedOn w:val="1"/>
    <w:link w:val="122"/>
    <w:autoRedefine/>
    <w:qFormat/>
    <w:locked/>
    <w:uiPriority w:val="99"/>
    <w:pPr>
      <w:spacing w:line="360" w:lineRule="auto"/>
    </w:pPr>
    <w:rPr>
      <w:rFonts w:ascii="宋体" w:hAnsi="宋体"/>
      <w:sz w:val="24"/>
    </w:rPr>
  </w:style>
  <w:style w:type="paragraph" w:styleId="30">
    <w:name w:val="Closing"/>
    <w:basedOn w:val="1"/>
    <w:link w:val="123"/>
    <w:autoRedefine/>
    <w:qFormat/>
    <w:locked/>
    <w:uiPriority w:val="99"/>
    <w:pPr>
      <w:spacing w:before="60"/>
      <w:ind w:left="4320" w:firstLine="482"/>
    </w:pPr>
    <w:rPr>
      <w:rFonts w:ascii="Arial" w:hAnsi="Arial" w:eastAsia="仿宋_GB2312"/>
      <w:sz w:val="24"/>
      <w:szCs w:val="22"/>
    </w:rPr>
  </w:style>
  <w:style w:type="paragraph" w:styleId="31">
    <w:name w:val="List Bullet 3"/>
    <w:basedOn w:val="1"/>
    <w:autoRedefine/>
    <w:qFormat/>
    <w:locked/>
    <w:uiPriority w:val="99"/>
    <w:pPr>
      <w:tabs>
        <w:tab w:val="left" w:pos="1200"/>
      </w:tabs>
      <w:spacing w:before="60"/>
      <w:ind w:left="1200" w:hanging="360"/>
    </w:pPr>
    <w:rPr>
      <w:rFonts w:ascii="Arial" w:hAnsi="Arial" w:eastAsia="仿宋_GB2312"/>
      <w:kern w:val="0"/>
      <w:sz w:val="24"/>
      <w:szCs w:val="20"/>
    </w:rPr>
  </w:style>
  <w:style w:type="paragraph" w:styleId="32">
    <w:name w:val="Body Text"/>
    <w:basedOn w:val="1"/>
    <w:next w:val="33"/>
    <w:link w:val="124"/>
    <w:autoRedefine/>
    <w:qFormat/>
    <w:uiPriority w:val="99"/>
    <w:pPr>
      <w:widowControl/>
      <w:snapToGrid w:val="0"/>
      <w:spacing w:before="60" w:after="160" w:line="259" w:lineRule="auto"/>
      <w:ind w:right="113"/>
    </w:pPr>
    <w:rPr>
      <w:kern w:val="0"/>
      <w:sz w:val="18"/>
      <w:szCs w:val="20"/>
    </w:rPr>
  </w:style>
  <w:style w:type="paragraph" w:styleId="33">
    <w:name w:val="List Bullet 5"/>
    <w:basedOn w:val="1"/>
    <w:autoRedefine/>
    <w:qFormat/>
    <w:locked/>
    <w:uiPriority w:val="99"/>
    <w:pPr>
      <w:tabs>
        <w:tab w:val="left" w:pos="2040"/>
      </w:tabs>
      <w:spacing w:before="60"/>
      <w:ind w:left="2040" w:hanging="360"/>
    </w:pPr>
    <w:rPr>
      <w:rFonts w:ascii="Arial" w:hAnsi="Arial" w:eastAsia="仿宋_GB2312"/>
      <w:kern w:val="0"/>
      <w:sz w:val="24"/>
      <w:szCs w:val="20"/>
    </w:rPr>
  </w:style>
  <w:style w:type="paragraph" w:styleId="34">
    <w:name w:val="Body Text Indent"/>
    <w:basedOn w:val="1"/>
    <w:next w:val="35"/>
    <w:link w:val="112"/>
    <w:autoRedefine/>
    <w:qFormat/>
    <w:uiPriority w:val="99"/>
    <w:pPr>
      <w:spacing w:after="120"/>
      <w:ind w:left="420" w:leftChars="200"/>
    </w:pPr>
    <w:rPr>
      <w:kern w:val="0"/>
      <w:sz w:val="24"/>
      <w:szCs w:val="20"/>
    </w:rPr>
  </w:style>
  <w:style w:type="paragraph" w:customStyle="1" w:styleId="35">
    <w:name w:val="样式 正文文本缩进 + 行距: 1.5 倍行距"/>
    <w:basedOn w:val="36"/>
    <w:next w:val="1"/>
    <w:autoRedefine/>
    <w:qFormat/>
    <w:uiPriority w:val="99"/>
    <w:pPr>
      <w:ind w:left="90" w:leftChars="32" w:firstLine="560"/>
    </w:pPr>
    <w:rPr>
      <w:rFonts w:cs="宋体"/>
    </w:rPr>
  </w:style>
  <w:style w:type="paragraph" w:customStyle="1" w:styleId="36">
    <w:name w:val="正文文本缩进1"/>
    <w:basedOn w:val="37"/>
    <w:next w:val="35"/>
    <w:autoRedefine/>
    <w:qFormat/>
    <w:uiPriority w:val="99"/>
    <w:pPr>
      <w:spacing w:after="120" w:line="360" w:lineRule="auto"/>
      <w:ind w:left="420" w:leftChars="200" w:firstLine="200" w:firstLineChars="200"/>
    </w:pPr>
    <w:rPr>
      <w:sz w:val="24"/>
    </w:rPr>
  </w:style>
  <w:style w:type="paragraph" w:customStyle="1" w:styleId="37">
    <w:name w:val="Normal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jc w:val="both"/>
    </w:pPr>
    <w:rPr>
      <w:rFonts w:hint="eastAsia" w:ascii="Calibri" w:hAnsi="Calibri" w:eastAsia="宋体" w:cs="Times New Roman"/>
      <w:kern w:val="2"/>
      <w:sz w:val="21"/>
      <w:lang w:val="en-US" w:eastAsia="zh-CN" w:bidi="ar-SA"/>
    </w:rPr>
  </w:style>
  <w:style w:type="paragraph" w:styleId="38">
    <w:name w:val="List Number 3"/>
    <w:basedOn w:val="1"/>
    <w:autoRedefine/>
    <w:qFormat/>
    <w:locked/>
    <w:uiPriority w:val="99"/>
    <w:pPr>
      <w:tabs>
        <w:tab w:val="left" w:pos="1200"/>
      </w:tabs>
      <w:spacing w:before="60"/>
      <w:ind w:left="1200" w:hanging="360"/>
    </w:pPr>
    <w:rPr>
      <w:rFonts w:ascii="Arial" w:hAnsi="Arial" w:eastAsia="仿宋_GB2312"/>
      <w:kern w:val="0"/>
      <w:sz w:val="24"/>
      <w:szCs w:val="20"/>
    </w:rPr>
  </w:style>
  <w:style w:type="paragraph" w:styleId="39">
    <w:name w:val="List 2"/>
    <w:basedOn w:val="1"/>
    <w:autoRedefine/>
    <w:qFormat/>
    <w:locked/>
    <w:uiPriority w:val="99"/>
    <w:pPr>
      <w:ind w:left="100" w:leftChars="200" w:hanging="200" w:hangingChars="200"/>
    </w:pPr>
    <w:rPr>
      <w:rFonts w:eastAsia="仿宋_GB2312"/>
      <w:color w:val="000000"/>
      <w:kern w:val="0"/>
      <w:sz w:val="28"/>
      <w:szCs w:val="32"/>
    </w:rPr>
  </w:style>
  <w:style w:type="paragraph" w:styleId="40">
    <w:name w:val="List Continue"/>
    <w:basedOn w:val="1"/>
    <w:autoRedefine/>
    <w:qFormat/>
    <w:locked/>
    <w:uiPriority w:val="99"/>
    <w:pPr>
      <w:spacing w:after="120"/>
      <w:ind w:left="420" w:leftChars="200"/>
    </w:pPr>
  </w:style>
  <w:style w:type="paragraph" w:styleId="41">
    <w:name w:val="Block Text"/>
    <w:basedOn w:val="1"/>
    <w:autoRedefine/>
    <w:qFormat/>
    <w:locked/>
    <w:uiPriority w:val="99"/>
    <w:pPr>
      <w:autoSpaceDE w:val="0"/>
      <w:autoSpaceDN w:val="0"/>
      <w:adjustRightInd w:val="0"/>
      <w:ind w:left="98" w:right="72" w:firstLine="490" w:firstLineChars="175"/>
      <w:jc w:val="left"/>
    </w:pPr>
    <w:rPr>
      <w:rFonts w:ascii="宋体" w:hAnsi="宋体"/>
      <w:kern w:val="0"/>
      <w:sz w:val="28"/>
      <w:szCs w:val="26"/>
    </w:rPr>
  </w:style>
  <w:style w:type="paragraph" w:styleId="42">
    <w:name w:val="List Bullet 2"/>
    <w:basedOn w:val="1"/>
    <w:autoRedefine/>
    <w:qFormat/>
    <w:locked/>
    <w:uiPriority w:val="99"/>
    <w:pPr>
      <w:tabs>
        <w:tab w:val="left" w:pos="780"/>
      </w:tabs>
      <w:spacing w:before="60"/>
      <w:ind w:left="780" w:leftChars="200" w:hanging="360" w:hangingChars="200"/>
    </w:pPr>
    <w:rPr>
      <w:rFonts w:ascii="Arial" w:hAnsi="Arial" w:eastAsia="仿宋_GB2312"/>
      <w:kern w:val="0"/>
      <w:sz w:val="24"/>
      <w:szCs w:val="20"/>
    </w:rPr>
  </w:style>
  <w:style w:type="paragraph" w:styleId="43">
    <w:name w:val="HTML Address"/>
    <w:basedOn w:val="1"/>
    <w:link w:val="125"/>
    <w:autoRedefine/>
    <w:qFormat/>
    <w:locked/>
    <w:uiPriority w:val="99"/>
    <w:pPr>
      <w:spacing w:before="60"/>
      <w:ind w:firstLine="482"/>
    </w:pPr>
    <w:rPr>
      <w:rFonts w:ascii="Arial" w:hAnsi="Arial" w:eastAsia="仿宋_GB2312"/>
      <w:i/>
      <w:iCs/>
      <w:sz w:val="24"/>
      <w:szCs w:val="22"/>
    </w:rPr>
  </w:style>
  <w:style w:type="paragraph" w:styleId="44">
    <w:name w:val="index 4"/>
    <w:basedOn w:val="1"/>
    <w:next w:val="1"/>
    <w:autoRedefine/>
    <w:qFormat/>
    <w:locked/>
    <w:uiPriority w:val="99"/>
    <w:pPr>
      <w:spacing w:line="360" w:lineRule="auto"/>
      <w:ind w:left="600" w:leftChars="600" w:firstLine="200" w:firstLineChars="200"/>
    </w:pPr>
    <w:rPr>
      <w:rFonts w:ascii="宋体"/>
      <w:sz w:val="24"/>
    </w:rPr>
  </w:style>
  <w:style w:type="paragraph" w:styleId="45">
    <w:name w:val="toc 5"/>
    <w:basedOn w:val="1"/>
    <w:next w:val="1"/>
    <w:autoRedefine/>
    <w:qFormat/>
    <w:locked/>
    <w:uiPriority w:val="99"/>
    <w:pPr>
      <w:snapToGrid w:val="0"/>
      <w:spacing w:line="500" w:lineRule="exact"/>
      <w:ind w:left="960"/>
      <w:jc w:val="left"/>
    </w:pPr>
    <w:rPr>
      <w:sz w:val="18"/>
      <w:szCs w:val="18"/>
    </w:rPr>
  </w:style>
  <w:style w:type="paragraph" w:styleId="46">
    <w:name w:val="toc 3"/>
    <w:basedOn w:val="1"/>
    <w:next w:val="1"/>
    <w:autoRedefine/>
    <w:qFormat/>
    <w:locked/>
    <w:uiPriority w:val="39"/>
    <w:pPr>
      <w:snapToGrid w:val="0"/>
      <w:spacing w:line="500" w:lineRule="exact"/>
      <w:ind w:left="480"/>
      <w:jc w:val="left"/>
    </w:pPr>
    <w:rPr>
      <w:i/>
      <w:iCs/>
      <w:sz w:val="20"/>
      <w:szCs w:val="20"/>
    </w:rPr>
  </w:style>
  <w:style w:type="paragraph" w:styleId="47">
    <w:name w:val="List Number 4"/>
    <w:basedOn w:val="1"/>
    <w:autoRedefine/>
    <w:qFormat/>
    <w:locked/>
    <w:uiPriority w:val="99"/>
    <w:pPr>
      <w:tabs>
        <w:tab w:val="left" w:pos="1620"/>
      </w:tabs>
      <w:spacing w:before="60"/>
      <w:ind w:left="1620" w:hanging="360"/>
    </w:pPr>
    <w:rPr>
      <w:rFonts w:ascii="Arial" w:hAnsi="Arial" w:eastAsia="仿宋_GB2312"/>
      <w:kern w:val="0"/>
      <w:sz w:val="24"/>
      <w:szCs w:val="20"/>
    </w:rPr>
  </w:style>
  <w:style w:type="paragraph" w:styleId="48">
    <w:name w:val="toc 8"/>
    <w:basedOn w:val="1"/>
    <w:next w:val="1"/>
    <w:autoRedefine/>
    <w:qFormat/>
    <w:locked/>
    <w:uiPriority w:val="99"/>
    <w:pPr>
      <w:snapToGrid w:val="0"/>
      <w:spacing w:line="500" w:lineRule="exact"/>
      <w:ind w:left="1680"/>
      <w:jc w:val="left"/>
    </w:pPr>
    <w:rPr>
      <w:sz w:val="18"/>
      <w:szCs w:val="18"/>
    </w:rPr>
  </w:style>
  <w:style w:type="paragraph" w:styleId="49">
    <w:name w:val="Date"/>
    <w:basedOn w:val="1"/>
    <w:next w:val="1"/>
    <w:link w:val="127"/>
    <w:autoRedefine/>
    <w:qFormat/>
    <w:uiPriority w:val="99"/>
    <w:pPr>
      <w:ind w:left="100" w:leftChars="2500"/>
    </w:pPr>
    <w:rPr>
      <w:kern w:val="0"/>
      <w:sz w:val="24"/>
      <w:szCs w:val="20"/>
    </w:rPr>
  </w:style>
  <w:style w:type="paragraph" w:styleId="50">
    <w:name w:val="Body Text Indent 2"/>
    <w:basedOn w:val="1"/>
    <w:link w:val="128"/>
    <w:autoRedefine/>
    <w:qFormat/>
    <w:locked/>
    <w:uiPriority w:val="99"/>
    <w:pPr>
      <w:spacing w:before="120"/>
      <w:ind w:right="113" w:firstLine="570"/>
    </w:pPr>
    <w:rPr>
      <w:kern w:val="24"/>
      <w:sz w:val="28"/>
      <w:szCs w:val="20"/>
    </w:rPr>
  </w:style>
  <w:style w:type="paragraph" w:styleId="51">
    <w:name w:val="endnote text"/>
    <w:basedOn w:val="1"/>
    <w:link w:val="129"/>
    <w:autoRedefine/>
    <w:qFormat/>
    <w:locked/>
    <w:uiPriority w:val="99"/>
    <w:pPr>
      <w:snapToGrid w:val="0"/>
      <w:jc w:val="left"/>
    </w:pPr>
  </w:style>
  <w:style w:type="paragraph" w:styleId="52">
    <w:name w:val="List Continue 5"/>
    <w:basedOn w:val="1"/>
    <w:autoRedefine/>
    <w:qFormat/>
    <w:locked/>
    <w:uiPriority w:val="99"/>
    <w:pPr>
      <w:spacing w:before="60" w:after="120"/>
      <w:ind w:left="2100" w:firstLine="482"/>
    </w:pPr>
    <w:rPr>
      <w:rFonts w:ascii="Arial" w:hAnsi="Arial" w:eastAsia="仿宋_GB2312"/>
      <w:kern w:val="0"/>
      <w:sz w:val="24"/>
      <w:szCs w:val="20"/>
    </w:rPr>
  </w:style>
  <w:style w:type="paragraph" w:styleId="53">
    <w:name w:val="Balloon Text"/>
    <w:basedOn w:val="1"/>
    <w:link w:val="130"/>
    <w:autoRedefine/>
    <w:semiHidden/>
    <w:qFormat/>
    <w:uiPriority w:val="99"/>
    <w:rPr>
      <w:kern w:val="0"/>
      <w:sz w:val="18"/>
      <w:szCs w:val="20"/>
    </w:rPr>
  </w:style>
  <w:style w:type="paragraph" w:styleId="54">
    <w:name w:val="footer"/>
    <w:basedOn w:val="1"/>
    <w:link w:val="131"/>
    <w:autoRedefine/>
    <w:qFormat/>
    <w:uiPriority w:val="99"/>
    <w:pPr>
      <w:tabs>
        <w:tab w:val="center" w:pos="4153"/>
        <w:tab w:val="right" w:pos="8306"/>
      </w:tabs>
      <w:snapToGrid w:val="0"/>
      <w:jc w:val="left"/>
    </w:pPr>
    <w:rPr>
      <w:kern w:val="0"/>
      <w:sz w:val="18"/>
      <w:szCs w:val="20"/>
    </w:rPr>
  </w:style>
  <w:style w:type="paragraph" w:styleId="55">
    <w:name w:val="envelope return"/>
    <w:basedOn w:val="1"/>
    <w:autoRedefine/>
    <w:qFormat/>
    <w:locked/>
    <w:uiPriority w:val="99"/>
    <w:pPr>
      <w:snapToGrid w:val="0"/>
      <w:spacing w:before="60"/>
      <w:ind w:firstLine="482"/>
    </w:pPr>
    <w:rPr>
      <w:rFonts w:ascii="Arial" w:hAnsi="Arial" w:eastAsia="仿宋_GB2312" w:cs="Arial"/>
      <w:kern w:val="0"/>
      <w:sz w:val="24"/>
      <w:szCs w:val="20"/>
    </w:rPr>
  </w:style>
  <w:style w:type="paragraph" w:styleId="56">
    <w:name w:val="header"/>
    <w:basedOn w:val="1"/>
    <w:next w:val="57"/>
    <w:link w:val="132"/>
    <w:autoRedefine/>
    <w:qFormat/>
    <w:uiPriority w:val="99"/>
    <w:pPr>
      <w:pBdr>
        <w:bottom w:val="single" w:color="auto" w:sz="6" w:space="1"/>
      </w:pBdr>
      <w:tabs>
        <w:tab w:val="center" w:pos="4153"/>
        <w:tab w:val="right" w:pos="8306"/>
      </w:tabs>
      <w:snapToGrid w:val="0"/>
      <w:jc w:val="center"/>
    </w:pPr>
    <w:rPr>
      <w:kern w:val="0"/>
      <w:sz w:val="18"/>
      <w:szCs w:val="20"/>
    </w:rPr>
  </w:style>
  <w:style w:type="paragraph" w:customStyle="1" w:styleId="57">
    <w:name w:val="样式5"/>
    <w:basedOn w:val="58"/>
    <w:next w:val="1"/>
    <w:link w:val="263"/>
    <w:autoRedefine/>
    <w:qFormat/>
    <w:uiPriority w:val="99"/>
    <w:pPr>
      <w:widowControl w:val="0"/>
      <w:snapToGrid/>
      <w:spacing w:before="0" w:after="0" w:line="240" w:lineRule="auto"/>
      <w:ind w:right="-105" w:rightChars="-50"/>
      <w:jc w:val="center"/>
    </w:pPr>
    <w:rPr>
      <w:rFonts w:ascii="宋体"/>
      <w:sz w:val="21"/>
    </w:rPr>
  </w:style>
  <w:style w:type="paragraph" w:customStyle="1" w:styleId="58">
    <w:name w:val="正文1"/>
    <w:basedOn w:val="32"/>
    <w:next w:val="1"/>
    <w:link w:val="385"/>
    <w:autoRedefine/>
    <w:qFormat/>
    <w:uiPriority w:val="99"/>
    <w:pPr>
      <w:adjustRightInd w:val="0"/>
      <w:spacing w:line="500" w:lineRule="atLeast"/>
      <w:ind w:firstLine="567"/>
    </w:pPr>
    <w:rPr>
      <w:sz w:val="24"/>
    </w:rPr>
  </w:style>
  <w:style w:type="paragraph" w:styleId="59">
    <w:name w:val="Signature"/>
    <w:basedOn w:val="1"/>
    <w:link w:val="133"/>
    <w:autoRedefine/>
    <w:qFormat/>
    <w:locked/>
    <w:uiPriority w:val="99"/>
    <w:pPr>
      <w:spacing w:before="60"/>
      <w:ind w:left="4320" w:firstLine="482"/>
    </w:pPr>
    <w:rPr>
      <w:rFonts w:ascii="Arial" w:hAnsi="Arial" w:eastAsia="仿宋_GB2312"/>
      <w:sz w:val="24"/>
      <w:szCs w:val="22"/>
    </w:rPr>
  </w:style>
  <w:style w:type="paragraph" w:styleId="60">
    <w:name w:val="toc 1"/>
    <w:basedOn w:val="1"/>
    <w:next w:val="1"/>
    <w:link w:val="134"/>
    <w:autoRedefine/>
    <w:qFormat/>
    <w:locked/>
    <w:uiPriority w:val="39"/>
    <w:pPr>
      <w:tabs>
        <w:tab w:val="right" w:leader="dot" w:pos="9060"/>
      </w:tabs>
      <w:snapToGrid w:val="0"/>
      <w:spacing w:before="120" w:after="120" w:line="360" w:lineRule="auto"/>
      <w:jc w:val="left"/>
    </w:pPr>
    <w:rPr>
      <w:b/>
      <w:caps/>
      <w:sz w:val="20"/>
      <w:szCs w:val="20"/>
    </w:rPr>
  </w:style>
  <w:style w:type="paragraph" w:styleId="61">
    <w:name w:val="List Continue 4"/>
    <w:basedOn w:val="1"/>
    <w:autoRedefine/>
    <w:qFormat/>
    <w:locked/>
    <w:uiPriority w:val="99"/>
    <w:pPr>
      <w:spacing w:before="60" w:after="120"/>
      <w:ind w:left="1680" w:firstLine="482"/>
    </w:pPr>
    <w:rPr>
      <w:rFonts w:ascii="Arial" w:hAnsi="Arial" w:eastAsia="仿宋_GB2312"/>
      <w:kern w:val="0"/>
      <w:sz w:val="24"/>
      <w:szCs w:val="20"/>
    </w:rPr>
  </w:style>
  <w:style w:type="paragraph" w:styleId="62">
    <w:name w:val="toc 4"/>
    <w:basedOn w:val="1"/>
    <w:next w:val="1"/>
    <w:autoRedefine/>
    <w:qFormat/>
    <w:locked/>
    <w:uiPriority w:val="99"/>
    <w:pPr>
      <w:tabs>
        <w:tab w:val="right" w:leader="dot" w:pos="9060"/>
      </w:tabs>
      <w:snapToGrid w:val="0"/>
      <w:spacing w:line="360" w:lineRule="auto"/>
      <w:ind w:left="720"/>
      <w:jc w:val="left"/>
    </w:pPr>
    <w:rPr>
      <w:b/>
      <w:sz w:val="18"/>
      <w:szCs w:val="18"/>
    </w:rPr>
  </w:style>
  <w:style w:type="paragraph" w:styleId="63">
    <w:name w:val="index heading"/>
    <w:basedOn w:val="1"/>
    <w:next w:val="64"/>
    <w:autoRedefine/>
    <w:qFormat/>
    <w:locked/>
    <w:uiPriority w:val="99"/>
  </w:style>
  <w:style w:type="paragraph" w:styleId="64">
    <w:name w:val="index 1"/>
    <w:basedOn w:val="1"/>
    <w:next w:val="1"/>
    <w:autoRedefine/>
    <w:qFormat/>
    <w:locked/>
    <w:uiPriority w:val="99"/>
  </w:style>
  <w:style w:type="paragraph" w:styleId="65">
    <w:name w:val="Subtitle"/>
    <w:basedOn w:val="1"/>
    <w:link w:val="135"/>
    <w:autoRedefine/>
    <w:qFormat/>
    <w:locked/>
    <w:uiPriority w:val="99"/>
    <w:pPr>
      <w:spacing w:before="240" w:after="60" w:line="312" w:lineRule="auto"/>
      <w:ind w:firstLine="482"/>
      <w:jc w:val="center"/>
      <w:outlineLvl w:val="1"/>
    </w:pPr>
    <w:rPr>
      <w:rFonts w:ascii="Arial" w:hAnsi="Arial" w:eastAsia="仿宋_GB2312"/>
      <w:b/>
      <w:bCs/>
      <w:kern w:val="28"/>
      <w:sz w:val="32"/>
      <w:szCs w:val="32"/>
    </w:rPr>
  </w:style>
  <w:style w:type="paragraph" w:styleId="66">
    <w:name w:val="List Number 5"/>
    <w:basedOn w:val="1"/>
    <w:autoRedefine/>
    <w:qFormat/>
    <w:locked/>
    <w:uiPriority w:val="99"/>
    <w:pPr>
      <w:tabs>
        <w:tab w:val="left" w:pos="420"/>
      </w:tabs>
      <w:spacing w:before="60"/>
      <w:ind w:left="420" w:hanging="420"/>
    </w:pPr>
    <w:rPr>
      <w:rFonts w:ascii="Arial" w:hAnsi="Arial" w:eastAsia="仿宋_GB2312"/>
      <w:kern w:val="0"/>
      <w:sz w:val="24"/>
      <w:szCs w:val="20"/>
    </w:rPr>
  </w:style>
  <w:style w:type="paragraph" w:styleId="67">
    <w:name w:val="List"/>
    <w:basedOn w:val="1"/>
    <w:autoRedefine/>
    <w:qFormat/>
    <w:locked/>
    <w:uiPriority w:val="99"/>
    <w:pPr>
      <w:snapToGrid w:val="0"/>
      <w:spacing w:line="500" w:lineRule="exact"/>
      <w:jc w:val="left"/>
    </w:pPr>
    <w:rPr>
      <w:szCs w:val="20"/>
    </w:rPr>
  </w:style>
  <w:style w:type="paragraph" w:styleId="68">
    <w:name w:val="footnote text"/>
    <w:basedOn w:val="1"/>
    <w:link w:val="136"/>
    <w:autoRedefine/>
    <w:qFormat/>
    <w:locked/>
    <w:uiPriority w:val="99"/>
    <w:pPr>
      <w:snapToGrid w:val="0"/>
      <w:spacing w:line="360" w:lineRule="auto"/>
      <w:ind w:firstLine="200" w:firstLineChars="200"/>
      <w:jc w:val="left"/>
    </w:pPr>
    <w:rPr>
      <w:rFonts w:ascii="宋体"/>
      <w:sz w:val="18"/>
      <w:szCs w:val="18"/>
    </w:rPr>
  </w:style>
  <w:style w:type="paragraph" w:styleId="69">
    <w:name w:val="toc 6"/>
    <w:basedOn w:val="1"/>
    <w:next w:val="1"/>
    <w:autoRedefine/>
    <w:qFormat/>
    <w:locked/>
    <w:uiPriority w:val="99"/>
    <w:pPr>
      <w:snapToGrid w:val="0"/>
      <w:spacing w:line="500" w:lineRule="exact"/>
      <w:ind w:left="1200"/>
      <w:jc w:val="left"/>
    </w:pPr>
    <w:rPr>
      <w:sz w:val="18"/>
      <w:szCs w:val="18"/>
    </w:rPr>
  </w:style>
  <w:style w:type="paragraph" w:styleId="70">
    <w:name w:val="List 5"/>
    <w:basedOn w:val="1"/>
    <w:autoRedefine/>
    <w:qFormat/>
    <w:locked/>
    <w:uiPriority w:val="99"/>
    <w:pPr>
      <w:spacing w:before="60"/>
      <w:ind w:left="2100" w:hanging="420"/>
    </w:pPr>
    <w:rPr>
      <w:rFonts w:ascii="Arial" w:hAnsi="Arial" w:eastAsia="仿宋_GB2312"/>
      <w:kern w:val="0"/>
      <w:sz w:val="24"/>
      <w:szCs w:val="20"/>
    </w:rPr>
  </w:style>
  <w:style w:type="paragraph" w:styleId="71">
    <w:name w:val="Body Text Indent 3"/>
    <w:basedOn w:val="1"/>
    <w:link w:val="137"/>
    <w:autoRedefine/>
    <w:qFormat/>
    <w:locked/>
    <w:uiPriority w:val="99"/>
    <w:pPr>
      <w:spacing w:after="120"/>
      <w:ind w:left="420" w:leftChars="200"/>
    </w:pPr>
    <w:rPr>
      <w:sz w:val="16"/>
      <w:szCs w:val="16"/>
    </w:rPr>
  </w:style>
  <w:style w:type="paragraph" w:styleId="72">
    <w:name w:val="table of figures"/>
    <w:basedOn w:val="1"/>
    <w:next w:val="1"/>
    <w:autoRedefine/>
    <w:qFormat/>
    <w:locked/>
    <w:uiPriority w:val="99"/>
    <w:pPr>
      <w:tabs>
        <w:tab w:val="right" w:leader="dot" w:pos="8312"/>
      </w:tabs>
      <w:adjustRightInd w:val="0"/>
      <w:spacing w:line="360" w:lineRule="auto"/>
      <w:textAlignment w:val="baseline"/>
    </w:pPr>
    <w:rPr>
      <w:rFonts w:ascii="宋体"/>
      <w:kern w:val="0"/>
      <w:szCs w:val="20"/>
    </w:rPr>
  </w:style>
  <w:style w:type="paragraph" w:styleId="73">
    <w:name w:val="toc 2"/>
    <w:basedOn w:val="1"/>
    <w:next w:val="1"/>
    <w:autoRedefine/>
    <w:qFormat/>
    <w:locked/>
    <w:uiPriority w:val="39"/>
    <w:pPr>
      <w:tabs>
        <w:tab w:val="right" w:leader="dot" w:pos="9060"/>
      </w:tabs>
      <w:snapToGrid w:val="0"/>
      <w:ind w:left="240"/>
      <w:jc w:val="left"/>
    </w:pPr>
    <w:rPr>
      <w:smallCaps/>
      <w:sz w:val="20"/>
      <w:szCs w:val="20"/>
    </w:rPr>
  </w:style>
  <w:style w:type="paragraph" w:styleId="74">
    <w:name w:val="toc 9"/>
    <w:basedOn w:val="1"/>
    <w:next w:val="1"/>
    <w:autoRedefine/>
    <w:qFormat/>
    <w:locked/>
    <w:uiPriority w:val="99"/>
    <w:pPr>
      <w:snapToGrid w:val="0"/>
      <w:spacing w:line="500" w:lineRule="exact"/>
      <w:ind w:left="1920"/>
      <w:jc w:val="left"/>
    </w:pPr>
    <w:rPr>
      <w:sz w:val="18"/>
      <w:szCs w:val="18"/>
    </w:rPr>
  </w:style>
  <w:style w:type="paragraph" w:styleId="75">
    <w:name w:val="Body Text 2"/>
    <w:basedOn w:val="1"/>
    <w:link w:val="138"/>
    <w:autoRedefine/>
    <w:qFormat/>
    <w:locked/>
    <w:uiPriority w:val="99"/>
    <w:rPr>
      <w:rFonts w:eastAsia="仿宋_GB2312"/>
      <w:sz w:val="32"/>
    </w:rPr>
  </w:style>
  <w:style w:type="paragraph" w:styleId="76">
    <w:name w:val="List 4"/>
    <w:basedOn w:val="1"/>
    <w:autoRedefine/>
    <w:qFormat/>
    <w:locked/>
    <w:uiPriority w:val="99"/>
    <w:pPr>
      <w:spacing w:before="60"/>
      <w:ind w:left="1680" w:hanging="420"/>
    </w:pPr>
    <w:rPr>
      <w:rFonts w:ascii="Arial" w:hAnsi="Arial" w:eastAsia="仿宋_GB2312"/>
      <w:kern w:val="0"/>
      <w:sz w:val="24"/>
      <w:szCs w:val="20"/>
    </w:rPr>
  </w:style>
  <w:style w:type="paragraph" w:styleId="77">
    <w:name w:val="List Continue 2"/>
    <w:basedOn w:val="1"/>
    <w:autoRedefine/>
    <w:qFormat/>
    <w:locked/>
    <w:uiPriority w:val="99"/>
    <w:pPr>
      <w:spacing w:before="60" w:after="120"/>
      <w:ind w:left="840" w:firstLine="482"/>
    </w:pPr>
    <w:rPr>
      <w:rFonts w:ascii="Arial" w:hAnsi="Arial" w:eastAsia="仿宋_GB2312"/>
      <w:kern w:val="0"/>
      <w:sz w:val="24"/>
      <w:szCs w:val="20"/>
    </w:rPr>
  </w:style>
  <w:style w:type="paragraph" w:styleId="78">
    <w:name w:val="Message Header"/>
    <w:basedOn w:val="1"/>
    <w:link w:val="139"/>
    <w:autoRedefine/>
    <w:qFormat/>
    <w:locked/>
    <w:uiPriority w:val="99"/>
    <w:pPr>
      <w:pBdr>
        <w:top w:val="single" w:color="auto" w:sz="6" w:space="1"/>
        <w:left w:val="single" w:color="auto" w:sz="6" w:space="1"/>
        <w:bottom w:val="single" w:color="auto" w:sz="6" w:space="1"/>
        <w:right w:val="single" w:color="auto" w:sz="6" w:space="1"/>
      </w:pBdr>
      <w:shd w:val="pct20" w:color="auto" w:fill="auto"/>
      <w:spacing w:before="60"/>
      <w:ind w:left="1080" w:hanging="1080"/>
    </w:pPr>
    <w:rPr>
      <w:rFonts w:ascii="宋体" w:hAnsi="宋体"/>
      <w:sz w:val="24"/>
      <w:szCs w:val="21"/>
    </w:rPr>
  </w:style>
  <w:style w:type="paragraph" w:styleId="79">
    <w:name w:val="HTML Preformatted"/>
    <w:basedOn w:val="1"/>
    <w:link w:val="140"/>
    <w:autoRedefine/>
    <w:qFormat/>
    <w:locked/>
    <w:uiPriority w:val="99"/>
    <w:rPr>
      <w:rFonts w:ascii="Courier New" w:hAnsi="Courier New"/>
      <w:sz w:val="20"/>
      <w:szCs w:val="20"/>
    </w:rPr>
  </w:style>
  <w:style w:type="paragraph" w:styleId="80">
    <w:name w:val="Normal (Web)"/>
    <w:basedOn w:val="1"/>
    <w:link w:val="141"/>
    <w:autoRedefine/>
    <w:qFormat/>
    <w:uiPriority w:val="99"/>
    <w:pPr>
      <w:widowControl/>
      <w:spacing w:before="100" w:beforeAutospacing="1" w:after="100" w:afterAutospacing="1"/>
      <w:jc w:val="left"/>
    </w:pPr>
    <w:rPr>
      <w:rFonts w:ascii="宋体" w:hAnsi="宋体"/>
      <w:kern w:val="0"/>
      <w:sz w:val="24"/>
      <w:szCs w:val="20"/>
    </w:rPr>
  </w:style>
  <w:style w:type="paragraph" w:styleId="81">
    <w:name w:val="List Continue 3"/>
    <w:basedOn w:val="1"/>
    <w:autoRedefine/>
    <w:qFormat/>
    <w:locked/>
    <w:uiPriority w:val="99"/>
    <w:pPr>
      <w:spacing w:before="60" w:after="120"/>
      <w:ind w:left="1260" w:firstLine="482"/>
    </w:pPr>
    <w:rPr>
      <w:rFonts w:ascii="Arial" w:hAnsi="Arial" w:eastAsia="仿宋_GB2312"/>
      <w:kern w:val="0"/>
      <w:sz w:val="24"/>
      <w:szCs w:val="20"/>
    </w:rPr>
  </w:style>
  <w:style w:type="paragraph" w:styleId="82">
    <w:name w:val="Title"/>
    <w:basedOn w:val="1"/>
    <w:next w:val="1"/>
    <w:link w:val="142"/>
    <w:autoRedefine/>
    <w:qFormat/>
    <w:locked/>
    <w:uiPriority w:val="99"/>
    <w:pPr>
      <w:spacing w:before="240" w:after="60"/>
      <w:jc w:val="center"/>
      <w:outlineLvl w:val="0"/>
    </w:pPr>
    <w:rPr>
      <w:rFonts w:ascii="Cambria" w:hAnsi="Cambria"/>
      <w:b/>
      <w:bCs/>
      <w:sz w:val="32"/>
      <w:szCs w:val="32"/>
    </w:rPr>
  </w:style>
  <w:style w:type="paragraph" w:styleId="83">
    <w:name w:val="annotation subject"/>
    <w:basedOn w:val="27"/>
    <w:next w:val="27"/>
    <w:link w:val="143"/>
    <w:autoRedefine/>
    <w:semiHidden/>
    <w:qFormat/>
    <w:uiPriority w:val="99"/>
    <w:rPr>
      <w:b/>
      <w:kern w:val="2"/>
    </w:rPr>
  </w:style>
  <w:style w:type="paragraph" w:styleId="84">
    <w:name w:val="Body Text First Indent"/>
    <w:basedOn w:val="32"/>
    <w:next w:val="1"/>
    <w:link w:val="144"/>
    <w:autoRedefine/>
    <w:qFormat/>
    <w:locked/>
    <w:uiPriority w:val="99"/>
    <w:pPr>
      <w:widowControl w:val="0"/>
      <w:snapToGrid/>
      <w:spacing w:before="0" w:after="120" w:line="240" w:lineRule="auto"/>
      <w:ind w:right="0" w:firstLine="420" w:firstLineChars="100"/>
    </w:pPr>
    <w:rPr>
      <w:kern w:val="2"/>
      <w:sz w:val="21"/>
      <w:szCs w:val="24"/>
    </w:rPr>
  </w:style>
  <w:style w:type="paragraph" w:styleId="85">
    <w:name w:val="Body Text First Indent 2"/>
    <w:basedOn w:val="34"/>
    <w:next w:val="1"/>
    <w:link w:val="113"/>
    <w:autoRedefine/>
    <w:qFormat/>
    <w:locked/>
    <w:uiPriority w:val="99"/>
    <w:pPr>
      <w:ind w:firstLine="420" w:firstLineChars="200"/>
    </w:pPr>
    <w:rPr>
      <w:kern w:val="2"/>
      <w:sz w:val="21"/>
      <w:szCs w:val="24"/>
    </w:rPr>
  </w:style>
  <w:style w:type="table" w:styleId="87">
    <w:name w:val="Table Grid"/>
    <w:basedOn w:val="8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Table Theme"/>
    <w:basedOn w:val="86"/>
    <w:autoRedefine/>
    <w:qFormat/>
    <w:locked/>
    <w:uiPriority w:val="9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9">
    <w:name w:val="Table Grid 1"/>
    <w:basedOn w:val="86"/>
    <w:autoRedefine/>
    <w:qFormat/>
    <w:locked/>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90">
    <w:name w:val="Table Grid 5"/>
    <w:basedOn w:val="86"/>
    <w:autoRedefine/>
    <w:qFormat/>
    <w:locked/>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91">
    <w:name w:val="Table Professional"/>
    <w:basedOn w:val="86"/>
    <w:autoRedefine/>
    <w:qFormat/>
    <w:locked/>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93">
    <w:name w:val="Strong"/>
    <w:autoRedefine/>
    <w:qFormat/>
    <w:locked/>
    <w:uiPriority w:val="99"/>
    <w:rPr>
      <w:rFonts w:cs="Times New Roman"/>
      <w:b/>
    </w:rPr>
  </w:style>
  <w:style w:type="character" w:styleId="94">
    <w:name w:val="endnote reference"/>
    <w:autoRedefine/>
    <w:qFormat/>
    <w:locked/>
    <w:uiPriority w:val="99"/>
    <w:rPr>
      <w:rFonts w:ascii="宋体" w:hAnsi="宋体" w:eastAsia="宋体" w:cs="Times New Roman"/>
      <w:kern w:val="2"/>
      <w:sz w:val="24"/>
      <w:vertAlign w:val="superscript"/>
      <w:lang w:val="en-US" w:eastAsia="zh-CN"/>
    </w:rPr>
  </w:style>
  <w:style w:type="character" w:styleId="95">
    <w:name w:val="page number"/>
    <w:autoRedefine/>
    <w:qFormat/>
    <w:locked/>
    <w:uiPriority w:val="99"/>
    <w:rPr>
      <w:rFonts w:cs="Times New Roman"/>
    </w:rPr>
  </w:style>
  <w:style w:type="character" w:styleId="96">
    <w:name w:val="FollowedHyperlink"/>
    <w:autoRedefine/>
    <w:qFormat/>
    <w:locked/>
    <w:uiPriority w:val="99"/>
    <w:rPr>
      <w:rFonts w:cs="Times New Roman"/>
      <w:color w:val="954F72"/>
      <w:u w:val="single"/>
    </w:rPr>
  </w:style>
  <w:style w:type="character" w:styleId="97">
    <w:name w:val="Emphasis"/>
    <w:autoRedefine/>
    <w:qFormat/>
    <w:locked/>
    <w:uiPriority w:val="99"/>
    <w:rPr>
      <w:rFonts w:ascii="宋体" w:hAnsi="宋体" w:eastAsia="宋体" w:cs="Times New Roman"/>
      <w:color w:val="CC0000"/>
      <w:kern w:val="2"/>
      <w:sz w:val="24"/>
      <w:lang w:val="en-US" w:eastAsia="zh-CN"/>
    </w:rPr>
  </w:style>
  <w:style w:type="character" w:styleId="98">
    <w:name w:val="Hyperlink"/>
    <w:autoRedefine/>
    <w:qFormat/>
    <w:locked/>
    <w:uiPriority w:val="99"/>
    <w:rPr>
      <w:rFonts w:cs="Times New Roman"/>
      <w:color w:val="0000FF"/>
      <w:u w:val="single"/>
    </w:rPr>
  </w:style>
  <w:style w:type="character" w:styleId="99">
    <w:name w:val="HTML Code"/>
    <w:autoRedefine/>
    <w:qFormat/>
    <w:locked/>
    <w:uiPriority w:val="99"/>
    <w:rPr>
      <w:rFonts w:ascii="黑体" w:hAnsi="Courier New" w:eastAsia="黑体" w:cs="Times New Roman"/>
      <w:sz w:val="24"/>
    </w:rPr>
  </w:style>
  <w:style w:type="character" w:styleId="100">
    <w:name w:val="annotation reference"/>
    <w:autoRedefine/>
    <w:semiHidden/>
    <w:qFormat/>
    <w:uiPriority w:val="99"/>
    <w:rPr>
      <w:rFonts w:cs="Times New Roman"/>
      <w:sz w:val="21"/>
    </w:rPr>
  </w:style>
  <w:style w:type="character" w:styleId="101">
    <w:name w:val="footnote reference"/>
    <w:autoRedefine/>
    <w:qFormat/>
    <w:locked/>
    <w:uiPriority w:val="99"/>
    <w:rPr>
      <w:rFonts w:ascii="宋体" w:hAnsi="宋体" w:eastAsia="宋体" w:cs="Times New Roman"/>
      <w:kern w:val="2"/>
      <w:sz w:val="24"/>
      <w:vertAlign w:val="superscript"/>
      <w:lang w:val="en-US" w:eastAsia="zh-CN"/>
    </w:rPr>
  </w:style>
  <w:style w:type="paragraph" w:customStyle="1" w:styleId="102">
    <w:name w:val="正文文本缩进2"/>
    <w:basedOn w:val="1"/>
    <w:next w:val="35"/>
    <w:autoRedefine/>
    <w:qFormat/>
    <w:uiPriority w:val="0"/>
    <w:pPr>
      <w:spacing w:after="120"/>
      <w:ind w:left="420" w:leftChars="200"/>
    </w:pPr>
    <w:rPr>
      <w:sz w:val="24"/>
    </w:rPr>
  </w:style>
  <w:style w:type="character" w:customStyle="1" w:styleId="103">
    <w:name w:val="标题 1 字符"/>
    <w:link w:val="3"/>
    <w:autoRedefine/>
    <w:qFormat/>
    <w:locked/>
    <w:uiPriority w:val="0"/>
    <w:rPr>
      <w:rFonts w:eastAsia="黑体" w:cs="Times New Roman"/>
      <w:b/>
      <w:color w:val="000000"/>
      <w:kern w:val="44"/>
      <w:sz w:val="30"/>
    </w:rPr>
  </w:style>
  <w:style w:type="character" w:customStyle="1" w:styleId="104">
    <w:name w:val="标题 2 字符"/>
    <w:link w:val="4"/>
    <w:autoRedefine/>
    <w:qFormat/>
    <w:locked/>
    <w:uiPriority w:val="0"/>
    <w:rPr>
      <w:rFonts w:ascii="Arial" w:hAnsi="Arial" w:eastAsia="黑体" w:cs="Times New Roman"/>
      <w:b/>
      <w:kern w:val="2"/>
      <w:sz w:val="32"/>
    </w:rPr>
  </w:style>
  <w:style w:type="character" w:customStyle="1" w:styleId="105">
    <w:name w:val="标题 3 字符"/>
    <w:link w:val="5"/>
    <w:autoRedefine/>
    <w:qFormat/>
    <w:locked/>
    <w:uiPriority w:val="0"/>
    <w:rPr>
      <w:rFonts w:cs="Times New Roman"/>
      <w:b/>
      <w:kern w:val="2"/>
      <w:sz w:val="32"/>
    </w:rPr>
  </w:style>
  <w:style w:type="character" w:customStyle="1" w:styleId="106">
    <w:name w:val="标题 4 字符"/>
    <w:link w:val="6"/>
    <w:autoRedefine/>
    <w:qFormat/>
    <w:locked/>
    <w:uiPriority w:val="99"/>
    <w:rPr>
      <w:rFonts w:ascii="Cambria" w:hAnsi="Cambria" w:cs="Times New Roman"/>
      <w:b/>
      <w:kern w:val="2"/>
      <w:sz w:val="28"/>
    </w:rPr>
  </w:style>
  <w:style w:type="character" w:customStyle="1" w:styleId="107">
    <w:name w:val="标题 5 字符"/>
    <w:link w:val="7"/>
    <w:autoRedefine/>
    <w:qFormat/>
    <w:locked/>
    <w:uiPriority w:val="99"/>
    <w:rPr>
      <w:rFonts w:cs="Times New Roman"/>
      <w:b/>
      <w:kern w:val="2"/>
      <w:sz w:val="28"/>
    </w:rPr>
  </w:style>
  <w:style w:type="character" w:customStyle="1" w:styleId="108">
    <w:name w:val="标题 6 字符"/>
    <w:link w:val="10"/>
    <w:autoRedefine/>
    <w:qFormat/>
    <w:locked/>
    <w:uiPriority w:val="99"/>
    <w:rPr>
      <w:rFonts w:ascii="Arial" w:hAnsi="Arial" w:cs="Times New Roman"/>
      <w:b/>
      <w:kern w:val="2"/>
      <w:sz w:val="24"/>
    </w:rPr>
  </w:style>
  <w:style w:type="character" w:customStyle="1" w:styleId="109">
    <w:name w:val="标题 7 字符"/>
    <w:link w:val="11"/>
    <w:autoRedefine/>
    <w:qFormat/>
    <w:locked/>
    <w:uiPriority w:val="99"/>
    <w:rPr>
      <w:rFonts w:cs="Times New Roman"/>
      <w:b/>
      <w:kern w:val="2"/>
      <w:sz w:val="24"/>
    </w:rPr>
  </w:style>
  <w:style w:type="character" w:customStyle="1" w:styleId="110">
    <w:name w:val="标题 8 字符"/>
    <w:link w:val="12"/>
    <w:autoRedefine/>
    <w:qFormat/>
    <w:locked/>
    <w:uiPriority w:val="99"/>
    <w:rPr>
      <w:rFonts w:ascii="Arial" w:hAnsi="Arial" w:cs="Times New Roman"/>
      <w:sz w:val="24"/>
    </w:rPr>
  </w:style>
  <w:style w:type="character" w:customStyle="1" w:styleId="111">
    <w:name w:val="标题 9 字符"/>
    <w:link w:val="13"/>
    <w:autoRedefine/>
    <w:qFormat/>
    <w:locked/>
    <w:uiPriority w:val="99"/>
    <w:rPr>
      <w:rFonts w:ascii="Arial" w:hAnsi="Arial" w:cs="Times New Roman"/>
      <w:sz w:val="24"/>
    </w:rPr>
  </w:style>
  <w:style w:type="character" w:customStyle="1" w:styleId="112">
    <w:name w:val="正文文本缩进 字符"/>
    <w:link w:val="34"/>
    <w:autoRedefine/>
    <w:qFormat/>
    <w:locked/>
    <w:uiPriority w:val="99"/>
    <w:rPr>
      <w:rFonts w:ascii="Times New Roman" w:hAnsi="Times New Roman" w:eastAsia="宋体" w:cs="Times New Roman"/>
      <w:sz w:val="24"/>
    </w:rPr>
  </w:style>
  <w:style w:type="character" w:customStyle="1" w:styleId="113">
    <w:name w:val="正文文本首行缩进 2 字符"/>
    <w:link w:val="85"/>
    <w:autoRedefine/>
    <w:qFormat/>
    <w:locked/>
    <w:uiPriority w:val="99"/>
    <w:rPr>
      <w:rFonts w:ascii="Times New Roman" w:hAnsi="Times New Roman" w:eastAsia="宋体" w:cs="Times New Roman"/>
      <w:kern w:val="2"/>
      <w:sz w:val="24"/>
    </w:rPr>
  </w:style>
  <w:style w:type="character" w:customStyle="1" w:styleId="114">
    <w:name w:val="宏文本 字符"/>
    <w:link w:val="2"/>
    <w:autoRedefine/>
    <w:qFormat/>
    <w:locked/>
    <w:uiPriority w:val="99"/>
    <w:rPr>
      <w:rFonts w:ascii="宋体" w:eastAsia="宋体" w:cs="Times New Roman"/>
      <w:kern w:val="2"/>
      <w:sz w:val="24"/>
    </w:rPr>
  </w:style>
  <w:style w:type="character" w:customStyle="1" w:styleId="115">
    <w:name w:val="正文缩进 字符"/>
    <w:link w:val="8"/>
    <w:autoRedefine/>
    <w:qFormat/>
    <w:locked/>
    <w:uiPriority w:val="99"/>
    <w:rPr>
      <w:kern w:val="2"/>
      <w:sz w:val="24"/>
    </w:rPr>
  </w:style>
  <w:style w:type="character" w:customStyle="1" w:styleId="116">
    <w:name w:val="注释标题 字符"/>
    <w:link w:val="18"/>
    <w:autoRedefine/>
    <w:qFormat/>
    <w:locked/>
    <w:uiPriority w:val="99"/>
    <w:rPr>
      <w:rFonts w:ascii="Arial" w:hAnsi="Arial" w:cs="Times New Roman"/>
      <w:kern w:val="2"/>
      <w:sz w:val="28"/>
    </w:rPr>
  </w:style>
  <w:style w:type="character" w:customStyle="1" w:styleId="117">
    <w:name w:val="电子邮件签名 字符"/>
    <w:link w:val="20"/>
    <w:autoRedefine/>
    <w:qFormat/>
    <w:locked/>
    <w:uiPriority w:val="99"/>
    <w:rPr>
      <w:rFonts w:ascii="Arial" w:hAnsi="Arial" w:eastAsia="仿宋_GB2312" w:cs="Times New Roman"/>
      <w:kern w:val="2"/>
      <w:sz w:val="22"/>
    </w:rPr>
  </w:style>
  <w:style w:type="character" w:customStyle="1" w:styleId="118">
    <w:name w:val="题注 字符"/>
    <w:link w:val="22"/>
    <w:autoRedefine/>
    <w:qFormat/>
    <w:locked/>
    <w:uiPriority w:val="99"/>
    <w:rPr>
      <w:rFonts w:ascii="Arial" w:hAnsi="Arial" w:eastAsia="黑体"/>
      <w:kern w:val="2"/>
    </w:rPr>
  </w:style>
  <w:style w:type="character" w:customStyle="1" w:styleId="119">
    <w:name w:val="文档结构图 字符"/>
    <w:link w:val="25"/>
    <w:autoRedefine/>
    <w:qFormat/>
    <w:locked/>
    <w:uiPriority w:val="99"/>
    <w:rPr>
      <w:rFonts w:cs="Times New Roman"/>
      <w:kern w:val="2"/>
      <w:sz w:val="24"/>
      <w:shd w:val="clear" w:color="auto" w:fill="000080"/>
    </w:rPr>
  </w:style>
  <w:style w:type="character" w:customStyle="1" w:styleId="120">
    <w:name w:val="批注文字 字符"/>
    <w:link w:val="27"/>
    <w:autoRedefine/>
    <w:qFormat/>
    <w:locked/>
    <w:uiPriority w:val="99"/>
    <w:rPr>
      <w:rFonts w:ascii="Times New Roman" w:hAnsi="Times New Roman" w:eastAsia="宋体" w:cs="Times New Roman"/>
      <w:sz w:val="24"/>
    </w:rPr>
  </w:style>
  <w:style w:type="character" w:customStyle="1" w:styleId="121">
    <w:name w:val="称呼 字符"/>
    <w:link w:val="28"/>
    <w:autoRedefine/>
    <w:qFormat/>
    <w:locked/>
    <w:uiPriority w:val="99"/>
    <w:rPr>
      <w:rFonts w:cs="Times New Roman"/>
      <w:kern w:val="2"/>
      <w:sz w:val="24"/>
    </w:rPr>
  </w:style>
  <w:style w:type="character" w:customStyle="1" w:styleId="122">
    <w:name w:val="正文文本 3 字符"/>
    <w:link w:val="29"/>
    <w:autoRedefine/>
    <w:qFormat/>
    <w:locked/>
    <w:uiPriority w:val="99"/>
    <w:rPr>
      <w:rFonts w:ascii="宋体" w:eastAsia="宋体" w:cs="Times New Roman"/>
      <w:kern w:val="2"/>
      <w:sz w:val="24"/>
    </w:rPr>
  </w:style>
  <w:style w:type="character" w:customStyle="1" w:styleId="123">
    <w:name w:val="结束语 字符"/>
    <w:link w:val="30"/>
    <w:autoRedefine/>
    <w:qFormat/>
    <w:locked/>
    <w:uiPriority w:val="99"/>
    <w:rPr>
      <w:rFonts w:ascii="Arial" w:hAnsi="Arial" w:eastAsia="仿宋_GB2312" w:cs="Times New Roman"/>
      <w:kern w:val="2"/>
      <w:sz w:val="22"/>
    </w:rPr>
  </w:style>
  <w:style w:type="character" w:customStyle="1" w:styleId="124">
    <w:name w:val="正文文本 字符"/>
    <w:link w:val="32"/>
    <w:autoRedefine/>
    <w:qFormat/>
    <w:locked/>
    <w:uiPriority w:val="99"/>
    <w:rPr>
      <w:rFonts w:cs="Times New Roman"/>
      <w:sz w:val="18"/>
    </w:rPr>
  </w:style>
  <w:style w:type="character" w:customStyle="1" w:styleId="125">
    <w:name w:val="HTML 地址 字符"/>
    <w:link w:val="43"/>
    <w:autoRedefine/>
    <w:qFormat/>
    <w:locked/>
    <w:uiPriority w:val="99"/>
    <w:rPr>
      <w:rFonts w:ascii="Arial" w:hAnsi="Arial" w:eastAsia="仿宋_GB2312" w:cs="Times New Roman"/>
      <w:i/>
      <w:kern w:val="2"/>
      <w:sz w:val="22"/>
    </w:rPr>
  </w:style>
  <w:style w:type="character" w:customStyle="1" w:styleId="126">
    <w:name w:val="纯文本 字符"/>
    <w:link w:val="9"/>
    <w:autoRedefine/>
    <w:qFormat/>
    <w:locked/>
    <w:uiPriority w:val="99"/>
    <w:rPr>
      <w:rFonts w:ascii="宋体" w:hAnsi="Courier New" w:cs="Times New Roman"/>
      <w:kern w:val="2"/>
      <w:sz w:val="21"/>
    </w:rPr>
  </w:style>
  <w:style w:type="character" w:customStyle="1" w:styleId="127">
    <w:name w:val="日期 字符1"/>
    <w:link w:val="49"/>
    <w:autoRedefine/>
    <w:qFormat/>
    <w:locked/>
    <w:uiPriority w:val="99"/>
    <w:rPr>
      <w:rFonts w:ascii="Times New Roman" w:hAnsi="Times New Roman" w:eastAsia="宋体" w:cs="Times New Roman"/>
      <w:sz w:val="24"/>
    </w:rPr>
  </w:style>
  <w:style w:type="character" w:customStyle="1" w:styleId="128">
    <w:name w:val="正文文本缩进 2 字符"/>
    <w:link w:val="50"/>
    <w:autoRedefine/>
    <w:qFormat/>
    <w:locked/>
    <w:uiPriority w:val="99"/>
    <w:rPr>
      <w:rFonts w:cs="Times New Roman"/>
      <w:kern w:val="24"/>
      <w:sz w:val="28"/>
    </w:rPr>
  </w:style>
  <w:style w:type="character" w:customStyle="1" w:styleId="129">
    <w:name w:val="尾注文本 字符"/>
    <w:link w:val="51"/>
    <w:autoRedefine/>
    <w:qFormat/>
    <w:locked/>
    <w:uiPriority w:val="99"/>
    <w:rPr>
      <w:rFonts w:cs="Times New Roman"/>
      <w:kern w:val="2"/>
      <w:sz w:val="24"/>
    </w:rPr>
  </w:style>
  <w:style w:type="character" w:customStyle="1" w:styleId="130">
    <w:name w:val="批注框文本 字符"/>
    <w:link w:val="53"/>
    <w:autoRedefine/>
    <w:semiHidden/>
    <w:qFormat/>
    <w:locked/>
    <w:uiPriority w:val="99"/>
    <w:rPr>
      <w:rFonts w:ascii="Times New Roman" w:hAnsi="Times New Roman" w:eastAsia="宋体" w:cs="Times New Roman"/>
      <w:sz w:val="18"/>
    </w:rPr>
  </w:style>
  <w:style w:type="character" w:customStyle="1" w:styleId="131">
    <w:name w:val="页脚 字符1"/>
    <w:link w:val="54"/>
    <w:autoRedefine/>
    <w:qFormat/>
    <w:locked/>
    <w:uiPriority w:val="99"/>
    <w:rPr>
      <w:rFonts w:cs="Times New Roman"/>
      <w:sz w:val="18"/>
    </w:rPr>
  </w:style>
  <w:style w:type="character" w:customStyle="1" w:styleId="132">
    <w:name w:val="页眉 字符"/>
    <w:link w:val="56"/>
    <w:autoRedefine/>
    <w:qFormat/>
    <w:locked/>
    <w:uiPriority w:val="99"/>
    <w:rPr>
      <w:rFonts w:cs="Times New Roman"/>
      <w:sz w:val="18"/>
    </w:rPr>
  </w:style>
  <w:style w:type="character" w:customStyle="1" w:styleId="133">
    <w:name w:val="签名 字符"/>
    <w:link w:val="59"/>
    <w:autoRedefine/>
    <w:qFormat/>
    <w:locked/>
    <w:uiPriority w:val="99"/>
    <w:rPr>
      <w:rFonts w:ascii="Arial" w:hAnsi="Arial" w:eastAsia="仿宋_GB2312" w:cs="Times New Roman"/>
      <w:kern w:val="2"/>
      <w:sz w:val="22"/>
    </w:rPr>
  </w:style>
  <w:style w:type="character" w:customStyle="1" w:styleId="134">
    <w:name w:val="TOC 1 字符"/>
    <w:link w:val="60"/>
    <w:autoRedefine/>
    <w:qFormat/>
    <w:locked/>
    <w:uiPriority w:val="99"/>
    <w:rPr>
      <w:b/>
      <w:caps/>
      <w:kern w:val="2"/>
    </w:rPr>
  </w:style>
  <w:style w:type="character" w:customStyle="1" w:styleId="135">
    <w:name w:val="副标题 字符"/>
    <w:link w:val="65"/>
    <w:autoRedefine/>
    <w:qFormat/>
    <w:locked/>
    <w:uiPriority w:val="99"/>
    <w:rPr>
      <w:rFonts w:ascii="Arial" w:hAnsi="Arial" w:eastAsia="仿宋_GB2312" w:cs="Times New Roman"/>
      <w:b/>
      <w:kern w:val="28"/>
      <w:sz w:val="32"/>
    </w:rPr>
  </w:style>
  <w:style w:type="character" w:customStyle="1" w:styleId="136">
    <w:name w:val="脚注文本 字符"/>
    <w:link w:val="68"/>
    <w:autoRedefine/>
    <w:qFormat/>
    <w:locked/>
    <w:uiPriority w:val="99"/>
    <w:rPr>
      <w:rFonts w:ascii="宋体" w:cs="Times New Roman"/>
      <w:kern w:val="2"/>
      <w:sz w:val="18"/>
    </w:rPr>
  </w:style>
  <w:style w:type="character" w:customStyle="1" w:styleId="137">
    <w:name w:val="正文文本缩进 3 字符"/>
    <w:link w:val="71"/>
    <w:autoRedefine/>
    <w:qFormat/>
    <w:locked/>
    <w:uiPriority w:val="99"/>
    <w:rPr>
      <w:rFonts w:cs="Times New Roman"/>
      <w:kern w:val="2"/>
      <w:sz w:val="16"/>
    </w:rPr>
  </w:style>
  <w:style w:type="character" w:customStyle="1" w:styleId="138">
    <w:name w:val="正文文本 2 字符"/>
    <w:link w:val="75"/>
    <w:autoRedefine/>
    <w:qFormat/>
    <w:locked/>
    <w:uiPriority w:val="99"/>
    <w:rPr>
      <w:rFonts w:eastAsia="仿宋_GB2312" w:cs="Times New Roman"/>
      <w:kern w:val="2"/>
      <w:sz w:val="24"/>
    </w:rPr>
  </w:style>
  <w:style w:type="character" w:customStyle="1" w:styleId="139">
    <w:name w:val="信息标题 字符"/>
    <w:link w:val="78"/>
    <w:autoRedefine/>
    <w:qFormat/>
    <w:locked/>
    <w:uiPriority w:val="99"/>
    <w:rPr>
      <w:rFonts w:ascii="宋体" w:eastAsia="宋体" w:cs="Times New Roman"/>
      <w:kern w:val="2"/>
      <w:sz w:val="21"/>
      <w:shd w:val="pct20" w:color="auto" w:fill="auto"/>
    </w:rPr>
  </w:style>
  <w:style w:type="character" w:customStyle="1" w:styleId="140">
    <w:name w:val="HTML 预设格式 字符"/>
    <w:link w:val="79"/>
    <w:autoRedefine/>
    <w:qFormat/>
    <w:locked/>
    <w:uiPriority w:val="99"/>
    <w:rPr>
      <w:rFonts w:ascii="Courier New" w:hAnsi="Courier New" w:cs="Times New Roman"/>
      <w:kern w:val="2"/>
    </w:rPr>
  </w:style>
  <w:style w:type="character" w:customStyle="1" w:styleId="141">
    <w:name w:val="普通(网站) 字符"/>
    <w:link w:val="80"/>
    <w:autoRedefine/>
    <w:qFormat/>
    <w:locked/>
    <w:uiPriority w:val="99"/>
    <w:rPr>
      <w:rFonts w:ascii="宋体" w:hAnsi="宋体" w:eastAsia="宋体"/>
      <w:sz w:val="24"/>
    </w:rPr>
  </w:style>
  <w:style w:type="character" w:customStyle="1" w:styleId="142">
    <w:name w:val="标题 字符"/>
    <w:link w:val="82"/>
    <w:autoRedefine/>
    <w:qFormat/>
    <w:locked/>
    <w:uiPriority w:val="99"/>
    <w:rPr>
      <w:rFonts w:ascii="Cambria" w:hAnsi="Cambria" w:cs="Times New Roman"/>
      <w:b/>
      <w:kern w:val="2"/>
      <w:sz w:val="32"/>
    </w:rPr>
  </w:style>
  <w:style w:type="character" w:customStyle="1" w:styleId="143">
    <w:name w:val="批注主题 字符"/>
    <w:link w:val="83"/>
    <w:autoRedefine/>
    <w:semiHidden/>
    <w:qFormat/>
    <w:locked/>
    <w:uiPriority w:val="99"/>
    <w:rPr>
      <w:rFonts w:ascii="Times New Roman" w:hAnsi="Times New Roman" w:eastAsia="宋体" w:cs="Times New Roman"/>
      <w:b/>
      <w:kern w:val="2"/>
      <w:sz w:val="24"/>
    </w:rPr>
  </w:style>
  <w:style w:type="character" w:customStyle="1" w:styleId="144">
    <w:name w:val="正文文本首行缩进 字符"/>
    <w:link w:val="84"/>
    <w:autoRedefine/>
    <w:qFormat/>
    <w:locked/>
    <w:uiPriority w:val="99"/>
    <w:rPr>
      <w:rFonts w:cs="Times New Roman"/>
      <w:kern w:val="2"/>
      <w:sz w:val="24"/>
    </w:rPr>
  </w:style>
  <w:style w:type="character" w:customStyle="1" w:styleId="145">
    <w:name w:val="内容"/>
    <w:autoRedefine/>
    <w:qFormat/>
    <w:uiPriority w:val="99"/>
  </w:style>
  <w:style w:type="character" w:customStyle="1" w:styleId="146">
    <w:name w:val="页脚 字符"/>
    <w:autoRedefine/>
    <w:qFormat/>
    <w:uiPriority w:val="99"/>
  </w:style>
  <w:style w:type="character" w:customStyle="1" w:styleId="147">
    <w:name w:val="样式2 Char"/>
    <w:link w:val="148"/>
    <w:autoRedefine/>
    <w:qFormat/>
    <w:locked/>
    <w:uiPriority w:val="99"/>
    <w:rPr>
      <w:rFonts w:ascii="宋体"/>
      <w:b/>
      <w:kern w:val="2"/>
      <w:sz w:val="28"/>
    </w:rPr>
  </w:style>
  <w:style w:type="paragraph" w:customStyle="1" w:styleId="148">
    <w:name w:val="样式2"/>
    <w:basedOn w:val="1"/>
    <w:link w:val="147"/>
    <w:autoRedefine/>
    <w:qFormat/>
    <w:uiPriority w:val="99"/>
    <w:pPr>
      <w:widowControl/>
      <w:spacing w:line="360" w:lineRule="auto"/>
      <w:jc w:val="center"/>
    </w:pPr>
    <w:rPr>
      <w:rFonts w:ascii="宋体"/>
      <w:b/>
      <w:sz w:val="28"/>
      <w:szCs w:val="20"/>
    </w:rPr>
  </w:style>
  <w:style w:type="character" w:customStyle="1" w:styleId="149">
    <w:name w:val="标题 3 Char Char"/>
    <w:autoRedefine/>
    <w:qFormat/>
    <w:uiPriority w:val="99"/>
    <w:rPr>
      <w:rFonts w:ascii="宋体" w:hAnsi="宋体" w:eastAsia="宋体"/>
      <w:b/>
      <w:color w:val="000000"/>
      <w:kern w:val="2"/>
      <w:sz w:val="24"/>
      <w:lang w:val="zh-CN" w:eastAsia="zh-CN"/>
    </w:rPr>
  </w:style>
  <w:style w:type="character" w:customStyle="1" w:styleId="150">
    <w:name w:val="参加人员 Char Char"/>
    <w:link w:val="151"/>
    <w:autoRedefine/>
    <w:qFormat/>
    <w:locked/>
    <w:uiPriority w:val="99"/>
    <w:rPr>
      <w:sz w:val="24"/>
    </w:rPr>
  </w:style>
  <w:style w:type="paragraph" w:customStyle="1" w:styleId="151">
    <w:name w:val="参加人员"/>
    <w:basedOn w:val="1"/>
    <w:link w:val="150"/>
    <w:autoRedefine/>
    <w:qFormat/>
    <w:uiPriority w:val="99"/>
    <w:pPr>
      <w:spacing w:line="360" w:lineRule="auto"/>
    </w:pPr>
    <w:rPr>
      <w:kern w:val="0"/>
      <w:sz w:val="24"/>
      <w:szCs w:val="20"/>
    </w:rPr>
  </w:style>
  <w:style w:type="character" w:customStyle="1" w:styleId="152">
    <w:name w:val="正文王 Char Char"/>
    <w:link w:val="153"/>
    <w:autoRedefine/>
    <w:semiHidden/>
    <w:qFormat/>
    <w:locked/>
    <w:uiPriority w:val="99"/>
    <w:rPr>
      <w:color w:val="000000"/>
      <w:sz w:val="21"/>
    </w:rPr>
  </w:style>
  <w:style w:type="paragraph" w:customStyle="1" w:styleId="153">
    <w:name w:val="正文王"/>
    <w:basedOn w:val="1"/>
    <w:link w:val="152"/>
    <w:autoRedefine/>
    <w:semiHidden/>
    <w:qFormat/>
    <w:uiPriority w:val="99"/>
    <w:pPr>
      <w:adjustRightInd w:val="0"/>
      <w:snapToGrid w:val="0"/>
      <w:spacing w:line="320" w:lineRule="exact"/>
      <w:jc w:val="center"/>
    </w:pPr>
    <w:rPr>
      <w:color w:val="000000"/>
      <w:kern w:val="0"/>
      <w:szCs w:val="20"/>
    </w:rPr>
  </w:style>
  <w:style w:type="character" w:customStyle="1" w:styleId="154">
    <w:name w:val="style11"/>
    <w:autoRedefine/>
    <w:qFormat/>
    <w:uiPriority w:val="99"/>
    <w:rPr>
      <w:rFonts w:ascii="宋体" w:hAnsi="宋体" w:eastAsia="宋体"/>
      <w:color w:val="000000"/>
      <w:kern w:val="2"/>
      <w:sz w:val="24"/>
      <w:lang w:val="en-US" w:eastAsia="zh-CN"/>
    </w:rPr>
  </w:style>
  <w:style w:type="character" w:customStyle="1" w:styleId="155">
    <w:name w:val="title6"/>
    <w:autoRedefine/>
    <w:qFormat/>
    <w:uiPriority w:val="99"/>
    <w:rPr>
      <w:rFonts w:ascii="宋体" w:hAnsi="宋体" w:eastAsia="宋体"/>
      <w:kern w:val="2"/>
      <w:sz w:val="24"/>
      <w:lang w:val="en-US" w:eastAsia="zh-CN"/>
    </w:rPr>
  </w:style>
  <w:style w:type="character" w:customStyle="1" w:styleId="156">
    <w:name w:val="f12h201"/>
    <w:autoRedefine/>
    <w:qFormat/>
    <w:uiPriority w:val="99"/>
    <w:rPr>
      <w:rFonts w:ascii="宋体" w:hAnsi="宋体" w:eastAsia="宋体"/>
      <w:kern w:val="2"/>
      <w:sz w:val="18"/>
      <w:lang w:val="en-US" w:eastAsia="zh-CN"/>
    </w:rPr>
  </w:style>
  <w:style w:type="character" w:customStyle="1" w:styleId="157">
    <w:name w:val="apple-converted-space"/>
    <w:autoRedefine/>
    <w:qFormat/>
    <w:uiPriority w:val="99"/>
  </w:style>
  <w:style w:type="character" w:customStyle="1" w:styleId="158">
    <w:name w:val="表头 Char Char"/>
    <w:link w:val="159"/>
    <w:autoRedefine/>
    <w:qFormat/>
    <w:locked/>
    <w:uiPriority w:val="99"/>
    <w:rPr>
      <w:rFonts w:eastAsia="黑体"/>
      <w:spacing w:val="-10"/>
      <w:sz w:val="21"/>
    </w:rPr>
  </w:style>
  <w:style w:type="paragraph" w:customStyle="1" w:styleId="159">
    <w:name w:val="表头"/>
    <w:basedOn w:val="1"/>
    <w:link w:val="158"/>
    <w:autoRedefine/>
    <w:qFormat/>
    <w:uiPriority w:val="99"/>
    <w:pPr>
      <w:adjustRightInd w:val="0"/>
      <w:snapToGrid w:val="0"/>
      <w:spacing w:line="320" w:lineRule="atLeast"/>
      <w:jc w:val="center"/>
      <w:textAlignment w:val="baseline"/>
    </w:pPr>
    <w:rPr>
      <w:rFonts w:eastAsia="黑体"/>
      <w:spacing w:val="-10"/>
      <w:kern w:val="0"/>
      <w:szCs w:val="20"/>
    </w:rPr>
  </w:style>
  <w:style w:type="character" w:customStyle="1" w:styleId="160">
    <w:name w:val="btd1"/>
    <w:autoRedefine/>
    <w:qFormat/>
    <w:uiPriority w:val="99"/>
    <w:rPr>
      <w:rFonts w:ascii="宋体" w:hAnsi="宋体" w:eastAsia="宋体"/>
      <w:b/>
      <w:kern w:val="2"/>
      <w:sz w:val="24"/>
      <w:lang w:val="en-US" w:eastAsia="zh-CN"/>
    </w:rPr>
  </w:style>
  <w:style w:type="character" w:customStyle="1" w:styleId="161">
    <w:name w:val="表格格式 Char"/>
    <w:link w:val="162"/>
    <w:autoRedefine/>
    <w:qFormat/>
    <w:locked/>
    <w:uiPriority w:val="99"/>
    <w:rPr>
      <w:rFonts w:ascii="宋体" w:eastAsia="宋体"/>
      <w:color w:val="000000"/>
      <w:sz w:val="21"/>
    </w:rPr>
  </w:style>
  <w:style w:type="paragraph" w:customStyle="1" w:styleId="162">
    <w:name w:val="表格格式"/>
    <w:basedOn w:val="1"/>
    <w:link w:val="161"/>
    <w:autoRedefine/>
    <w:qFormat/>
    <w:uiPriority w:val="99"/>
    <w:pPr>
      <w:snapToGrid w:val="0"/>
      <w:jc w:val="center"/>
    </w:pPr>
    <w:rPr>
      <w:rFonts w:ascii="宋体"/>
      <w:color w:val="000000"/>
      <w:kern w:val="0"/>
      <w:szCs w:val="20"/>
    </w:rPr>
  </w:style>
  <w:style w:type="character" w:customStyle="1" w:styleId="163">
    <w:name w:val="样式68 Char Char"/>
    <w:link w:val="164"/>
    <w:autoRedefine/>
    <w:qFormat/>
    <w:locked/>
    <w:uiPriority w:val="99"/>
    <w:rPr>
      <w:rFonts w:ascii="宋体" w:eastAsia="宋体"/>
      <w:color w:val="000000"/>
      <w:spacing w:val="-2"/>
      <w:sz w:val="28"/>
    </w:rPr>
  </w:style>
  <w:style w:type="paragraph" w:customStyle="1" w:styleId="164">
    <w:name w:val="样式68"/>
    <w:basedOn w:val="1"/>
    <w:link w:val="163"/>
    <w:autoRedefine/>
    <w:qFormat/>
    <w:uiPriority w:val="99"/>
    <w:pPr>
      <w:ind w:firstLine="552" w:firstLineChars="200"/>
    </w:pPr>
    <w:rPr>
      <w:rFonts w:ascii="宋体"/>
      <w:color w:val="000000"/>
      <w:spacing w:val="-2"/>
      <w:kern w:val="0"/>
      <w:sz w:val="28"/>
      <w:szCs w:val="20"/>
    </w:rPr>
  </w:style>
  <w:style w:type="character" w:customStyle="1" w:styleId="165">
    <w:name w:val="正文3 Char1"/>
    <w:link w:val="166"/>
    <w:autoRedefine/>
    <w:qFormat/>
    <w:locked/>
    <w:uiPriority w:val="99"/>
    <w:rPr>
      <w:sz w:val="24"/>
    </w:rPr>
  </w:style>
  <w:style w:type="paragraph" w:customStyle="1" w:styleId="166">
    <w:name w:val="正文3"/>
    <w:basedOn w:val="1"/>
    <w:link w:val="165"/>
    <w:autoRedefine/>
    <w:qFormat/>
    <w:uiPriority w:val="99"/>
    <w:pPr>
      <w:adjustRightInd w:val="0"/>
      <w:spacing w:line="360" w:lineRule="auto"/>
      <w:ind w:firstLine="624"/>
      <w:textAlignment w:val="baseline"/>
    </w:pPr>
    <w:rPr>
      <w:kern w:val="0"/>
      <w:sz w:val="24"/>
      <w:szCs w:val="20"/>
    </w:rPr>
  </w:style>
  <w:style w:type="character" w:customStyle="1" w:styleId="167">
    <w:name w:val="样式 样式 正文 行距: 固定值 25 磅 + 首行缩进:  2 字符1 Char"/>
    <w:link w:val="168"/>
    <w:autoRedefine/>
    <w:qFormat/>
    <w:locked/>
    <w:uiPriority w:val="99"/>
    <w:rPr>
      <w:kern w:val="2"/>
      <w:sz w:val="24"/>
    </w:rPr>
  </w:style>
  <w:style w:type="paragraph" w:customStyle="1" w:styleId="168">
    <w:name w:val="样式 样式 正文 行距: 固定值 25 磅 + 首行缩进:  2 字符1"/>
    <w:basedOn w:val="169"/>
    <w:link w:val="167"/>
    <w:autoRedefine/>
    <w:qFormat/>
    <w:uiPriority w:val="99"/>
    <w:pPr>
      <w:ind w:firstLine="480"/>
    </w:pPr>
  </w:style>
  <w:style w:type="paragraph" w:customStyle="1" w:styleId="169">
    <w:name w:val="样式 正文 行距: 固定值 25 磅"/>
    <w:basedOn w:val="1"/>
    <w:link w:val="170"/>
    <w:autoRedefine/>
    <w:semiHidden/>
    <w:qFormat/>
    <w:uiPriority w:val="99"/>
    <w:pPr>
      <w:adjustRightInd w:val="0"/>
      <w:spacing w:line="500" w:lineRule="exact"/>
      <w:ind w:firstLine="200" w:firstLineChars="200"/>
    </w:pPr>
    <w:rPr>
      <w:sz w:val="24"/>
      <w:szCs w:val="20"/>
    </w:rPr>
  </w:style>
  <w:style w:type="character" w:customStyle="1" w:styleId="170">
    <w:name w:val="样式 正文 行距: 固定值 25 磅 Char"/>
    <w:link w:val="169"/>
    <w:autoRedefine/>
    <w:semiHidden/>
    <w:qFormat/>
    <w:locked/>
    <w:uiPriority w:val="99"/>
    <w:rPr>
      <w:kern w:val="2"/>
      <w:sz w:val="24"/>
    </w:rPr>
  </w:style>
  <w:style w:type="character" w:customStyle="1" w:styleId="171">
    <w:name w:val="表头 Char Char Char"/>
    <w:autoRedefine/>
    <w:qFormat/>
    <w:uiPriority w:val="99"/>
    <w:rPr>
      <w:rFonts w:ascii="宋体" w:hAnsi="宋体" w:eastAsia="宋体"/>
      <w:b/>
      <w:spacing w:val="-10"/>
      <w:sz w:val="24"/>
      <w:lang w:val="en-US" w:eastAsia="zh-CN"/>
    </w:rPr>
  </w:style>
  <w:style w:type="character" w:customStyle="1" w:styleId="172">
    <w:name w:val="Char Char13"/>
    <w:autoRedefine/>
    <w:qFormat/>
    <w:uiPriority w:val="99"/>
    <w:rPr>
      <w:rFonts w:eastAsia="宋体"/>
      <w:kern w:val="2"/>
      <w:sz w:val="18"/>
      <w:lang w:val="en-US" w:eastAsia="zh-CN"/>
    </w:rPr>
  </w:style>
  <w:style w:type="character" w:customStyle="1" w:styleId="173">
    <w:name w:val="表格标题博泵 Char Char"/>
    <w:link w:val="174"/>
    <w:autoRedefine/>
    <w:qFormat/>
    <w:locked/>
    <w:uiPriority w:val="99"/>
    <w:rPr>
      <w:b/>
      <w:color w:val="000000"/>
    </w:rPr>
  </w:style>
  <w:style w:type="paragraph" w:customStyle="1" w:styleId="174">
    <w:name w:val="表格标题博泵"/>
    <w:basedOn w:val="1"/>
    <w:link w:val="173"/>
    <w:autoRedefine/>
    <w:qFormat/>
    <w:uiPriority w:val="99"/>
    <w:pPr>
      <w:adjustRightInd w:val="0"/>
      <w:snapToGrid w:val="0"/>
      <w:jc w:val="center"/>
      <w:textAlignment w:val="baseline"/>
    </w:pPr>
    <w:rPr>
      <w:b/>
      <w:color w:val="000000"/>
      <w:kern w:val="0"/>
      <w:sz w:val="20"/>
      <w:szCs w:val="20"/>
    </w:rPr>
  </w:style>
  <w:style w:type="character" w:customStyle="1" w:styleId="175">
    <w:name w:val="al11"/>
    <w:autoRedefine/>
    <w:qFormat/>
    <w:uiPriority w:val="99"/>
    <w:rPr>
      <w:color w:val="333333"/>
      <w:sz w:val="18"/>
    </w:rPr>
  </w:style>
  <w:style w:type="character" w:customStyle="1" w:styleId="176">
    <w:name w:val="表格内文字 Char"/>
    <w:link w:val="177"/>
    <w:autoRedefine/>
    <w:qFormat/>
    <w:locked/>
    <w:uiPriority w:val="99"/>
    <w:rPr>
      <w:rFonts w:eastAsia="仿宋_GB2312"/>
      <w:kern w:val="2"/>
      <w:sz w:val="24"/>
    </w:rPr>
  </w:style>
  <w:style w:type="paragraph" w:customStyle="1" w:styleId="177">
    <w:name w:val="表格内文字"/>
    <w:basedOn w:val="1"/>
    <w:link w:val="176"/>
    <w:autoRedefine/>
    <w:qFormat/>
    <w:uiPriority w:val="99"/>
    <w:pPr>
      <w:tabs>
        <w:tab w:val="left" w:pos="0"/>
      </w:tabs>
      <w:adjustRightInd w:val="0"/>
      <w:snapToGrid w:val="0"/>
      <w:jc w:val="center"/>
    </w:pPr>
    <w:rPr>
      <w:rFonts w:eastAsia="仿宋_GB2312"/>
      <w:sz w:val="24"/>
      <w:szCs w:val="20"/>
    </w:rPr>
  </w:style>
  <w:style w:type="character" w:customStyle="1" w:styleId="178">
    <w:name w:val="Char Char9"/>
    <w:autoRedefine/>
    <w:qFormat/>
    <w:uiPriority w:val="99"/>
    <w:rPr>
      <w:rFonts w:ascii="Cambria" w:hAnsi="Cambria" w:eastAsia="宋体"/>
      <w:b/>
      <w:kern w:val="2"/>
      <w:sz w:val="28"/>
      <w:lang w:val="en-US" w:eastAsia="en-US"/>
    </w:rPr>
  </w:style>
  <w:style w:type="character" w:customStyle="1" w:styleId="179">
    <w:name w:val="px141"/>
    <w:autoRedefine/>
    <w:qFormat/>
    <w:uiPriority w:val="99"/>
    <w:rPr>
      <w:sz w:val="21"/>
    </w:rPr>
  </w:style>
  <w:style w:type="character" w:customStyle="1" w:styleId="180">
    <w:name w:val="hz"/>
    <w:autoRedefine/>
    <w:qFormat/>
    <w:uiPriority w:val="99"/>
  </w:style>
  <w:style w:type="character" w:customStyle="1" w:styleId="181">
    <w:name w:val="scs62"/>
    <w:autoRedefine/>
    <w:qFormat/>
    <w:uiPriority w:val="99"/>
  </w:style>
  <w:style w:type="character" w:customStyle="1" w:styleId="182">
    <w:name w:val="样式75 Char Char"/>
    <w:link w:val="183"/>
    <w:autoRedefine/>
    <w:qFormat/>
    <w:locked/>
    <w:uiPriority w:val="99"/>
    <w:rPr>
      <w:rFonts w:ascii="黑体" w:hAnsi="宋体" w:eastAsia="黑体"/>
      <w:color w:val="000000"/>
      <w:sz w:val="28"/>
    </w:rPr>
  </w:style>
  <w:style w:type="paragraph" w:customStyle="1" w:styleId="183">
    <w:name w:val="样式75"/>
    <w:basedOn w:val="1"/>
    <w:link w:val="182"/>
    <w:autoRedefine/>
    <w:qFormat/>
    <w:uiPriority w:val="99"/>
    <w:pPr>
      <w:spacing w:beforeLines="150" w:line="360" w:lineRule="auto"/>
    </w:pPr>
    <w:rPr>
      <w:rFonts w:ascii="黑体" w:hAnsi="宋体" w:eastAsia="黑体"/>
      <w:color w:val="000000"/>
      <w:kern w:val="0"/>
      <w:sz w:val="28"/>
      <w:szCs w:val="20"/>
    </w:rPr>
  </w:style>
  <w:style w:type="character" w:customStyle="1" w:styleId="184">
    <w:name w:val="标题1.1.1.1.1 Char1"/>
    <w:autoRedefine/>
    <w:qFormat/>
    <w:uiPriority w:val="99"/>
    <w:rPr>
      <w:rFonts w:eastAsia="宋体"/>
      <w:b/>
      <w:sz w:val="28"/>
    </w:rPr>
  </w:style>
  <w:style w:type="character" w:customStyle="1" w:styleId="185">
    <w:name w:val="图名 Char"/>
    <w:link w:val="186"/>
    <w:autoRedefine/>
    <w:qFormat/>
    <w:locked/>
    <w:uiPriority w:val="99"/>
    <w:rPr>
      <w:rFonts w:ascii="宋体" w:eastAsia="黑体"/>
      <w:sz w:val="24"/>
      <w:lang w:eastAsia="en-US"/>
    </w:rPr>
  </w:style>
  <w:style w:type="paragraph" w:customStyle="1" w:styleId="186">
    <w:name w:val="图名"/>
    <w:basedOn w:val="1"/>
    <w:link w:val="185"/>
    <w:autoRedefine/>
    <w:qFormat/>
    <w:uiPriority w:val="99"/>
    <w:pPr>
      <w:widowControl/>
      <w:adjustRightInd w:val="0"/>
      <w:snapToGrid w:val="0"/>
      <w:spacing w:line="360" w:lineRule="auto"/>
      <w:jc w:val="center"/>
      <w:textAlignment w:val="baseline"/>
    </w:pPr>
    <w:rPr>
      <w:rFonts w:ascii="宋体" w:eastAsia="黑体"/>
      <w:kern w:val="0"/>
      <w:sz w:val="24"/>
      <w:szCs w:val="20"/>
      <w:lang w:eastAsia="en-US"/>
    </w:rPr>
  </w:style>
  <w:style w:type="character" w:customStyle="1" w:styleId="187">
    <w:name w:val="word131"/>
    <w:autoRedefine/>
    <w:qFormat/>
    <w:uiPriority w:val="99"/>
    <w:rPr>
      <w:rFonts w:ascii="??" w:hAnsi="??"/>
      <w:color w:val="000000"/>
      <w:sz w:val="20"/>
      <w:u w:val="none"/>
    </w:rPr>
  </w:style>
  <w:style w:type="character" w:customStyle="1" w:styleId="188">
    <w:name w:val="样式4 Char Char"/>
    <w:link w:val="189"/>
    <w:autoRedefine/>
    <w:qFormat/>
    <w:locked/>
    <w:uiPriority w:val="99"/>
    <w:rPr>
      <w:rFonts w:eastAsia="黑体"/>
      <w:b/>
      <w:kern w:val="2"/>
      <w:sz w:val="28"/>
    </w:rPr>
  </w:style>
  <w:style w:type="paragraph" w:customStyle="1" w:styleId="189">
    <w:name w:val="样式4"/>
    <w:basedOn w:val="190"/>
    <w:link w:val="188"/>
    <w:autoRedefine/>
    <w:qFormat/>
    <w:uiPriority w:val="99"/>
    <w:rPr>
      <w:rFonts w:cs="Times New Roman"/>
      <w:bCs w:val="0"/>
    </w:rPr>
  </w:style>
  <w:style w:type="paragraph" w:customStyle="1" w:styleId="190">
    <w:name w:val="样式 标题 2H2节标题 1.1节标题 1.1 Char1.1标题2条标题h2l22nd levelTitre..."/>
    <w:basedOn w:val="4"/>
    <w:autoRedefine/>
    <w:qFormat/>
    <w:uiPriority w:val="99"/>
    <w:pPr>
      <w:snapToGrid w:val="0"/>
      <w:spacing w:beforeLines="100" w:after="0" w:line="240" w:lineRule="auto"/>
      <w:ind w:left="1134" w:hanging="992"/>
    </w:pPr>
    <w:rPr>
      <w:rFonts w:ascii="Times New Roman" w:hAnsi="Times New Roman" w:cs="宋体"/>
      <w:sz w:val="28"/>
      <w:szCs w:val="20"/>
    </w:rPr>
  </w:style>
  <w:style w:type="character" w:customStyle="1" w:styleId="191">
    <w:name w:val="main-11"/>
    <w:autoRedefine/>
    <w:qFormat/>
    <w:uiPriority w:val="99"/>
  </w:style>
  <w:style w:type="character" w:customStyle="1" w:styleId="192">
    <w:name w:val="description"/>
    <w:autoRedefine/>
    <w:qFormat/>
    <w:uiPriority w:val="99"/>
  </w:style>
  <w:style w:type="character" w:customStyle="1" w:styleId="193">
    <w:name w:val="zw1"/>
    <w:autoRedefine/>
    <w:qFormat/>
    <w:uiPriority w:val="99"/>
    <w:rPr>
      <w:rFonts w:ascii="宋体" w:hAnsi="宋体" w:eastAsia="宋体"/>
      <w:sz w:val="22"/>
    </w:rPr>
  </w:style>
  <w:style w:type="character" w:customStyle="1" w:styleId="194">
    <w:name w:val="正文5号 Char2"/>
    <w:autoRedefine/>
    <w:qFormat/>
    <w:uiPriority w:val="99"/>
    <w:rPr>
      <w:rFonts w:ascii="宋体" w:hAnsi="宋体" w:eastAsia="宋体"/>
      <w:kern w:val="2"/>
      <w:sz w:val="24"/>
      <w:lang w:val="en-US" w:eastAsia="zh-CN"/>
    </w:rPr>
  </w:style>
  <w:style w:type="character" w:customStyle="1" w:styleId="195">
    <w:name w:val="表内容1 Char"/>
    <w:link w:val="196"/>
    <w:autoRedefine/>
    <w:qFormat/>
    <w:locked/>
    <w:uiPriority w:val="99"/>
    <w:rPr>
      <w:rFonts w:ascii="楷体_GB2312" w:hAnsi="楷体_GB2312" w:eastAsia="仿宋_GB2312"/>
      <w:sz w:val="24"/>
    </w:rPr>
  </w:style>
  <w:style w:type="paragraph" w:customStyle="1" w:styleId="196">
    <w:name w:val="表内容1"/>
    <w:basedOn w:val="1"/>
    <w:link w:val="195"/>
    <w:autoRedefine/>
    <w:qFormat/>
    <w:uiPriority w:val="99"/>
    <w:pPr>
      <w:snapToGrid w:val="0"/>
      <w:jc w:val="center"/>
    </w:pPr>
    <w:rPr>
      <w:rFonts w:ascii="楷体_GB2312" w:hAnsi="楷体_GB2312" w:eastAsia="仿宋_GB2312"/>
      <w:kern w:val="0"/>
      <w:sz w:val="24"/>
      <w:szCs w:val="20"/>
    </w:rPr>
  </w:style>
  <w:style w:type="character" w:customStyle="1" w:styleId="197">
    <w:name w:val="Char Char31"/>
    <w:autoRedefine/>
    <w:qFormat/>
    <w:uiPriority w:val="99"/>
    <w:rPr>
      <w:sz w:val="24"/>
    </w:rPr>
  </w:style>
  <w:style w:type="character" w:customStyle="1" w:styleId="198">
    <w:name w:val="表格 Char"/>
    <w:link w:val="199"/>
    <w:autoRedefine/>
    <w:qFormat/>
    <w:locked/>
    <w:uiPriority w:val="99"/>
    <w:rPr>
      <w:rFonts w:ascii="宋体"/>
      <w:sz w:val="21"/>
    </w:rPr>
  </w:style>
  <w:style w:type="paragraph" w:customStyle="1" w:styleId="199">
    <w:name w:val="表格"/>
    <w:basedOn w:val="200"/>
    <w:next w:val="1"/>
    <w:link w:val="198"/>
    <w:autoRedefine/>
    <w:qFormat/>
    <w:uiPriority w:val="99"/>
    <w:pPr>
      <w:adjustRightInd w:val="0"/>
      <w:snapToGrid w:val="0"/>
      <w:spacing w:beforeLines="10" w:afterLines="10" w:line="259" w:lineRule="auto"/>
    </w:pPr>
    <w:rPr>
      <w:rFonts w:ascii="宋体"/>
      <w:kern w:val="0"/>
    </w:rPr>
  </w:style>
  <w:style w:type="paragraph" w:customStyle="1" w:styleId="200">
    <w:name w:val="表格使用文字"/>
    <w:basedOn w:val="1"/>
    <w:link w:val="444"/>
    <w:autoRedefine/>
    <w:qFormat/>
    <w:uiPriority w:val="99"/>
    <w:pPr>
      <w:jc w:val="center"/>
    </w:pPr>
    <w:rPr>
      <w:color w:val="000000"/>
      <w:szCs w:val="20"/>
    </w:rPr>
  </w:style>
  <w:style w:type="character" w:customStyle="1" w:styleId="201">
    <w:name w:val="Char Char8"/>
    <w:autoRedefine/>
    <w:semiHidden/>
    <w:qFormat/>
    <w:uiPriority w:val="99"/>
    <w:rPr>
      <w:rFonts w:ascii="宋体" w:hAnsi="宋体" w:eastAsia="宋体"/>
      <w:kern w:val="2"/>
      <w:sz w:val="18"/>
      <w:lang w:val="en-US" w:eastAsia="zh-CN"/>
    </w:rPr>
  </w:style>
  <w:style w:type="character" w:customStyle="1" w:styleId="202">
    <w:name w:val="haogao1"/>
    <w:autoRedefine/>
    <w:qFormat/>
    <w:uiPriority w:val="99"/>
  </w:style>
  <w:style w:type="character" w:customStyle="1" w:styleId="203">
    <w:name w:val="Plain Text Char1 Char"/>
    <w:autoRedefine/>
    <w:qFormat/>
    <w:uiPriority w:val="99"/>
    <w:rPr>
      <w:rFonts w:ascii="宋体" w:hAnsi="Courier New"/>
      <w:kern w:val="2"/>
      <w:sz w:val="21"/>
    </w:rPr>
  </w:style>
  <w:style w:type="character" w:customStyle="1" w:styleId="204">
    <w:name w:val="sppkvsc"/>
    <w:autoRedefine/>
    <w:qFormat/>
    <w:uiPriority w:val="99"/>
  </w:style>
  <w:style w:type="character" w:customStyle="1" w:styleId="205">
    <w:name w:val="样式20 Char Char"/>
    <w:link w:val="206"/>
    <w:autoRedefine/>
    <w:qFormat/>
    <w:locked/>
    <w:uiPriority w:val="99"/>
    <w:rPr>
      <w:rFonts w:ascii="楷体_GB2312" w:hAnsi="楷体_GB2312" w:eastAsia="楷体_GB2312"/>
      <w:b/>
      <w:color w:val="000000"/>
      <w:sz w:val="32"/>
    </w:rPr>
  </w:style>
  <w:style w:type="paragraph" w:customStyle="1" w:styleId="206">
    <w:name w:val="样式20"/>
    <w:basedOn w:val="4"/>
    <w:link w:val="205"/>
    <w:autoRedefine/>
    <w:qFormat/>
    <w:uiPriority w:val="99"/>
    <w:pPr>
      <w:tabs>
        <w:tab w:val="left" w:pos="840"/>
      </w:tabs>
      <w:snapToGrid w:val="0"/>
      <w:spacing w:before="0" w:after="0" w:line="360" w:lineRule="auto"/>
      <w:ind w:left="840"/>
      <w:jc w:val="center"/>
    </w:pPr>
    <w:rPr>
      <w:rFonts w:ascii="楷体_GB2312" w:hAnsi="楷体_GB2312" w:eastAsia="楷体_GB2312"/>
      <w:bCs w:val="0"/>
      <w:color w:val="000000"/>
      <w:kern w:val="0"/>
      <w:szCs w:val="20"/>
    </w:rPr>
  </w:style>
  <w:style w:type="character" w:customStyle="1" w:styleId="207">
    <w:name w:val="参数解释 Char Char"/>
    <w:link w:val="208"/>
    <w:autoRedefine/>
    <w:qFormat/>
    <w:locked/>
    <w:uiPriority w:val="99"/>
    <w:rPr>
      <w:sz w:val="24"/>
    </w:rPr>
  </w:style>
  <w:style w:type="paragraph" w:customStyle="1" w:styleId="208">
    <w:name w:val="参数解释"/>
    <w:basedOn w:val="209"/>
    <w:link w:val="207"/>
    <w:autoRedefine/>
    <w:qFormat/>
    <w:uiPriority w:val="99"/>
    <w:pPr>
      <w:ind w:firstLine="1274" w:firstLineChars="531"/>
    </w:pPr>
    <w:rPr>
      <w:rFonts w:ascii="Times New Roman" w:hAnsi="Times New Roman"/>
      <w:kern w:val="0"/>
      <w:sz w:val="24"/>
    </w:rPr>
  </w:style>
  <w:style w:type="paragraph" w:customStyle="1" w:styleId="209">
    <w:name w:val="金源"/>
    <w:basedOn w:val="1"/>
    <w:link w:val="210"/>
    <w:autoRedefine/>
    <w:qFormat/>
    <w:uiPriority w:val="99"/>
    <w:pPr>
      <w:spacing w:line="480" w:lineRule="exact"/>
      <w:ind w:firstLine="480" w:firstLineChars="200"/>
      <w:jc w:val="left"/>
    </w:pPr>
    <w:rPr>
      <w:rFonts w:ascii="Calibri" w:hAnsi="Calibri"/>
      <w:sz w:val="22"/>
      <w:szCs w:val="20"/>
    </w:rPr>
  </w:style>
  <w:style w:type="character" w:customStyle="1" w:styleId="210">
    <w:name w:val="金源 Char Char"/>
    <w:link w:val="209"/>
    <w:autoRedefine/>
    <w:qFormat/>
    <w:locked/>
    <w:uiPriority w:val="99"/>
    <w:rPr>
      <w:rFonts w:ascii="Calibri" w:hAnsi="Calibri"/>
      <w:kern w:val="2"/>
      <w:sz w:val="22"/>
    </w:rPr>
  </w:style>
  <w:style w:type="character" w:customStyle="1" w:styleId="211">
    <w:name w:val="节标题 1.1 Char4"/>
    <w:autoRedefine/>
    <w:qFormat/>
    <w:uiPriority w:val="99"/>
    <w:rPr>
      <w:b/>
      <w:sz w:val="32"/>
    </w:rPr>
  </w:style>
  <w:style w:type="character" w:customStyle="1" w:styleId="212">
    <w:name w:val="articlebody3"/>
    <w:autoRedefine/>
    <w:qFormat/>
    <w:uiPriority w:val="99"/>
    <w:rPr>
      <w:rFonts w:ascii="宋体" w:hAnsi="宋体" w:eastAsia="宋体"/>
      <w:kern w:val="2"/>
      <w:sz w:val="21"/>
      <w:lang w:val="en-US" w:eastAsia="zh-CN"/>
    </w:rPr>
  </w:style>
  <w:style w:type="character" w:customStyle="1" w:styleId="213">
    <w:name w:val="样式 样式 正文 行距: 固定值 25 磅 + 首行缩进:  2 字符 Char"/>
    <w:link w:val="214"/>
    <w:autoRedefine/>
    <w:qFormat/>
    <w:locked/>
    <w:uiPriority w:val="99"/>
    <w:rPr>
      <w:kern w:val="2"/>
      <w:sz w:val="24"/>
    </w:rPr>
  </w:style>
  <w:style w:type="paragraph" w:customStyle="1" w:styleId="214">
    <w:name w:val="样式 样式 正文 行距: 固定值 25 磅 + 首行缩进:  2 字符"/>
    <w:basedOn w:val="1"/>
    <w:link w:val="213"/>
    <w:autoRedefine/>
    <w:qFormat/>
    <w:uiPriority w:val="99"/>
    <w:pPr>
      <w:adjustRightInd w:val="0"/>
      <w:snapToGrid w:val="0"/>
      <w:spacing w:line="500" w:lineRule="exact"/>
      <w:ind w:firstLine="200" w:firstLineChars="200"/>
    </w:pPr>
    <w:rPr>
      <w:sz w:val="24"/>
      <w:szCs w:val="20"/>
    </w:rPr>
  </w:style>
  <w:style w:type="character" w:customStyle="1" w:styleId="215">
    <w:name w:val="ssqiaz"/>
    <w:autoRedefine/>
    <w:qFormat/>
    <w:uiPriority w:val="99"/>
  </w:style>
  <w:style w:type="character" w:customStyle="1" w:styleId="216">
    <w:name w:val="表格标题 Char"/>
    <w:link w:val="217"/>
    <w:autoRedefine/>
    <w:qFormat/>
    <w:locked/>
    <w:uiPriority w:val="99"/>
    <w:rPr>
      <w:b/>
      <w:color w:val="000000"/>
      <w:kern w:val="2"/>
      <w:sz w:val="21"/>
    </w:rPr>
  </w:style>
  <w:style w:type="paragraph" w:customStyle="1" w:styleId="217">
    <w:name w:val="表格标题"/>
    <w:basedOn w:val="1"/>
    <w:link w:val="216"/>
    <w:autoRedefine/>
    <w:qFormat/>
    <w:uiPriority w:val="99"/>
    <w:pPr>
      <w:snapToGrid w:val="0"/>
      <w:spacing w:before="120"/>
      <w:ind w:firstLine="1756" w:firstLineChars="833"/>
      <w:contextualSpacing/>
      <w:jc w:val="center"/>
    </w:pPr>
    <w:rPr>
      <w:b/>
      <w:color w:val="000000"/>
      <w:szCs w:val="20"/>
    </w:rPr>
  </w:style>
  <w:style w:type="character" w:customStyle="1" w:styleId="218">
    <w:name w:val="页眉1 Char"/>
    <w:autoRedefine/>
    <w:qFormat/>
    <w:uiPriority w:val="99"/>
    <w:rPr>
      <w:rFonts w:ascii="宋体" w:hAnsi="宋体" w:eastAsia="宋体"/>
      <w:kern w:val="2"/>
      <w:sz w:val="18"/>
      <w:lang w:val="en-US" w:eastAsia="zh-CN"/>
    </w:rPr>
  </w:style>
  <w:style w:type="character" w:customStyle="1" w:styleId="219">
    <w:name w:val="c121"/>
    <w:autoRedefine/>
    <w:qFormat/>
    <w:uiPriority w:val="99"/>
    <w:rPr>
      <w:color w:val="666666"/>
      <w:sz w:val="18"/>
      <w:u w:val="none"/>
    </w:rPr>
  </w:style>
  <w:style w:type="character" w:customStyle="1" w:styleId="220">
    <w:name w:val="甲乙酮标题1 Char Char"/>
    <w:link w:val="221"/>
    <w:autoRedefine/>
    <w:qFormat/>
    <w:locked/>
    <w:uiPriority w:val="99"/>
    <w:rPr>
      <w:b/>
      <w:kern w:val="44"/>
      <w:sz w:val="32"/>
    </w:rPr>
  </w:style>
  <w:style w:type="paragraph" w:customStyle="1" w:styleId="221">
    <w:name w:val="甲乙酮标题1"/>
    <w:basedOn w:val="3"/>
    <w:link w:val="220"/>
    <w:autoRedefine/>
    <w:qFormat/>
    <w:uiPriority w:val="99"/>
    <w:pPr>
      <w:keepLines/>
      <w:tabs>
        <w:tab w:val="left" w:pos="390"/>
      </w:tabs>
      <w:overflowPunct/>
      <w:snapToGrid/>
      <w:spacing w:after="140" w:line="480" w:lineRule="exact"/>
      <w:ind w:left="390" w:firstLine="0"/>
    </w:pPr>
    <w:rPr>
      <w:rFonts w:eastAsia="宋体"/>
      <w:bCs w:val="0"/>
      <w:color w:val="auto"/>
      <w:sz w:val="32"/>
      <w:szCs w:val="20"/>
    </w:rPr>
  </w:style>
  <w:style w:type="character" w:customStyle="1" w:styleId="222">
    <w:name w:val="contenttable1"/>
    <w:autoRedefine/>
    <w:qFormat/>
    <w:uiPriority w:val="99"/>
    <w:rPr>
      <w:rFonts w:ascii="Arial" w:hAnsi="Arial" w:eastAsia="宋体"/>
      <w:color w:val="000000"/>
      <w:kern w:val="2"/>
      <w:sz w:val="18"/>
      <w:u w:val="none"/>
      <w:lang w:val="en-US" w:eastAsia="zh-CN"/>
    </w:rPr>
  </w:style>
  <w:style w:type="character" w:customStyle="1" w:styleId="223">
    <w:name w:val="未确定 Char Char"/>
    <w:link w:val="224"/>
    <w:autoRedefine/>
    <w:qFormat/>
    <w:locked/>
    <w:uiPriority w:val="99"/>
    <w:rPr>
      <w:color w:val="800080"/>
      <w:sz w:val="24"/>
    </w:rPr>
  </w:style>
  <w:style w:type="paragraph" w:customStyle="1" w:styleId="224">
    <w:name w:val="未确定"/>
    <w:basedOn w:val="1"/>
    <w:link w:val="223"/>
    <w:autoRedefine/>
    <w:qFormat/>
    <w:uiPriority w:val="99"/>
    <w:pPr>
      <w:spacing w:beforeLines="50" w:line="400" w:lineRule="exact"/>
      <w:ind w:firstLine="480" w:firstLineChars="200"/>
    </w:pPr>
    <w:rPr>
      <w:color w:val="800080"/>
      <w:kern w:val="0"/>
      <w:sz w:val="24"/>
      <w:szCs w:val="20"/>
    </w:rPr>
  </w:style>
  <w:style w:type="character" w:customStyle="1" w:styleId="225">
    <w:name w:val="16p"/>
    <w:autoRedefine/>
    <w:qFormat/>
    <w:uiPriority w:val="99"/>
  </w:style>
  <w:style w:type="character" w:customStyle="1" w:styleId="226">
    <w:name w:val="纯文本21"/>
    <w:autoRedefine/>
    <w:qFormat/>
    <w:uiPriority w:val="99"/>
    <w:rPr>
      <w:rFonts w:ascii="宋体" w:hAnsi="Courier New" w:eastAsia="宋体"/>
      <w:kern w:val="2"/>
      <w:sz w:val="21"/>
      <w:lang w:val="en-US" w:eastAsia="zh-CN"/>
    </w:rPr>
  </w:style>
  <w:style w:type="character" w:customStyle="1" w:styleId="227">
    <w:name w:val="图表名 大王 20100426 Char"/>
    <w:link w:val="228"/>
    <w:autoRedefine/>
    <w:qFormat/>
    <w:locked/>
    <w:uiPriority w:val="99"/>
    <w:rPr>
      <w:rFonts w:ascii="宋体" w:eastAsia="宋体"/>
      <w:b/>
      <w:sz w:val="21"/>
    </w:rPr>
  </w:style>
  <w:style w:type="paragraph" w:customStyle="1" w:styleId="228">
    <w:name w:val="图表名 大王 20100426"/>
    <w:basedOn w:val="229"/>
    <w:link w:val="227"/>
    <w:autoRedefine/>
    <w:qFormat/>
    <w:uiPriority w:val="99"/>
    <w:pPr>
      <w:tabs>
        <w:tab w:val="left" w:pos="377"/>
      </w:tabs>
      <w:spacing w:before="120" w:after="120"/>
    </w:pPr>
  </w:style>
  <w:style w:type="paragraph" w:customStyle="1" w:styleId="229">
    <w:name w:val="图表标题-大王"/>
    <w:basedOn w:val="1"/>
    <w:link w:val="230"/>
    <w:autoRedefine/>
    <w:qFormat/>
    <w:uiPriority w:val="99"/>
    <w:pPr>
      <w:widowControl/>
      <w:tabs>
        <w:tab w:val="left" w:pos="377"/>
      </w:tabs>
      <w:spacing w:beforeLines="50" w:afterLines="50"/>
      <w:jc w:val="center"/>
    </w:pPr>
    <w:rPr>
      <w:rFonts w:ascii="宋体"/>
      <w:b/>
      <w:kern w:val="0"/>
      <w:szCs w:val="20"/>
    </w:rPr>
  </w:style>
  <w:style w:type="character" w:customStyle="1" w:styleId="230">
    <w:name w:val="图表标题-大王 Char"/>
    <w:link w:val="229"/>
    <w:autoRedefine/>
    <w:qFormat/>
    <w:locked/>
    <w:uiPriority w:val="99"/>
    <w:rPr>
      <w:rFonts w:ascii="宋体" w:eastAsia="宋体"/>
      <w:b/>
      <w:sz w:val="21"/>
    </w:rPr>
  </w:style>
  <w:style w:type="character" w:customStyle="1" w:styleId="231">
    <w:name w:val="9css21"/>
    <w:autoRedefine/>
    <w:qFormat/>
    <w:uiPriority w:val="99"/>
    <w:rPr>
      <w:spacing w:val="268"/>
      <w:sz w:val="20"/>
    </w:rPr>
  </w:style>
  <w:style w:type="character" w:customStyle="1" w:styleId="232">
    <w:name w:val="公示 Char Char"/>
    <w:link w:val="233"/>
    <w:autoRedefine/>
    <w:qFormat/>
    <w:locked/>
    <w:uiPriority w:val="99"/>
  </w:style>
  <w:style w:type="paragraph" w:customStyle="1" w:styleId="233">
    <w:name w:val="公示"/>
    <w:basedOn w:val="1"/>
    <w:link w:val="232"/>
    <w:autoRedefine/>
    <w:qFormat/>
    <w:uiPriority w:val="99"/>
    <w:pPr>
      <w:spacing w:line="360" w:lineRule="auto"/>
      <w:ind w:firstLine="200" w:firstLineChars="200"/>
      <w:jc w:val="center"/>
    </w:pPr>
    <w:rPr>
      <w:kern w:val="0"/>
      <w:sz w:val="20"/>
      <w:szCs w:val="20"/>
    </w:rPr>
  </w:style>
  <w:style w:type="character" w:customStyle="1" w:styleId="234">
    <w:name w:val="style51"/>
    <w:autoRedefine/>
    <w:qFormat/>
    <w:uiPriority w:val="99"/>
    <w:rPr>
      <w:color w:val="000000"/>
      <w:sz w:val="36"/>
    </w:rPr>
  </w:style>
  <w:style w:type="character" w:customStyle="1" w:styleId="235">
    <w:name w:val="表格内文字 Char Char"/>
    <w:autoRedefine/>
    <w:qFormat/>
    <w:uiPriority w:val="99"/>
    <w:rPr>
      <w:rFonts w:eastAsia="仿宋_GB2312"/>
      <w:sz w:val="24"/>
    </w:rPr>
  </w:style>
  <w:style w:type="character" w:customStyle="1" w:styleId="236">
    <w:name w:val="表头1 Char"/>
    <w:link w:val="237"/>
    <w:autoRedefine/>
    <w:qFormat/>
    <w:locked/>
    <w:uiPriority w:val="99"/>
    <w:rPr>
      <w:rFonts w:eastAsia="黑体"/>
      <w:sz w:val="21"/>
    </w:rPr>
  </w:style>
  <w:style w:type="paragraph" w:customStyle="1" w:styleId="237">
    <w:name w:val="表头1"/>
    <w:basedOn w:val="1"/>
    <w:next w:val="1"/>
    <w:link w:val="236"/>
    <w:autoRedefine/>
    <w:qFormat/>
    <w:uiPriority w:val="99"/>
    <w:pPr>
      <w:tabs>
        <w:tab w:val="left" w:pos="605"/>
      </w:tabs>
      <w:adjustRightInd w:val="0"/>
      <w:snapToGrid w:val="0"/>
      <w:jc w:val="center"/>
    </w:pPr>
    <w:rPr>
      <w:rFonts w:eastAsia="黑体"/>
      <w:kern w:val="0"/>
      <w:szCs w:val="20"/>
    </w:rPr>
  </w:style>
  <w:style w:type="character" w:customStyle="1" w:styleId="238">
    <w:name w:val="type021"/>
    <w:autoRedefine/>
    <w:qFormat/>
    <w:uiPriority w:val="99"/>
    <w:rPr>
      <w:color w:val="000000"/>
      <w:sz w:val="18"/>
    </w:rPr>
  </w:style>
  <w:style w:type="character" w:customStyle="1" w:styleId="239">
    <w:name w:val="表蕊居中 Char Char"/>
    <w:link w:val="240"/>
    <w:autoRedefine/>
    <w:qFormat/>
    <w:locked/>
    <w:uiPriority w:val="99"/>
    <w:rPr>
      <w:color w:val="FF0000"/>
      <w:spacing w:val="-10"/>
      <w:sz w:val="21"/>
    </w:rPr>
  </w:style>
  <w:style w:type="paragraph" w:customStyle="1" w:styleId="240">
    <w:name w:val="表蕊居中"/>
    <w:basedOn w:val="1"/>
    <w:link w:val="239"/>
    <w:autoRedefine/>
    <w:qFormat/>
    <w:uiPriority w:val="99"/>
    <w:pPr>
      <w:adjustRightInd w:val="0"/>
      <w:spacing w:line="280" w:lineRule="atLeast"/>
      <w:jc w:val="center"/>
      <w:textAlignment w:val="baseline"/>
    </w:pPr>
    <w:rPr>
      <w:color w:val="FF0000"/>
      <w:spacing w:val="-10"/>
      <w:kern w:val="0"/>
      <w:szCs w:val="20"/>
    </w:rPr>
  </w:style>
  <w:style w:type="character" w:customStyle="1" w:styleId="241">
    <w:name w:val="articlebody1"/>
    <w:autoRedefine/>
    <w:qFormat/>
    <w:uiPriority w:val="99"/>
    <w:rPr>
      <w:rFonts w:ascii="宋体" w:hAnsi="宋体" w:eastAsia="宋体"/>
      <w:color w:val="333333"/>
      <w:kern w:val="2"/>
      <w:sz w:val="21"/>
      <w:lang w:val="en-US" w:eastAsia="zh-CN"/>
    </w:rPr>
  </w:style>
  <w:style w:type="character" w:customStyle="1" w:styleId="242">
    <w:name w:val="标题 3 Char1"/>
    <w:autoRedefine/>
    <w:qFormat/>
    <w:uiPriority w:val="99"/>
    <w:rPr>
      <w:rFonts w:ascii="宋体" w:hAnsi="宋体" w:eastAsia="宋体"/>
      <w:b/>
      <w:caps/>
      <w:color w:val="000000"/>
      <w:kern w:val="2"/>
      <w:sz w:val="24"/>
      <w:lang w:val="zh-CN" w:eastAsia="zh-CN"/>
    </w:rPr>
  </w:style>
  <w:style w:type="character" w:customStyle="1" w:styleId="243">
    <w:name w:val="apple-style-span"/>
    <w:autoRedefine/>
    <w:qFormat/>
    <w:uiPriority w:val="99"/>
    <w:rPr>
      <w:rFonts w:ascii="宋体" w:hAnsi="宋体" w:eastAsia="宋体"/>
      <w:kern w:val="2"/>
      <w:sz w:val="24"/>
      <w:lang w:val="en-US" w:eastAsia="zh-CN"/>
    </w:rPr>
  </w:style>
  <w:style w:type="character" w:customStyle="1" w:styleId="244">
    <w:name w:val="ssmj9"/>
    <w:autoRedefine/>
    <w:qFormat/>
    <w:uiPriority w:val="99"/>
  </w:style>
  <w:style w:type="character" w:customStyle="1" w:styleId="245">
    <w:name w:val="sfrxxz"/>
    <w:autoRedefine/>
    <w:qFormat/>
    <w:uiPriority w:val="99"/>
  </w:style>
  <w:style w:type="character" w:customStyle="1" w:styleId="246">
    <w:name w:val="无间隔 字符"/>
    <w:link w:val="247"/>
    <w:autoRedefine/>
    <w:qFormat/>
    <w:locked/>
    <w:uiPriority w:val="99"/>
    <w:rPr>
      <w:rFonts w:ascii="Calibri" w:hAnsi="Calibri"/>
      <w:sz w:val="32"/>
      <w:lang w:eastAsia="en-US"/>
    </w:rPr>
  </w:style>
  <w:style w:type="paragraph" w:styleId="247">
    <w:name w:val="No Spacing"/>
    <w:basedOn w:val="1"/>
    <w:link w:val="246"/>
    <w:autoRedefine/>
    <w:qFormat/>
    <w:uiPriority w:val="99"/>
    <w:pPr>
      <w:widowControl/>
      <w:jc w:val="left"/>
    </w:pPr>
    <w:rPr>
      <w:rFonts w:ascii="Calibri" w:hAnsi="Calibri"/>
      <w:kern w:val="0"/>
      <w:sz w:val="32"/>
      <w:szCs w:val="20"/>
      <w:lang w:eastAsia="en-US"/>
    </w:rPr>
  </w:style>
  <w:style w:type="character" w:customStyle="1" w:styleId="248">
    <w:name w:val="news_line"/>
    <w:autoRedefine/>
    <w:qFormat/>
    <w:uiPriority w:val="99"/>
    <w:rPr>
      <w:rFonts w:ascii="宋体" w:hAnsi="宋体" w:eastAsia="宋体"/>
      <w:kern w:val="2"/>
      <w:sz w:val="24"/>
      <w:lang w:val="en-US" w:eastAsia="zh-CN"/>
    </w:rPr>
  </w:style>
  <w:style w:type="character" w:customStyle="1" w:styleId="249">
    <w:name w:val="正文缩进2"/>
    <w:autoRedefine/>
    <w:qFormat/>
    <w:uiPriority w:val="99"/>
    <w:rPr>
      <w:rFonts w:ascii="仿宋_GB2312" w:eastAsia="仿宋_GB2312"/>
      <w:kern w:val="2"/>
      <w:sz w:val="24"/>
      <w:lang w:val="en-US" w:eastAsia="zh-CN"/>
    </w:rPr>
  </w:style>
  <w:style w:type="character" w:customStyle="1" w:styleId="250">
    <w:name w:val="正文文本 字符1"/>
    <w:autoRedefine/>
    <w:semiHidden/>
    <w:qFormat/>
    <w:uiPriority w:val="99"/>
    <w:rPr>
      <w:rFonts w:ascii="Times New Roman" w:hAnsi="Times New Roman" w:eastAsia="宋体"/>
      <w:sz w:val="24"/>
    </w:rPr>
  </w:style>
  <w:style w:type="character" w:customStyle="1" w:styleId="251">
    <w:name w:val="241"/>
    <w:autoRedefine/>
    <w:qFormat/>
    <w:uiPriority w:val="99"/>
    <w:rPr>
      <w:rFonts w:ascii="宋体" w:hAnsi="宋体" w:eastAsia="宋体"/>
      <w:kern w:val="2"/>
      <w:sz w:val="24"/>
      <w:lang w:val="en-US" w:eastAsia="zh-CN"/>
    </w:rPr>
  </w:style>
  <w:style w:type="character" w:customStyle="1" w:styleId="252">
    <w:name w:val="样式84 Char Char"/>
    <w:link w:val="253"/>
    <w:autoRedefine/>
    <w:qFormat/>
    <w:locked/>
    <w:uiPriority w:val="99"/>
    <w:rPr>
      <w:rFonts w:ascii="宋体" w:eastAsia="宋体"/>
      <w:color w:val="000000"/>
      <w:sz w:val="24"/>
    </w:rPr>
  </w:style>
  <w:style w:type="paragraph" w:customStyle="1" w:styleId="253">
    <w:name w:val="样式84"/>
    <w:basedOn w:val="1"/>
    <w:link w:val="252"/>
    <w:autoRedefine/>
    <w:qFormat/>
    <w:uiPriority w:val="99"/>
    <w:pPr>
      <w:snapToGrid w:val="0"/>
      <w:spacing w:line="520" w:lineRule="exact"/>
      <w:ind w:firstLine="560" w:firstLineChars="200"/>
    </w:pPr>
    <w:rPr>
      <w:rFonts w:ascii="宋体"/>
      <w:color w:val="000000"/>
      <w:kern w:val="0"/>
      <w:sz w:val="24"/>
      <w:szCs w:val="20"/>
    </w:rPr>
  </w:style>
  <w:style w:type="character" w:customStyle="1" w:styleId="254">
    <w:name w:val="广石化正文 Char"/>
    <w:link w:val="255"/>
    <w:autoRedefine/>
    <w:qFormat/>
    <w:locked/>
    <w:uiPriority w:val="99"/>
    <w:rPr>
      <w:rFonts w:ascii="宋体" w:eastAsia="宋体"/>
      <w:kern w:val="2"/>
      <w:sz w:val="28"/>
    </w:rPr>
  </w:style>
  <w:style w:type="paragraph" w:customStyle="1" w:styleId="255">
    <w:name w:val="广石化正文"/>
    <w:basedOn w:val="1"/>
    <w:link w:val="254"/>
    <w:autoRedefine/>
    <w:qFormat/>
    <w:uiPriority w:val="99"/>
    <w:pPr>
      <w:tabs>
        <w:tab w:val="left" w:pos="6520"/>
        <w:tab w:val="left" w:leader="dot" w:pos="8220"/>
      </w:tabs>
      <w:spacing w:line="520" w:lineRule="exact"/>
      <w:ind w:firstLine="538" w:firstLineChars="192"/>
    </w:pPr>
    <w:rPr>
      <w:rFonts w:ascii="宋体"/>
      <w:sz w:val="28"/>
      <w:szCs w:val="20"/>
    </w:rPr>
  </w:style>
  <w:style w:type="character" w:customStyle="1" w:styleId="256">
    <w:name w:val="脚注文本 字符1"/>
    <w:autoRedefine/>
    <w:qFormat/>
    <w:uiPriority w:val="99"/>
    <w:rPr>
      <w:kern w:val="2"/>
      <w:sz w:val="18"/>
    </w:rPr>
  </w:style>
  <w:style w:type="character" w:customStyle="1" w:styleId="257">
    <w:name w:val="批注文字 字符1"/>
    <w:autoRedefine/>
    <w:semiHidden/>
    <w:qFormat/>
    <w:uiPriority w:val="99"/>
    <w:rPr>
      <w:rFonts w:ascii="Times New Roman" w:hAnsi="Times New Roman" w:eastAsia="宋体"/>
      <w:sz w:val="24"/>
    </w:rPr>
  </w:style>
  <w:style w:type="character" w:customStyle="1" w:styleId="258">
    <w:name w:val="文章正文样式 Char"/>
    <w:link w:val="259"/>
    <w:autoRedefine/>
    <w:qFormat/>
    <w:locked/>
    <w:uiPriority w:val="99"/>
    <w:rPr>
      <w:rFonts w:ascii="宋体" w:eastAsia="宋体"/>
      <w:kern w:val="2"/>
      <w:sz w:val="24"/>
    </w:rPr>
  </w:style>
  <w:style w:type="paragraph" w:customStyle="1" w:styleId="259">
    <w:name w:val="文章正文样式"/>
    <w:basedOn w:val="1"/>
    <w:link w:val="258"/>
    <w:autoRedefine/>
    <w:qFormat/>
    <w:uiPriority w:val="99"/>
    <w:pPr>
      <w:spacing w:line="520" w:lineRule="exact"/>
      <w:ind w:firstLine="480" w:firstLineChars="200"/>
      <w:jc w:val="left"/>
    </w:pPr>
    <w:rPr>
      <w:rFonts w:ascii="宋体"/>
      <w:sz w:val="24"/>
      <w:szCs w:val="20"/>
    </w:rPr>
  </w:style>
  <w:style w:type="character" w:customStyle="1" w:styleId="260">
    <w:name w:val="标题2"/>
    <w:autoRedefine/>
    <w:qFormat/>
    <w:uiPriority w:val="99"/>
  </w:style>
  <w:style w:type="character" w:customStyle="1" w:styleId="261">
    <w:name w:val="样式7 Char Char"/>
    <w:link w:val="262"/>
    <w:autoRedefine/>
    <w:qFormat/>
    <w:locked/>
    <w:uiPriority w:val="99"/>
    <w:rPr>
      <w:rFonts w:ascii="宋体" w:eastAsia="宋体"/>
      <w:color w:val="000000"/>
      <w:sz w:val="24"/>
    </w:rPr>
  </w:style>
  <w:style w:type="paragraph" w:customStyle="1" w:styleId="262">
    <w:name w:val="样式7"/>
    <w:basedOn w:val="1"/>
    <w:next w:val="1"/>
    <w:link w:val="261"/>
    <w:autoRedefine/>
    <w:qFormat/>
    <w:uiPriority w:val="99"/>
    <w:pPr>
      <w:spacing w:line="360" w:lineRule="auto"/>
      <w:ind w:firstLine="480" w:firstLineChars="200"/>
    </w:pPr>
    <w:rPr>
      <w:rFonts w:ascii="宋体"/>
      <w:color w:val="000000"/>
      <w:kern w:val="0"/>
      <w:sz w:val="24"/>
      <w:szCs w:val="20"/>
    </w:rPr>
  </w:style>
  <w:style w:type="character" w:customStyle="1" w:styleId="263">
    <w:name w:val="样式5 Char Char"/>
    <w:link w:val="57"/>
    <w:autoRedefine/>
    <w:qFormat/>
    <w:locked/>
    <w:uiPriority w:val="99"/>
    <w:rPr>
      <w:rFonts w:ascii="宋体"/>
      <w:sz w:val="21"/>
    </w:rPr>
  </w:style>
  <w:style w:type="character" w:customStyle="1" w:styleId="264">
    <w:name w:val="unnamed21"/>
    <w:autoRedefine/>
    <w:qFormat/>
    <w:uiPriority w:val="99"/>
    <w:rPr>
      <w:rFonts w:ascii="宋体" w:hAnsi="宋体" w:eastAsia="宋体"/>
      <w:kern w:val="2"/>
      <w:sz w:val="18"/>
      <w:lang w:val="en-US" w:eastAsia="zh-CN"/>
    </w:rPr>
  </w:style>
  <w:style w:type="character" w:customStyle="1" w:styleId="265">
    <w:name w:val="表格填充1 Char"/>
    <w:link w:val="266"/>
    <w:autoRedefine/>
    <w:qFormat/>
    <w:locked/>
    <w:uiPriority w:val="99"/>
    <w:rPr>
      <w:kern w:val="2"/>
      <w:sz w:val="18"/>
    </w:rPr>
  </w:style>
  <w:style w:type="paragraph" w:customStyle="1" w:styleId="266">
    <w:name w:val="表格填充1"/>
    <w:basedOn w:val="1"/>
    <w:link w:val="265"/>
    <w:autoRedefine/>
    <w:semiHidden/>
    <w:qFormat/>
    <w:uiPriority w:val="99"/>
    <w:pPr>
      <w:adjustRightInd w:val="0"/>
      <w:snapToGrid w:val="0"/>
      <w:spacing w:line="400" w:lineRule="exact"/>
      <w:jc w:val="center"/>
    </w:pPr>
    <w:rPr>
      <w:sz w:val="18"/>
      <w:szCs w:val="20"/>
    </w:rPr>
  </w:style>
  <w:style w:type="character" w:customStyle="1" w:styleId="267">
    <w:name w:val="Char Char6"/>
    <w:autoRedefine/>
    <w:qFormat/>
    <w:uiPriority w:val="99"/>
    <w:rPr>
      <w:rFonts w:ascii="宋体" w:hAnsi="宋体" w:eastAsia="宋体"/>
      <w:b/>
      <w:i/>
      <w:kern w:val="2"/>
      <w:sz w:val="26"/>
      <w:lang w:val="en-US" w:eastAsia="zh-CN"/>
    </w:rPr>
  </w:style>
  <w:style w:type="character" w:customStyle="1" w:styleId="268">
    <w:name w:val="标题 4 Char4"/>
    <w:autoRedefine/>
    <w:qFormat/>
    <w:uiPriority w:val="99"/>
    <w:rPr>
      <w:rFonts w:ascii="宋体" w:hAnsi="宋体" w:eastAsia="宋体"/>
      <w:b/>
      <w:kern w:val="2"/>
      <w:sz w:val="24"/>
      <w:lang w:val="en-GB" w:eastAsia="zh-CN"/>
    </w:rPr>
  </w:style>
  <w:style w:type="character" w:customStyle="1" w:styleId="269">
    <w:name w:val="Footer1 Char Char"/>
    <w:autoRedefine/>
    <w:qFormat/>
    <w:uiPriority w:val="99"/>
    <w:rPr>
      <w:rFonts w:eastAsia="宋体"/>
      <w:kern w:val="2"/>
      <w:sz w:val="18"/>
      <w:lang w:val="en-US" w:eastAsia="zh-CN"/>
    </w:rPr>
  </w:style>
  <w:style w:type="character" w:customStyle="1" w:styleId="270">
    <w:name w:val="公式 Char Char"/>
    <w:link w:val="271"/>
    <w:autoRedefine/>
    <w:qFormat/>
    <w:locked/>
    <w:uiPriority w:val="99"/>
    <w:rPr>
      <w:rFonts w:ascii="宋体"/>
      <w:kern w:val="16"/>
      <w:sz w:val="24"/>
    </w:rPr>
  </w:style>
  <w:style w:type="paragraph" w:customStyle="1" w:styleId="271">
    <w:name w:val="公式"/>
    <w:basedOn w:val="1"/>
    <w:link w:val="270"/>
    <w:autoRedefine/>
    <w:qFormat/>
    <w:uiPriority w:val="99"/>
    <w:pPr>
      <w:adjustRightInd w:val="0"/>
      <w:spacing w:before="240" w:after="240" w:line="480" w:lineRule="exact"/>
      <w:ind w:firstLine="200" w:firstLineChars="200"/>
      <w:jc w:val="center"/>
      <w:textAlignment w:val="baseline"/>
    </w:pPr>
    <w:rPr>
      <w:rFonts w:ascii="宋体"/>
      <w:kern w:val="16"/>
      <w:sz w:val="24"/>
      <w:szCs w:val="20"/>
    </w:rPr>
  </w:style>
  <w:style w:type="character" w:customStyle="1" w:styleId="272">
    <w:name w:val="style2_title1"/>
    <w:autoRedefine/>
    <w:qFormat/>
    <w:uiPriority w:val="99"/>
    <w:rPr>
      <w:b/>
      <w:sz w:val="25"/>
    </w:rPr>
  </w:style>
  <w:style w:type="character" w:customStyle="1" w:styleId="273">
    <w:name w:val="表格题目 Char"/>
    <w:link w:val="274"/>
    <w:autoRedefine/>
    <w:qFormat/>
    <w:locked/>
    <w:uiPriority w:val="99"/>
    <w:rPr>
      <w:rFonts w:ascii="宋体" w:eastAsia="宋体"/>
      <w:sz w:val="24"/>
    </w:rPr>
  </w:style>
  <w:style w:type="paragraph" w:customStyle="1" w:styleId="274">
    <w:name w:val="表格题目"/>
    <w:basedOn w:val="1"/>
    <w:link w:val="273"/>
    <w:autoRedefine/>
    <w:qFormat/>
    <w:uiPriority w:val="99"/>
    <w:pPr>
      <w:spacing w:line="360" w:lineRule="auto"/>
      <w:ind w:firstLine="480" w:firstLineChars="200"/>
    </w:pPr>
    <w:rPr>
      <w:rFonts w:ascii="宋体"/>
      <w:kern w:val="0"/>
      <w:sz w:val="24"/>
      <w:szCs w:val="20"/>
      <w:shd w:val="clear" w:color="auto" w:fill="FFFFFF"/>
    </w:rPr>
  </w:style>
  <w:style w:type="character" w:customStyle="1" w:styleId="275">
    <w:name w:val="表格 Char Char"/>
    <w:autoRedefine/>
    <w:qFormat/>
    <w:uiPriority w:val="99"/>
    <w:rPr>
      <w:kern w:val="2"/>
      <w:sz w:val="24"/>
    </w:rPr>
  </w:style>
  <w:style w:type="character" w:customStyle="1" w:styleId="276">
    <w:name w:val="text_edit editable-title"/>
    <w:autoRedefine/>
    <w:qFormat/>
    <w:uiPriority w:val="99"/>
  </w:style>
  <w:style w:type="character" w:customStyle="1" w:styleId="277">
    <w:name w:val="s c c"/>
    <w:autoRedefine/>
    <w:qFormat/>
    <w:uiPriority w:val="99"/>
  </w:style>
  <w:style w:type="character" w:customStyle="1" w:styleId="278">
    <w:name w:val="tpc_content1"/>
    <w:autoRedefine/>
    <w:qFormat/>
    <w:uiPriority w:val="99"/>
    <w:rPr>
      <w:rFonts w:ascii="宋体" w:hAnsi="宋体" w:eastAsia="宋体"/>
      <w:kern w:val="2"/>
      <w:sz w:val="24"/>
      <w:lang w:val="en-US" w:eastAsia="zh-CN"/>
    </w:rPr>
  </w:style>
  <w:style w:type="character" w:customStyle="1" w:styleId="279">
    <w:name w:val="样式16 Char Char"/>
    <w:link w:val="280"/>
    <w:autoRedefine/>
    <w:qFormat/>
    <w:locked/>
    <w:uiPriority w:val="99"/>
    <w:rPr>
      <w:rFonts w:eastAsia="楷体_GB2312"/>
      <w:b/>
      <w:color w:val="000000"/>
      <w:sz w:val="32"/>
    </w:rPr>
  </w:style>
  <w:style w:type="paragraph" w:customStyle="1" w:styleId="280">
    <w:name w:val="样式16"/>
    <w:basedOn w:val="3"/>
    <w:link w:val="279"/>
    <w:autoRedefine/>
    <w:qFormat/>
    <w:uiPriority w:val="99"/>
    <w:pPr>
      <w:tabs>
        <w:tab w:val="left" w:pos="390"/>
      </w:tabs>
      <w:overflowPunct/>
      <w:snapToGrid/>
      <w:spacing w:beforeLines="100" w:afterLines="100" w:line="240" w:lineRule="auto"/>
      <w:ind w:left="390" w:firstLine="0"/>
      <w:jc w:val="center"/>
    </w:pPr>
    <w:rPr>
      <w:rFonts w:eastAsia="楷体_GB2312"/>
      <w:bCs w:val="0"/>
      <w:kern w:val="0"/>
      <w:sz w:val="32"/>
      <w:szCs w:val="20"/>
    </w:rPr>
  </w:style>
  <w:style w:type="character" w:customStyle="1" w:styleId="281">
    <w:name w:val="su21"/>
    <w:autoRedefine/>
    <w:qFormat/>
    <w:uiPriority w:val="99"/>
  </w:style>
  <w:style w:type="character" w:customStyle="1" w:styleId="282">
    <w:name w:val="文本 Char Char"/>
    <w:link w:val="283"/>
    <w:autoRedefine/>
    <w:qFormat/>
    <w:locked/>
    <w:uiPriority w:val="99"/>
    <w:rPr>
      <w:rFonts w:ascii="宋体" w:eastAsia="宋体"/>
      <w:sz w:val="24"/>
    </w:rPr>
  </w:style>
  <w:style w:type="paragraph" w:customStyle="1" w:styleId="283">
    <w:name w:val="文本"/>
    <w:basedOn w:val="1"/>
    <w:link w:val="282"/>
    <w:autoRedefine/>
    <w:qFormat/>
    <w:uiPriority w:val="99"/>
    <w:pPr>
      <w:spacing w:after="60" w:line="440" w:lineRule="exact"/>
      <w:ind w:firstLine="480" w:firstLineChars="200"/>
    </w:pPr>
    <w:rPr>
      <w:rFonts w:ascii="宋体"/>
      <w:kern w:val="0"/>
      <w:sz w:val="24"/>
      <w:szCs w:val="20"/>
    </w:rPr>
  </w:style>
  <w:style w:type="character" w:customStyle="1" w:styleId="284">
    <w:name w:val="样式19 Char Char"/>
    <w:link w:val="285"/>
    <w:autoRedefine/>
    <w:qFormat/>
    <w:locked/>
    <w:uiPriority w:val="99"/>
    <w:rPr>
      <w:b/>
      <w:bCs/>
      <w:kern w:val="44"/>
      <w:sz w:val="32"/>
      <w:szCs w:val="44"/>
    </w:rPr>
  </w:style>
  <w:style w:type="paragraph" w:customStyle="1" w:styleId="285">
    <w:name w:val="样式19"/>
    <w:basedOn w:val="3"/>
    <w:link w:val="284"/>
    <w:autoRedefine/>
    <w:qFormat/>
    <w:uiPriority w:val="99"/>
    <w:pPr>
      <w:keepLines/>
      <w:numPr>
        <w:ilvl w:val="0"/>
        <w:numId w:val="2"/>
      </w:numPr>
      <w:overflowPunct/>
      <w:snapToGrid/>
      <w:spacing w:before="0" w:after="0" w:line="360" w:lineRule="auto"/>
    </w:pPr>
    <w:rPr>
      <w:rFonts w:eastAsia="宋体"/>
      <w:color w:val="auto"/>
      <w:sz w:val="32"/>
      <w:szCs w:val="44"/>
    </w:rPr>
  </w:style>
  <w:style w:type="character" w:customStyle="1" w:styleId="286">
    <w:name w:val="source"/>
    <w:autoRedefine/>
    <w:qFormat/>
    <w:uiPriority w:val="99"/>
  </w:style>
  <w:style w:type="character" w:customStyle="1" w:styleId="287">
    <w:name w:val="表内字 Char1"/>
    <w:link w:val="288"/>
    <w:autoRedefine/>
    <w:qFormat/>
    <w:locked/>
    <w:uiPriority w:val="99"/>
    <w:rPr>
      <w:kern w:val="2"/>
      <w:sz w:val="21"/>
      <w:lang w:val="en-US" w:eastAsia="zh-CN"/>
    </w:rPr>
  </w:style>
  <w:style w:type="paragraph" w:customStyle="1" w:styleId="288">
    <w:name w:val="表内字"/>
    <w:link w:val="287"/>
    <w:autoRedefine/>
    <w:qFormat/>
    <w:uiPriority w:val="99"/>
    <w:pPr>
      <w:spacing w:before="80" w:after="80"/>
      <w:jc w:val="both"/>
    </w:pPr>
    <w:rPr>
      <w:rFonts w:ascii="Times New Roman" w:hAnsi="Times New Roman" w:eastAsia="宋体" w:cs="Times New Roman"/>
      <w:kern w:val="2"/>
      <w:sz w:val="21"/>
      <w:lang w:val="en-US" w:eastAsia="zh-CN" w:bidi="ar-SA"/>
    </w:rPr>
  </w:style>
  <w:style w:type="character" w:customStyle="1" w:styleId="289">
    <w:name w:val="标题 2 Char"/>
    <w:autoRedefine/>
    <w:qFormat/>
    <w:uiPriority w:val="99"/>
    <w:rPr>
      <w:rFonts w:ascii="Cambria" w:hAnsi="Cambria" w:eastAsia="宋体"/>
      <w:b/>
      <w:sz w:val="32"/>
    </w:rPr>
  </w:style>
  <w:style w:type="character" w:customStyle="1" w:styleId="290">
    <w:name w:val="报告书正文 Char1"/>
    <w:link w:val="291"/>
    <w:autoRedefine/>
    <w:qFormat/>
    <w:locked/>
    <w:uiPriority w:val="99"/>
    <w:rPr>
      <w:sz w:val="18"/>
      <w:lang w:val="zh-CN"/>
    </w:rPr>
  </w:style>
  <w:style w:type="paragraph" w:customStyle="1" w:styleId="291">
    <w:name w:val="报告书正文"/>
    <w:basedOn w:val="1"/>
    <w:link w:val="290"/>
    <w:autoRedefine/>
    <w:qFormat/>
    <w:uiPriority w:val="99"/>
    <w:pPr>
      <w:adjustRightInd w:val="0"/>
      <w:spacing w:beforeLines="50" w:line="360" w:lineRule="auto"/>
      <w:ind w:firstLine="480" w:firstLineChars="200"/>
      <w:textAlignment w:val="baseline"/>
    </w:pPr>
    <w:rPr>
      <w:kern w:val="0"/>
      <w:sz w:val="18"/>
      <w:szCs w:val="20"/>
      <w:lang w:val="zh-CN"/>
    </w:rPr>
  </w:style>
  <w:style w:type="character" w:customStyle="1" w:styleId="292">
    <w:name w:val="css-text3"/>
    <w:autoRedefine/>
    <w:qFormat/>
    <w:uiPriority w:val="99"/>
  </w:style>
  <w:style w:type="character" w:customStyle="1" w:styleId="293">
    <w:name w:val="样式 标题 3H31.1.1标题 3条标题1.1.1h3level_3PIM 3Level 3 HeadHead...1 Char Char"/>
    <w:link w:val="294"/>
    <w:autoRedefine/>
    <w:qFormat/>
    <w:locked/>
    <w:uiPriority w:val="99"/>
    <w:rPr>
      <w:rFonts w:ascii="黑体" w:hAnsi="黑体" w:eastAsia="黑体"/>
      <w:b/>
      <w:sz w:val="32"/>
    </w:rPr>
  </w:style>
  <w:style w:type="paragraph" w:customStyle="1" w:styleId="294">
    <w:name w:val="样式 标题 3H31.1.1标题 3条标题1.1.1h3level_3PIM 3Level 3 HeadHead...1"/>
    <w:basedOn w:val="5"/>
    <w:link w:val="293"/>
    <w:autoRedefine/>
    <w:qFormat/>
    <w:uiPriority w:val="99"/>
    <w:pPr>
      <w:tabs>
        <w:tab w:val="left" w:pos="1260"/>
      </w:tabs>
      <w:ind w:left="1260" w:hanging="420"/>
    </w:pPr>
    <w:rPr>
      <w:rFonts w:ascii="黑体" w:hAnsi="黑体" w:eastAsia="黑体"/>
      <w:bCs w:val="0"/>
      <w:kern w:val="0"/>
      <w:szCs w:val="20"/>
    </w:rPr>
  </w:style>
  <w:style w:type="character" w:customStyle="1" w:styleId="295">
    <w:name w:val="默认段落字体 Para Char Char Char Char Char"/>
    <w:link w:val="296"/>
    <w:autoRedefine/>
    <w:qFormat/>
    <w:locked/>
    <w:uiPriority w:val="99"/>
    <w:rPr>
      <w:kern w:val="2"/>
      <w:sz w:val="21"/>
    </w:rPr>
  </w:style>
  <w:style w:type="paragraph" w:customStyle="1" w:styleId="296">
    <w:name w:val="默认段落字体 Para Char Char Char Char"/>
    <w:basedOn w:val="1"/>
    <w:link w:val="295"/>
    <w:autoRedefine/>
    <w:qFormat/>
    <w:uiPriority w:val="99"/>
    <w:rPr>
      <w:szCs w:val="20"/>
    </w:rPr>
  </w:style>
  <w:style w:type="character" w:customStyle="1" w:styleId="297">
    <w:name w:val="博泵1 Char Char"/>
    <w:link w:val="298"/>
    <w:autoRedefine/>
    <w:qFormat/>
    <w:locked/>
    <w:uiPriority w:val="99"/>
    <w:rPr>
      <w:rFonts w:hAnsi="宋体"/>
      <w:color w:val="000000"/>
      <w:sz w:val="24"/>
    </w:rPr>
  </w:style>
  <w:style w:type="paragraph" w:customStyle="1" w:styleId="298">
    <w:name w:val="博泵1"/>
    <w:basedOn w:val="1"/>
    <w:link w:val="297"/>
    <w:autoRedefine/>
    <w:qFormat/>
    <w:uiPriority w:val="99"/>
    <w:pPr>
      <w:adjustRightInd w:val="0"/>
      <w:spacing w:line="480" w:lineRule="exact"/>
      <w:ind w:firstLine="200" w:firstLineChars="200"/>
      <w:jc w:val="left"/>
      <w:textAlignment w:val="baseline"/>
    </w:pPr>
    <w:rPr>
      <w:rFonts w:hAnsi="宋体"/>
      <w:color w:val="000000"/>
      <w:kern w:val="0"/>
      <w:sz w:val="24"/>
      <w:szCs w:val="20"/>
    </w:rPr>
  </w:style>
  <w:style w:type="character" w:customStyle="1" w:styleId="299">
    <w:name w:val="特点标题 Char1"/>
    <w:autoRedefine/>
    <w:qFormat/>
    <w:uiPriority w:val="99"/>
    <w:rPr>
      <w:rFonts w:eastAsia="宋体"/>
      <w:kern w:val="2"/>
      <w:sz w:val="21"/>
      <w:lang w:val="en-US" w:eastAsia="zh-CN"/>
    </w:rPr>
  </w:style>
  <w:style w:type="character" w:customStyle="1" w:styleId="300">
    <w:name w:val="报告标题3 Char Char"/>
    <w:link w:val="301"/>
    <w:autoRedefine/>
    <w:qFormat/>
    <w:locked/>
    <w:uiPriority w:val="99"/>
    <w:rPr>
      <w:b/>
      <w:color w:val="000000"/>
      <w:sz w:val="28"/>
    </w:rPr>
  </w:style>
  <w:style w:type="paragraph" w:customStyle="1" w:styleId="301">
    <w:name w:val="报告标题3"/>
    <w:basedOn w:val="5"/>
    <w:link w:val="300"/>
    <w:autoRedefine/>
    <w:qFormat/>
    <w:uiPriority w:val="99"/>
    <w:pPr>
      <w:tabs>
        <w:tab w:val="left" w:pos="1260"/>
      </w:tabs>
      <w:spacing w:before="60" w:after="60" w:line="360" w:lineRule="auto"/>
      <w:ind w:left="1260" w:hanging="420"/>
    </w:pPr>
    <w:rPr>
      <w:bCs w:val="0"/>
      <w:color w:val="000000"/>
      <w:kern w:val="0"/>
      <w:sz w:val="28"/>
      <w:szCs w:val="20"/>
    </w:rPr>
  </w:style>
  <w:style w:type="character" w:customStyle="1" w:styleId="302">
    <w:name w:val="f141"/>
    <w:autoRedefine/>
    <w:qFormat/>
    <w:uiPriority w:val="99"/>
    <w:rPr>
      <w:color w:val="000000"/>
      <w:sz w:val="21"/>
    </w:rPr>
  </w:style>
  <w:style w:type="character" w:customStyle="1" w:styleId="303">
    <w:name w:val="Plain Text Char1 Char2"/>
    <w:autoRedefine/>
    <w:qFormat/>
    <w:uiPriority w:val="99"/>
    <w:rPr>
      <w:rFonts w:ascii="宋体" w:hAnsi="Courier New" w:eastAsia="宋体"/>
      <w:kern w:val="2"/>
      <w:sz w:val="21"/>
      <w:lang w:val="en-US" w:eastAsia="zh-CN"/>
    </w:rPr>
  </w:style>
  <w:style w:type="character" w:customStyle="1" w:styleId="304">
    <w:name w:val="ourfont11"/>
    <w:autoRedefine/>
    <w:qFormat/>
    <w:uiPriority w:val="99"/>
    <w:rPr>
      <w:sz w:val="20"/>
    </w:rPr>
  </w:style>
  <w:style w:type="character" w:customStyle="1" w:styleId="305">
    <w:name w:val="Footer1 Char2"/>
    <w:autoRedefine/>
    <w:qFormat/>
    <w:uiPriority w:val="99"/>
    <w:rPr>
      <w:sz w:val="18"/>
    </w:rPr>
  </w:style>
  <w:style w:type="character" w:customStyle="1" w:styleId="306">
    <w:name w:val="文本正文 Char"/>
    <w:link w:val="307"/>
    <w:autoRedefine/>
    <w:semiHidden/>
    <w:qFormat/>
    <w:locked/>
    <w:uiPriority w:val="99"/>
    <w:rPr>
      <w:sz w:val="24"/>
    </w:rPr>
  </w:style>
  <w:style w:type="paragraph" w:customStyle="1" w:styleId="307">
    <w:name w:val="文本正文"/>
    <w:basedOn w:val="1"/>
    <w:link w:val="306"/>
    <w:autoRedefine/>
    <w:semiHidden/>
    <w:qFormat/>
    <w:uiPriority w:val="99"/>
    <w:pPr>
      <w:spacing w:line="360" w:lineRule="auto"/>
      <w:ind w:firstLine="200" w:firstLineChars="200"/>
      <w:jc w:val="left"/>
    </w:pPr>
    <w:rPr>
      <w:kern w:val="0"/>
      <w:sz w:val="24"/>
      <w:szCs w:val="20"/>
    </w:rPr>
  </w:style>
  <w:style w:type="character" w:customStyle="1" w:styleId="308">
    <w:name w:val="content"/>
    <w:autoRedefine/>
    <w:qFormat/>
    <w:uiPriority w:val="99"/>
    <w:rPr>
      <w:rFonts w:ascii="宋体" w:hAnsi="宋体" w:eastAsia="宋体"/>
      <w:kern w:val="2"/>
      <w:sz w:val="24"/>
      <w:lang w:val="en-US" w:eastAsia="zh-CN"/>
    </w:rPr>
  </w:style>
  <w:style w:type="character" w:customStyle="1" w:styleId="309">
    <w:name w:val="dectext1"/>
    <w:autoRedefine/>
    <w:qFormat/>
    <w:uiPriority w:val="99"/>
    <w:rPr>
      <w:rFonts w:ascii="宋体" w:hAnsi="宋体" w:eastAsia="宋体"/>
      <w:color w:val="333333"/>
      <w:sz w:val="21"/>
      <w:u w:val="none"/>
    </w:rPr>
  </w:style>
  <w:style w:type="character" w:customStyle="1" w:styleId="310">
    <w:name w:val="图片居中 大王 20100426 Char"/>
    <w:link w:val="311"/>
    <w:autoRedefine/>
    <w:qFormat/>
    <w:locked/>
    <w:uiPriority w:val="99"/>
    <w:rPr>
      <w:spacing w:val="10"/>
      <w:sz w:val="24"/>
    </w:rPr>
  </w:style>
  <w:style w:type="paragraph" w:customStyle="1" w:styleId="311">
    <w:name w:val="图片居中 大王 20100426"/>
    <w:basedOn w:val="1"/>
    <w:link w:val="310"/>
    <w:autoRedefine/>
    <w:qFormat/>
    <w:uiPriority w:val="99"/>
    <w:pPr>
      <w:snapToGrid w:val="0"/>
      <w:spacing w:beforeLines="20" w:afterLines="20"/>
      <w:jc w:val="center"/>
    </w:pPr>
    <w:rPr>
      <w:spacing w:val="10"/>
      <w:kern w:val="0"/>
      <w:sz w:val="24"/>
      <w:szCs w:val="20"/>
    </w:rPr>
  </w:style>
  <w:style w:type="character" w:customStyle="1" w:styleId="312">
    <w:name w:val="fontstyle01"/>
    <w:autoRedefine/>
    <w:qFormat/>
    <w:uiPriority w:val="99"/>
    <w:rPr>
      <w:rFonts w:ascii="宋体" w:hAnsi="宋体" w:eastAsia="宋体"/>
      <w:color w:val="000000"/>
      <w:sz w:val="24"/>
    </w:rPr>
  </w:style>
  <w:style w:type="character" w:customStyle="1" w:styleId="313">
    <w:name w:val="样式24 Char Char"/>
    <w:link w:val="314"/>
    <w:autoRedefine/>
    <w:qFormat/>
    <w:locked/>
    <w:uiPriority w:val="99"/>
    <w:rPr>
      <w:rFonts w:ascii="宋体" w:eastAsia="宋体"/>
      <w:b/>
      <w:spacing w:val="4"/>
      <w:sz w:val="32"/>
    </w:rPr>
  </w:style>
  <w:style w:type="paragraph" w:customStyle="1" w:styleId="314">
    <w:name w:val="样式24"/>
    <w:basedOn w:val="1"/>
    <w:link w:val="313"/>
    <w:autoRedefine/>
    <w:qFormat/>
    <w:uiPriority w:val="99"/>
    <w:pPr>
      <w:keepNext/>
      <w:jc w:val="center"/>
      <w:outlineLvl w:val="1"/>
    </w:pPr>
    <w:rPr>
      <w:rFonts w:ascii="宋体"/>
      <w:b/>
      <w:spacing w:val="4"/>
      <w:kern w:val="0"/>
      <w:sz w:val="32"/>
      <w:szCs w:val="20"/>
    </w:rPr>
  </w:style>
  <w:style w:type="character" w:customStyle="1" w:styleId="315">
    <w:name w:val="表头1 Char Char Char"/>
    <w:autoRedefine/>
    <w:qFormat/>
    <w:uiPriority w:val="99"/>
    <w:rPr>
      <w:rFonts w:eastAsia="黑体"/>
      <w:sz w:val="28"/>
      <w:lang w:val="en-US" w:eastAsia="zh-CN"/>
    </w:rPr>
  </w:style>
  <w:style w:type="character" w:customStyle="1" w:styleId="316">
    <w:name w:val="表、图名 Char"/>
    <w:link w:val="317"/>
    <w:autoRedefine/>
    <w:semiHidden/>
    <w:qFormat/>
    <w:locked/>
    <w:uiPriority w:val="99"/>
    <w:rPr>
      <w:rFonts w:ascii="宋体" w:eastAsia="黑体"/>
      <w:kern w:val="2"/>
      <w:sz w:val="24"/>
    </w:rPr>
  </w:style>
  <w:style w:type="paragraph" w:customStyle="1" w:styleId="317">
    <w:name w:val="表、图名"/>
    <w:basedOn w:val="1"/>
    <w:link w:val="316"/>
    <w:autoRedefine/>
    <w:semiHidden/>
    <w:qFormat/>
    <w:uiPriority w:val="99"/>
    <w:pPr>
      <w:adjustRightInd w:val="0"/>
      <w:snapToGrid w:val="0"/>
      <w:spacing w:line="312" w:lineRule="atLeast"/>
      <w:jc w:val="center"/>
    </w:pPr>
    <w:rPr>
      <w:rFonts w:ascii="宋体" w:eastAsia="黑体"/>
      <w:sz w:val="24"/>
      <w:szCs w:val="20"/>
    </w:rPr>
  </w:style>
  <w:style w:type="character" w:customStyle="1" w:styleId="318">
    <w:name w:val="Char Char Char Char Char Char Char Char Char"/>
    <w:autoRedefine/>
    <w:qFormat/>
    <w:uiPriority w:val="99"/>
    <w:rPr>
      <w:rFonts w:eastAsia="宋体"/>
      <w:kern w:val="2"/>
      <w:sz w:val="18"/>
      <w:lang w:val="en-US" w:eastAsia="zh-CN"/>
    </w:rPr>
  </w:style>
  <w:style w:type="character" w:customStyle="1" w:styleId="319">
    <w:name w:val="css11"/>
    <w:autoRedefine/>
    <w:qFormat/>
    <w:uiPriority w:val="99"/>
    <w:rPr>
      <w:rFonts w:ascii="宋体" w:hAnsi="宋体" w:eastAsia="宋体"/>
      <w:color w:val="336633"/>
      <w:sz w:val="18"/>
    </w:rPr>
  </w:style>
  <w:style w:type="character" w:customStyle="1" w:styleId="320">
    <w:name w:val="表格内容 Char"/>
    <w:link w:val="321"/>
    <w:autoRedefine/>
    <w:qFormat/>
    <w:locked/>
    <w:uiPriority w:val="99"/>
    <w:rPr>
      <w:sz w:val="21"/>
    </w:rPr>
  </w:style>
  <w:style w:type="paragraph" w:customStyle="1" w:styleId="321">
    <w:name w:val="表格内容"/>
    <w:basedOn w:val="8"/>
    <w:link w:val="320"/>
    <w:autoRedefine/>
    <w:qFormat/>
    <w:uiPriority w:val="99"/>
    <w:pPr>
      <w:autoSpaceDE w:val="0"/>
      <w:autoSpaceDN w:val="0"/>
      <w:adjustRightInd w:val="0"/>
      <w:jc w:val="left"/>
    </w:pPr>
    <w:rPr>
      <w:kern w:val="0"/>
    </w:rPr>
  </w:style>
  <w:style w:type="character" w:customStyle="1" w:styleId="322">
    <w:name w:val="样式69 Char Char"/>
    <w:link w:val="323"/>
    <w:autoRedefine/>
    <w:qFormat/>
    <w:locked/>
    <w:uiPriority w:val="99"/>
    <w:rPr>
      <w:rFonts w:ascii="宋体" w:hAnsi="宋体"/>
      <w:color w:val="000000"/>
      <w:kern w:val="0"/>
      <w:sz w:val="20"/>
      <w:szCs w:val="20"/>
    </w:rPr>
  </w:style>
  <w:style w:type="paragraph" w:customStyle="1" w:styleId="323">
    <w:name w:val="样式69"/>
    <w:basedOn w:val="1"/>
    <w:link w:val="322"/>
    <w:autoRedefine/>
    <w:qFormat/>
    <w:uiPriority w:val="99"/>
    <w:pPr>
      <w:numPr>
        <w:ilvl w:val="0"/>
        <w:numId w:val="3"/>
      </w:numPr>
      <w:ind w:left="0" w:firstLine="0"/>
      <w:jc w:val="center"/>
    </w:pPr>
    <w:rPr>
      <w:rFonts w:ascii="宋体" w:hAnsi="宋体"/>
      <w:color w:val="000000"/>
      <w:kern w:val="0"/>
      <w:sz w:val="20"/>
      <w:szCs w:val="20"/>
    </w:rPr>
  </w:style>
  <w:style w:type="character" w:customStyle="1" w:styleId="324">
    <w:name w:val="s19n338"/>
    <w:autoRedefine/>
    <w:qFormat/>
    <w:uiPriority w:val="99"/>
  </w:style>
  <w:style w:type="character" w:customStyle="1" w:styleId="325">
    <w:name w:val="1.1.1 Char Char"/>
    <w:link w:val="326"/>
    <w:autoRedefine/>
    <w:qFormat/>
    <w:locked/>
    <w:uiPriority w:val="99"/>
    <w:rPr>
      <w:rFonts w:eastAsia="黑体"/>
      <w:sz w:val="24"/>
    </w:rPr>
  </w:style>
  <w:style w:type="paragraph" w:customStyle="1" w:styleId="326">
    <w:name w:val="1.1.1"/>
    <w:basedOn w:val="1"/>
    <w:link w:val="325"/>
    <w:autoRedefine/>
    <w:qFormat/>
    <w:uiPriority w:val="99"/>
    <w:pPr>
      <w:spacing w:line="600" w:lineRule="exact"/>
      <w:outlineLvl w:val="0"/>
    </w:pPr>
    <w:rPr>
      <w:rFonts w:eastAsia="黑体"/>
      <w:kern w:val="0"/>
      <w:sz w:val="24"/>
      <w:szCs w:val="20"/>
    </w:rPr>
  </w:style>
  <w:style w:type="character" w:customStyle="1" w:styleId="327">
    <w:name w:val="s6wwf"/>
    <w:autoRedefine/>
    <w:qFormat/>
    <w:uiPriority w:val="99"/>
  </w:style>
  <w:style w:type="character" w:customStyle="1" w:styleId="328">
    <w:name w:val="正文 大王 20100426 Char"/>
    <w:link w:val="329"/>
    <w:autoRedefine/>
    <w:qFormat/>
    <w:locked/>
    <w:uiPriority w:val="99"/>
    <w:rPr>
      <w:spacing w:val="10"/>
      <w:kern w:val="0"/>
      <w:sz w:val="24"/>
      <w:szCs w:val="20"/>
    </w:rPr>
  </w:style>
  <w:style w:type="paragraph" w:customStyle="1" w:styleId="329">
    <w:name w:val="正文 大王 20100426"/>
    <w:basedOn w:val="1"/>
    <w:link w:val="328"/>
    <w:autoRedefine/>
    <w:qFormat/>
    <w:uiPriority w:val="99"/>
    <w:pPr>
      <w:numPr>
        <w:ilvl w:val="2"/>
        <w:numId w:val="4"/>
      </w:numPr>
      <w:snapToGrid w:val="0"/>
      <w:spacing w:beforeLines="20" w:afterLines="20" w:line="360" w:lineRule="auto"/>
      <w:ind w:left="0" w:firstLine="520" w:firstLineChars="200"/>
    </w:pPr>
    <w:rPr>
      <w:spacing w:val="10"/>
      <w:kern w:val="0"/>
      <w:sz w:val="24"/>
      <w:szCs w:val="20"/>
    </w:rPr>
  </w:style>
  <w:style w:type="character" w:customStyle="1" w:styleId="330">
    <w:name w:val="unnamed3"/>
    <w:autoRedefine/>
    <w:qFormat/>
    <w:uiPriority w:val="99"/>
  </w:style>
  <w:style w:type="character" w:customStyle="1" w:styleId="331">
    <w:name w:val="表内容 Char Char"/>
    <w:autoRedefine/>
    <w:qFormat/>
    <w:uiPriority w:val="99"/>
    <w:rPr>
      <w:rFonts w:eastAsia="宋体"/>
    </w:rPr>
  </w:style>
  <w:style w:type="character" w:customStyle="1" w:styleId="332">
    <w:name w:val="question-title2"/>
    <w:autoRedefine/>
    <w:qFormat/>
    <w:uiPriority w:val="99"/>
  </w:style>
  <w:style w:type="character" w:customStyle="1" w:styleId="333">
    <w:name w:val="表内文字 Char"/>
    <w:link w:val="334"/>
    <w:autoRedefine/>
    <w:qFormat/>
    <w:locked/>
    <w:uiPriority w:val="99"/>
    <w:rPr>
      <w:kern w:val="2"/>
      <w:sz w:val="24"/>
    </w:rPr>
  </w:style>
  <w:style w:type="paragraph" w:customStyle="1" w:styleId="334">
    <w:name w:val="表内文字"/>
    <w:basedOn w:val="1"/>
    <w:next w:val="1"/>
    <w:link w:val="333"/>
    <w:autoRedefine/>
    <w:qFormat/>
    <w:uiPriority w:val="99"/>
    <w:pPr>
      <w:jc w:val="center"/>
    </w:pPr>
    <w:rPr>
      <w:sz w:val="24"/>
      <w:szCs w:val="20"/>
    </w:rPr>
  </w:style>
  <w:style w:type="character" w:customStyle="1" w:styleId="335">
    <w:name w:val="postbody1"/>
    <w:autoRedefine/>
    <w:qFormat/>
    <w:uiPriority w:val="99"/>
    <w:rPr>
      <w:sz w:val="21"/>
    </w:rPr>
  </w:style>
  <w:style w:type="character" w:customStyle="1" w:styleId="336">
    <w:name w:val="!正文_ALT+Z Char Char"/>
    <w:link w:val="337"/>
    <w:autoRedefine/>
    <w:qFormat/>
    <w:locked/>
    <w:uiPriority w:val="99"/>
    <w:rPr>
      <w:rFonts w:eastAsia="仿宋_GB2312"/>
      <w:kern w:val="2"/>
      <w:sz w:val="28"/>
    </w:rPr>
  </w:style>
  <w:style w:type="paragraph" w:customStyle="1" w:styleId="337">
    <w:name w:val="!正文_ALT+Z"/>
    <w:basedOn w:val="1"/>
    <w:link w:val="336"/>
    <w:autoRedefine/>
    <w:qFormat/>
    <w:uiPriority w:val="99"/>
    <w:pPr>
      <w:spacing w:line="520" w:lineRule="exact"/>
      <w:ind w:firstLine="200" w:firstLineChars="200"/>
    </w:pPr>
    <w:rPr>
      <w:rFonts w:eastAsia="仿宋_GB2312"/>
      <w:sz w:val="28"/>
      <w:szCs w:val="20"/>
    </w:rPr>
  </w:style>
  <w:style w:type="character" w:customStyle="1" w:styleId="338">
    <w:name w:val="表头1 Char Char"/>
    <w:autoRedefine/>
    <w:qFormat/>
    <w:uiPriority w:val="99"/>
    <w:rPr>
      <w:b/>
      <w:color w:val="000000"/>
      <w:sz w:val="24"/>
    </w:rPr>
  </w:style>
  <w:style w:type="character" w:customStyle="1" w:styleId="339">
    <w:name w:val="正文文本缩进 Char Char"/>
    <w:autoRedefine/>
    <w:qFormat/>
    <w:uiPriority w:val="99"/>
    <w:rPr>
      <w:rFonts w:ascii="Times New Roman" w:hAnsi="Times New Roman"/>
      <w:sz w:val="24"/>
    </w:rPr>
  </w:style>
  <w:style w:type="character" w:customStyle="1" w:styleId="340">
    <w:name w:val="Char Char11"/>
    <w:autoRedefine/>
    <w:qFormat/>
    <w:uiPriority w:val="99"/>
    <w:rPr>
      <w:rFonts w:ascii="宋体" w:hAnsi="宋体" w:eastAsia="宋体"/>
      <w:kern w:val="2"/>
      <w:sz w:val="18"/>
      <w:lang w:val="en-US" w:eastAsia="zh-CN"/>
    </w:rPr>
  </w:style>
  <w:style w:type="character" w:customStyle="1" w:styleId="341">
    <w:name w:val="日期 字符"/>
    <w:autoRedefine/>
    <w:qFormat/>
    <w:uiPriority w:val="99"/>
    <w:rPr>
      <w:rFonts w:ascii="Times New Roman" w:hAnsi="Times New Roman" w:eastAsia="宋体"/>
      <w:sz w:val="24"/>
    </w:rPr>
  </w:style>
  <w:style w:type="character" w:customStyle="1" w:styleId="342">
    <w:name w:val="z-窗体顶端 Char"/>
    <w:link w:val="343"/>
    <w:autoRedefine/>
    <w:qFormat/>
    <w:locked/>
    <w:uiPriority w:val="99"/>
    <w:rPr>
      <w:rFonts w:ascii="宋体" w:hAnsi="Courier New"/>
      <w:sz w:val="24"/>
    </w:rPr>
  </w:style>
  <w:style w:type="paragraph" w:customStyle="1" w:styleId="343">
    <w:name w:val="z-窗体顶端1"/>
    <w:basedOn w:val="1"/>
    <w:next w:val="1"/>
    <w:link w:val="342"/>
    <w:autoRedefine/>
    <w:qFormat/>
    <w:uiPriority w:val="99"/>
    <w:pPr>
      <w:pBdr>
        <w:bottom w:val="single" w:color="auto" w:sz="6" w:space="1"/>
      </w:pBdr>
      <w:adjustRightInd w:val="0"/>
      <w:snapToGrid w:val="0"/>
      <w:spacing w:line="300" w:lineRule="auto"/>
      <w:jc w:val="center"/>
    </w:pPr>
    <w:rPr>
      <w:rFonts w:ascii="宋体" w:hAnsi="Courier New"/>
      <w:kern w:val="0"/>
      <w:sz w:val="24"/>
      <w:szCs w:val="20"/>
    </w:rPr>
  </w:style>
  <w:style w:type="character" w:customStyle="1" w:styleId="344">
    <w:name w:val="tpc_content"/>
    <w:autoRedefine/>
    <w:qFormat/>
    <w:uiPriority w:val="99"/>
    <w:rPr>
      <w:rFonts w:ascii="宋体" w:hAnsi="宋体" w:eastAsia="宋体"/>
      <w:kern w:val="2"/>
      <w:sz w:val="24"/>
      <w:lang w:val="en-US" w:eastAsia="zh-CN"/>
    </w:rPr>
  </w:style>
  <w:style w:type="character" w:customStyle="1" w:styleId="345">
    <w:name w:val="text_new"/>
    <w:autoRedefine/>
    <w:qFormat/>
    <w:uiPriority w:val="99"/>
  </w:style>
  <w:style w:type="character" w:customStyle="1" w:styleId="346">
    <w:name w:val="Char Char12"/>
    <w:autoRedefine/>
    <w:qFormat/>
    <w:uiPriority w:val="99"/>
    <w:rPr>
      <w:rFonts w:eastAsia="宋体"/>
      <w:kern w:val="2"/>
      <w:sz w:val="18"/>
      <w:lang w:val="en-US" w:eastAsia="zh-CN"/>
    </w:rPr>
  </w:style>
  <w:style w:type="character" w:customStyle="1" w:styleId="347">
    <w:name w:val="表 标题 Char Char"/>
    <w:link w:val="348"/>
    <w:autoRedefine/>
    <w:qFormat/>
    <w:locked/>
    <w:uiPriority w:val="99"/>
    <w:rPr>
      <w:b/>
      <w:sz w:val="24"/>
    </w:rPr>
  </w:style>
  <w:style w:type="paragraph" w:customStyle="1" w:styleId="348">
    <w:name w:val="表 标题"/>
    <w:basedOn w:val="72"/>
    <w:next w:val="1"/>
    <w:link w:val="347"/>
    <w:autoRedefine/>
    <w:qFormat/>
    <w:uiPriority w:val="99"/>
    <w:pPr>
      <w:tabs>
        <w:tab w:val="clear" w:pos="8312"/>
      </w:tabs>
      <w:adjustRightInd/>
      <w:spacing w:beforeLines="50" w:line="240" w:lineRule="auto"/>
      <w:jc w:val="center"/>
      <w:textAlignment w:val="auto"/>
    </w:pPr>
    <w:rPr>
      <w:rFonts w:ascii="Times New Roman"/>
      <w:b/>
      <w:sz w:val="24"/>
    </w:rPr>
  </w:style>
  <w:style w:type="character" w:customStyle="1" w:styleId="349">
    <w:name w:val="content1"/>
    <w:autoRedefine/>
    <w:qFormat/>
    <w:uiPriority w:val="99"/>
    <w:rPr>
      <w:sz w:val="21"/>
    </w:rPr>
  </w:style>
  <w:style w:type="character" w:customStyle="1" w:styleId="350">
    <w:name w:val="表格内容 Char Char"/>
    <w:autoRedefine/>
    <w:qFormat/>
    <w:uiPriority w:val="99"/>
    <w:rPr>
      <w:rFonts w:eastAsia="宋体"/>
      <w:sz w:val="24"/>
    </w:rPr>
  </w:style>
  <w:style w:type="character" w:customStyle="1" w:styleId="351">
    <w:name w:val="表格标题新 Char Char"/>
    <w:link w:val="352"/>
    <w:autoRedefine/>
    <w:qFormat/>
    <w:locked/>
    <w:uiPriority w:val="99"/>
    <w:rPr>
      <w:rFonts w:eastAsia="仿宋_GB2312"/>
      <w:b/>
      <w:sz w:val="24"/>
    </w:rPr>
  </w:style>
  <w:style w:type="paragraph" w:customStyle="1" w:styleId="352">
    <w:name w:val="表格标题新"/>
    <w:basedOn w:val="177"/>
    <w:link w:val="351"/>
    <w:autoRedefine/>
    <w:qFormat/>
    <w:uiPriority w:val="99"/>
    <w:pPr>
      <w:spacing w:beforeLines="50" w:line="360" w:lineRule="auto"/>
      <w:ind w:firstLine="561" w:firstLineChars="200"/>
    </w:pPr>
    <w:rPr>
      <w:b/>
      <w:kern w:val="0"/>
    </w:rPr>
  </w:style>
  <w:style w:type="character" w:customStyle="1" w:styleId="353">
    <w:name w:val="sz3evj"/>
    <w:autoRedefine/>
    <w:qFormat/>
    <w:uiPriority w:val="99"/>
  </w:style>
  <w:style w:type="character" w:customStyle="1" w:styleId="354">
    <w:name w:val="宏文本 Char1"/>
    <w:autoRedefine/>
    <w:semiHidden/>
    <w:qFormat/>
    <w:uiPriority w:val="99"/>
    <w:rPr>
      <w:rFonts w:ascii="Courier New" w:hAnsi="Courier New" w:eastAsia="宋体"/>
      <w:sz w:val="24"/>
    </w:rPr>
  </w:style>
  <w:style w:type="character" w:customStyle="1" w:styleId="355">
    <w:name w:val="sl0m"/>
    <w:autoRedefine/>
    <w:qFormat/>
    <w:uiPriority w:val="99"/>
  </w:style>
  <w:style w:type="character" w:customStyle="1" w:styleId="356">
    <w:name w:val="标题3 Char"/>
    <w:link w:val="357"/>
    <w:autoRedefine/>
    <w:qFormat/>
    <w:locked/>
    <w:uiPriority w:val="99"/>
    <w:rPr>
      <w:rFonts w:eastAsia="黑体"/>
      <w:sz w:val="24"/>
    </w:rPr>
  </w:style>
  <w:style w:type="paragraph" w:customStyle="1" w:styleId="357">
    <w:name w:val="标题3"/>
    <w:basedOn w:val="1"/>
    <w:next w:val="1"/>
    <w:link w:val="356"/>
    <w:autoRedefine/>
    <w:qFormat/>
    <w:uiPriority w:val="99"/>
    <w:pPr>
      <w:keepNext/>
      <w:keepLines/>
      <w:adjustRightInd w:val="0"/>
      <w:snapToGrid w:val="0"/>
      <w:spacing w:after="50" w:line="416" w:lineRule="atLeast"/>
      <w:outlineLvl w:val="2"/>
    </w:pPr>
    <w:rPr>
      <w:rFonts w:eastAsia="黑体"/>
      <w:kern w:val="0"/>
      <w:sz w:val="24"/>
      <w:szCs w:val="20"/>
    </w:rPr>
  </w:style>
  <w:style w:type="character" w:customStyle="1" w:styleId="358">
    <w:name w:val="段落1 Char"/>
    <w:link w:val="359"/>
    <w:autoRedefine/>
    <w:qFormat/>
    <w:locked/>
    <w:uiPriority w:val="99"/>
    <w:rPr>
      <w:rFonts w:ascii="宋体" w:eastAsia="宋体"/>
      <w:color w:val="000000"/>
      <w:kern w:val="28"/>
      <w:sz w:val="28"/>
    </w:rPr>
  </w:style>
  <w:style w:type="paragraph" w:customStyle="1" w:styleId="359">
    <w:name w:val="段落1"/>
    <w:basedOn w:val="1"/>
    <w:link w:val="358"/>
    <w:autoRedefine/>
    <w:qFormat/>
    <w:uiPriority w:val="99"/>
    <w:pPr>
      <w:snapToGrid w:val="0"/>
      <w:spacing w:beforeLines="10" w:afterLines="10" w:line="360" w:lineRule="auto"/>
      <w:ind w:firstLine="420" w:firstLineChars="150"/>
    </w:pPr>
    <w:rPr>
      <w:rFonts w:ascii="宋体"/>
      <w:color w:val="000000"/>
      <w:kern w:val="28"/>
      <w:sz w:val="28"/>
      <w:szCs w:val="20"/>
    </w:rPr>
  </w:style>
  <w:style w:type="character" w:customStyle="1" w:styleId="360">
    <w:name w:val="表内式样 Char1"/>
    <w:link w:val="361"/>
    <w:autoRedefine/>
    <w:qFormat/>
    <w:locked/>
    <w:uiPriority w:val="99"/>
    <w:rPr>
      <w:rFonts w:ascii="宋体"/>
      <w:sz w:val="21"/>
      <w:lang w:val="en-US" w:eastAsia="zh-CN"/>
    </w:rPr>
  </w:style>
  <w:style w:type="paragraph" w:customStyle="1" w:styleId="361">
    <w:name w:val="表内式样"/>
    <w:link w:val="360"/>
    <w:autoRedefine/>
    <w:qFormat/>
    <w:uiPriority w:val="99"/>
    <w:pPr>
      <w:keepLines/>
      <w:widowControl w:val="0"/>
      <w:kinsoku w:val="0"/>
      <w:overflowPunct w:val="0"/>
      <w:adjustRightInd w:val="0"/>
      <w:jc w:val="center"/>
    </w:pPr>
    <w:rPr>
      <w:rFonts w:ascii="宋体" w:hAnsi="Times New Roman" w:eastAsia="宋体" w:cs="Times New Roman"/>
      <w:sz w:val="21"/>
      <w:szCs w:val="21"/>
      <w:lang w:val="en-US" w:eastAsia="zh-CN" w:bidi="ar-SA"/>
    </w:rPr>
  </w:style>
  <w:style w:type="character" w:customStyle="1" w:styleId="362">
    <w:name w:val="标题 3 Char1 Char1"/>
    <w:autoRedefine/>
    <w:qFormat/>
    <w:uiPriority w:val="99"/>
    <w:rPr>
      <w:rFonts w:ascii="宋体" w:hAnsi="宋体" w:eastAsia="宋体"/>
      <w:b/>
      <w:caps/>
      <w:color w:val="000000"/>
      <w:kern w:val="2"/>
      <w:sz w:val="24"/>
      <w:lang w:val="zh-CN" w:eastAsia="zh-CN"/>
    </w:rPr>
  </w:style>
  <w:style w:type="character" w:customStyle="1" w:styleId="363">
    <w:name w:val="3zw1"/>
    <w:autoRedefine/>
    <w:qFormat/>
    <w:uiPriority w:val="99"/>
    <w:rPr>
      <w:color w:val="000000"/>
      <w:sz w:val="21"/>
    </w:rPr>
  </w:style>
  <w:style w:type="character" w:customStyle="1" w:styleId="364">
    <w:name w:val="s0s4w"/>
    <w:autoRedefine/>
    <w:qFormat/>
    <w:uiPriority w:val="99"/>
  </w:style>
  <w:style w:type="character" w:customStyle="1" w:styleId="365">
    <w:name w:val="表 Char"/>
    <w:link w:val="366"/>
    <w:autoRedefine/>
    <w:qFormat/>
    <w:locked/>
    <w:uiPriority w:val="99"/>
    <w:rPr>
      <w:spacing w:val="2"/>
      <w:kern w:val="2"/>
      <w:sz w:val="24"/>
    </w:rPr>
  </w:style>
  <w:style w:type="paragraph" w:customStyle="1" w:styleId="366">
    <w:name w:val="表"/>
    <w:basedOn w:val="1"/>
    <w:link w:val="365"/>
    <w:autoRedefine/>
    <w:qFormat/>
    <w:uiPriority w:val="99"/>
    <w:pPr>
      <w:adjustRightInd w:val="0"/>
      <w:snapToGrid w:val="0"/>
      <w:jc w:val="center"/>
    </w:pPr>
    <w:rPr>
      <w:spacing w:val="2"/>
      <w:sz w:val="24"/>
      <w:szCs w:val="20"/>
    </w:rPr>
  </w:style>
  <w:style w:type="character" w:customStyle="1" w:styleId="367">
    <w:name w:val="style391"/>
    <w:autoRedefine/>
    <w:qFormat/>
    <w:uiPriority w:val="99"/>
    <w:rPr>
      <w:b/>
      <w:color w:val="005984"/>
      <w:sz w:val="21"/>
    </w:rPr>
  </w:style>
  <w:style w:type="character" w:customStyle="1" w:styleId="368">
    <w:name w:val="正文 首行缩进:  2 字符 Char"/>
    <w:link w:val="369"/>
    <w:autoRedefine/>
    <w:semiHidden/>
    <w:qFormat/>
    <w:locked/>
    <w:uiPriority w:val="99"/>
    <w:rPr>
      <w:kern w:val="2"/>
      <w:sz w:val="24"/>
    </w:rPr>
  </w:style>
  <w:style w:type="paragraph" w:customStyle="1" w:styleId="369">
    <w:name w:val="正文 首行缩进:  2 字符"/>
    <w:basedOn w:val="1"/>
    <w:link w:val="368"/>
    <w:autoRedefine/>
    <w:semiHidden/>
    <w:qFormat/>
    <w:uiPriority w:val="99"/>
    <w:pPr>
      <w:snapToGrid w:val="0"/>
      <w:spacing w:line="500" w:lineRule="exact"/>
      <w:ind w:firstLine="480" w:firstLineChars="200"/>
      <w:jc w:val="left"/>
    </w:pPr>
    <w:rPr>
      <w:sz w:val="24"/>
      <w:szCs w:val="20"/>
    </w:rPr>
  </w:style>
  <w:style w:type="character" w:customStyle="1" w:styleId="370">
    <w:name w:val="样式91 Char Char"/>
    <w:link w:val="371"/>
    <w:autoRedefine/>
    <w:qFormat/>
    <w:locked/>
    <w:uiPriority w:val="99"/>
    <w:rPr>
      <w:rFonts w:ascii="宋体" w:eastAsia="宋体"/>
      <w:color w:val="000000"/>
      <w:sz w:val="28"/>
    </w:rPr>
  </w:style>
  <w:style w:type="paragraph" w:customStyle="1" w:styleId="371">
    <w:name w:val="样式91"/>
    <w:basedOn w:val="1"/>
    <w:link w:val="370"/>
    <w:autoRedefine/>
    <w:qFormat/>
    <w:uiPriority w:val="99"/>
    <w:pPr>
      <w:spacing w:line="480" w:lineRule="exact"/>
      <w:ind w:firstLine="560" w:firstLineChars="200"/>
    </w:pPr>
    <w:rPr>
      <w:rFonts w:ascii="宋体"/>
      <w:color w:val="000000"/>
      <w:kern w:val="0"/>
      <w:sz w:val="28"/>
      <w:szCs w:val="20"/>
    </w:rPr>
  </w:style>
  <w:style w:type="character" w:customStyle="1" w:styleId="372">
    <w:name w:val="表内容 Char"/>
    <w:link w:val="373"/>
    <w:autoRedefine/>
    <w:qFormat/>
    <w:locked/>
    <w:uiPriority w:val="99"/>
    <w:rPr>
      <w:kern w:val="2"/>
      <w:sz w:val="21"/>
    </w:rPr>
  </w:style>
  <w:style w:type="paragraph" w:customStyle="1" w:styleId="373">
    <w:name w:val="表内容"/>
    <w:basedOn w:val="1"/>
    <w:next w:val="1"/>
    <w:link w:val="372"/>
    <w:autoRedefine/>
    <w:qFormat/>
    <w:uiPriority w:val="99"/>
    <w:pPr>
      <w:spacing w:line="320" w:lineRule="exact"/>
      <w:jc w:val="center"/>
    </w:pPr>
    <w:rPr>
      <w:szCs w:val="20"/>
    </w:rPr>
  </w:style>
  <w:style w:type="character" w:customStyle="1" w:styleId="374">
    <w:name w:val="style81"/>
    <w:autoRedefine/>
    <w:qFormat/>
    <w:uiPriority w:val="99"/>
    <w:rPr>
      <w:rFonts w:ascii="宋体" w:hAnsi="宋体" w:eastAsia="宋体"/>
    </w:rPr>
  </w:style>
  <w:style w:type="character" w:customStyle="1" w:styleId="375">
    <w:name w:val="s5y7c"/>
    <w:autoRedefine/>
    <w:qFormat/>
    <w:uiPriority w:val="99"/>
  </w:style>
  <w:style w:type="character" w:customStyle="1" w:styleId="376">
    <w:name w:val="title41"/>
    <w:autoRedefine/>
    <w:qFormat/>
    <w:uiPriority w:val="99"/>
  </w:style>
  <w:style w:type="character" w:customStyle="1" w:styleId="377">
    <w:name w:val="报告正文 Char"/>
    <w:link w:val="378"/>
    <w:autoRedefine/>
    <w:qFormat/>
    <w:locked/>
    <w:uiPriority w:val="0"/>
    <w:rPr>
      <w:kern w:val="2"/>
      <w:sz w:val="24"/>
      <w:lang w:val="zh-CN"/>
    </w:rPr>
  </w:style>
  <w:style w:type="paragraph" w:customStyle="1" w:styleId="378">
    <w:name w:val="报告正文"/>
    <w:basedOn w:val="1"/>
    <w:link w:val="377"/>
    <w:autoRedefine/>
    <w:qFormat/>
    <w:uiPriority w:val="0"/>
    <w:pPr>
      <w:adjustRightInd w:val="0"/>
      <w:snapToGrid w:val="0"/>
      <w:spacing w:line="360" w:lineRule="auto"/>
      <w:ind w:firstLine="200" w:firstLineChars="200"/>
    </w:pPr>
    <w:rPr>
      <w:sz w:val="24"/>
      <w:szCs w:val="20"/>
      <w:lang w:val="zh-CN"/>
    </w:rPr>
  </w:style>
  <w:style w:type="character" w:customStyle="1" w:styleId="379">
    <w:name w:val="paragragh1"/>
    <w:autoRedefine/>
    <w:qFormat/>
    <w:uiPriority w:val="99"/>
    <w:rPr>
      <w:color w:val="004040"/>
      <w:sz w:val="21"/>
    </w:rPr>
  </w:style>
  <w:style w:type="character" w:customStyle="1" w:styleId="380">
    <w:name w:val="标题 1 Char Char"/>
    <w:autoRedefine/>
    <w:qFormat/>
    <w:uiPriority w:val="99"/>
    <w:rPr>
      <w:rFonts w:ascii="宋体" w:hAnsi="宋体" w:eastAsia="宋体"/>
      <w:b/>
      <w:kern w:val="44"/>
      <w:sz w:val="44"/>
      <w:lang w:val="en-US" w:eastAsia="zh-CN"/>
    </w:rPr>
  </w:style>
  <w:style w:type="character" w:customStyle="1" w:styleId="381">
    <w:name w:val="表标题 Char Char"/>
    <w:autoRedefine/>
    <w:qFormat/>
    <w:uiPriority w:val="99"/>
    <w:rPr>
      <w:rFonts w:eastAsia="宋体"/>
      <w:b/>
      <w:sz w:val="18"/>
    </w:rPr>
  </w:style>
  <w:style w:type="character" w:customStyle="1" w:styleId="382">
    <w:name w:val="t_tag"/>
    <w:autoRedefine/>
    <w:qFormat/>
    <w:uiPriority w:val="99"/>
    <w:rPr>
      <w:rFonts w:ascii="宋体" w:hAnsi="宋体" w:eastAsia="宋体"/>
      <w:kern w:val="2"/>
      <w:sz w:val="24"/>
      <w:lang w:val="en-US" w:eastAsia="zh-CN"/>
    </w:rPr>
  </w:style>
  <w:style w:type="character" w:customStyle="1" w:styleId="383">
    <w:name w:val="s2ze7v"/>
    <w:autoRedefine/>
    <w:qFormat/>
    <w:uiPriority w:val="99"/>
  </w:style>
  <w:style w:type="character" w:customStyle="1" w:styleId="384">
    <w:name w:val="tpc_title"/>
    <w:autoRedefine/>
    <w:qFormat/>
    <w:uiPriority w:val="99"/>
    <w:rPr>
      <w:rFonts w:ascii="宋体" w:hAnsi="宋体" w:eastAsia="宋体"/>
      <w:kern w:val="2"/>
      <w:sz w:val="24"/>
      <w:lang w:val="en-US" w:eastAsia="zh-CN"/>
    </w:rPr>
  </w:style>
  <w:style w:type="character" w:customStyle="1" w:styleId="385">
    <w:name w:val="正文1 Char"/>
    <w:link w:val="58"/>
    <w:autoRedefine/>
    <w:qFormat/>
    <w:locked/>
    <w:uiPriority w:val="99"/>
    <w:rPr>
      <w:kern w:val="2"/>
      <w:sz w:val="24"/>
    </w:rPr>
  </w:style>
  <w:style w:type="character" w:customStyle="1" w:styleId="386">
    <w:name w:val="gray_text12"/>
    <w:autoRedefine/>
    <w:qFormat/>
    <w:uiPriority w:val="99"/>
  </w:style>
  <w:style w:type="character" w:customStyle="1" w:styleId="387">
    <w:name w:val="样式 表格内容 + (符号) 宋体 Char"/>
    <w:link w:val="388"/>
    <w:autoRedefine/>
    <w:qFormat/>
    <w:locked/>
    <w:uiPriority w:val="99"/>
    <w:rPr>
      <w:sz w:val="21"/>
    </w:rPr>
  </w:style>
  <w:style w:type="paragraph" w:customStyle="1" w:styleId="388">
    <w:name w:val="样式 表格内容 + (符号) 宋体"/>
    <w:basedOn w:val="321"/>
    <w:link w:val="387"/>
    <w:autoRedefine/>
    <w:qFormat/>
    <w:uiPriority w:val="99"/>
  </w:style>
  <w:style w:type="character" w:customStyle="1" w:styleId="389">
    <w:name w:val="报告书正文 Char"/>
    <w:autoRedefine/>
    <w:qFormat/>
    <w:uiPriority w:val="99"/>
    <w:rPr>
      <w:rFonts w:ascii="宋体" w:hAnsi="宋体" w:eastAsia="宋体"/>
      <w:kern w:val="2"/>
      <w:sz w:val="24"/>
      <w:lang w:val="en-US" w:eastAsia="zh-CN"/>
    </w:rPr>
  </w:style>
  <w:style w:type="character" w:customStyle="1" w:styleId="390">
    <w:name w:val="甲乙酮正文 Char Char"/>
    <w:link w:val="391"/>
    <w:autoRedefine/>
    <w:qFormat/>
    <w:locked/>
    <w:uiPriority w:val="99"/>
    <w:rPr>
      <w:color w:val="000000"/>
      <w:sz w:val="24"/>
    </w:rPr>
  </w:style>
  <w:style w:type="paragraph" w:customStyle="1" w:styleId="391">
    <w:name w:val="甲乙酮正文"/>
    <w:basedOn w:val="84"/>
    <w:link w:val="390"/>
    <w:autoRedefine/>
    <w:qFormat/>
    <w:uiPriority w:val="99"/>
    <w:pPr>
      <w:spacing w:after="0" w:line="360" w:lineRule="auto"/>
      <w:ind w:firstLine="200" w:firstLineChars="200"/>
      <w:jc w:val="left"/>
    </w:pPr>
    <w:rPr>
      <w:color w:val="000000"/>
      <w:kern w:val="0"/>
      <w:sz w:val="24"/>
      <w:szCs w:val="20"/>
    </w:rPr>
  </w:style>
  <w:style w:type="character" w:customStyle="1" w:styleId="392">
    <w:name w:val="正文文字 Char Char"/>
    <w:autoRedefine/>
    <w:qFormat/>
    <w:uiPriority w:val="99"/>
    <w:rPr>
      <w:rFonts w:ascii="宋体" w:hAnsi="宋体" w:eastAsia="宋体"/>
      <w:kern w:val="2"/>
      <w:sz w:val="24"/>
      <w:lang w:val="en-US" w:eastAsia="zh-CN"/>
    </w:rPr>
  </w:style>
  <w:style w:type="character" w:customStyle="1" w:styleId="393">
    <w:name w:val="headline-content2"/>
    <w:autoRedefine/>
    <w:qFormat/>
    <w:uiPriority w:val="99"/>
  </w:style>
  <w:style w:type="character" w:customStyle="1" w:styleId="394">
    <w:name w:val="grame"/>
    <w:autoRedefine/>
    <w:qFormat/>
    <w:uiPriority w:val="99"/>
  </w:style>
  <w:style w:type="character" w:customStyle="1" w:styleId="395">
    <w:name w:val="报告 Char"/>
    <w:link w:val="396"/>
    <w:autoRedefine/>
    <w:qFormat/>
    <w:locked/>
    <w:uiPriority w:val="99"/>
    <w:rPr>
      <w:sz w:val="24"/>
    </w:rPr>
  </w:style>
  <w:style w:type="paragraph" w:customStyle="1" w:styleId="396">
    <w:name w:val="报告"/>
    <w:basedOn w:val="1"/>
    <w:link w:val="395"/>
    <w:autoRedefine/>
    <w:qFormat/>
    <w:uiPriority w:val="99"/>
    <w:pPr>
      <w:adjustRightInd w:val="0"/>
      <w:spacing w:line="360" w:lineRule="auto"/>
      <w:ind w:firstLine="505"/>
      <w:textAlignment w:val="baseline"/>
    </w:pPr>
    <w:rPr>
      <w:kern w:val="0"/>
      <w:sz w:val="24"/>
      <w:szCs w:val="20"/>
    </w:rPr>
  </w:style>
  <w:style w:type="character" w:customStyle="1" w:styleId="397">
    <w:name w:val="dash6b63-6587--char"/>
    <w:autoRedefine/>
    <w:qFormat/>
    <w:uiPriority w:val="99"/>
    <w:rPr>
      <w:rFonts w:ascii="宋体" w:hAnsi="宋体" w:eastAsia="宋体"/>
      <w:kern w:val="2"/>
      <w:sz w:val="24"/>
      <w:lang w:val="en-US" w:eastAsia="zh-CN"/>
    </w:rPr>
  </w:style>
  <w:style w:type="character" w:customStyle="1" w:styleId="398">
    <w:name w:val="dz1"/>
    <w:autoRedefine/>
    <w:qFormat/>
    <w:uiPriority w:val="99"/>
    <w:rPr>
      <w:rFonts w:ascii="??" w:hAnsi="??"/>
      <w:sz w:val="30"/>
    </w:rPr>
  </w:style>
  <w:style w:type="character" w:customStyle="1" w:styleId="399">
    <w:name w:val="seecix"/>
    <w:autoRedefine/>
    <w:qFormat/>
    <w:uiPriority w:val="99"/>
  </w:style>
  <w:style w:type="character" w:customStyle="1" w:styleId="400">
    <w:name w:val="表头王 Char"/>
    <w:link w:val="401"/>
    <w:autoRedefine/>
    <w:semiHidden/>
    <w:qFormat/>
    <w:locked/>
    <w:uiPriority w:val="99"/>
    <w:rPr>
      <w:rFonts w:ascii="宋体" w:eastAsia="宋体"/>
      <w:b/>
      <w:color w:val="000000"/>
      <w:sz w:val="24"/>
      <w:lang w:val="zh-CN"/>
    </w:rPr>
  </w:style>
  <w:style w:type="paragraph" w:customStyle="1" w:styleId="401">
    <w:name w:val="表头王"/>
    <w:basedOn w:val="1"/>
    <w:link w:val="400"/>
    <w:autoRedefine/>
    <w:semiHidden/>
    <w:qFormat/>
    <w:uiPriority w:val="99"/>
    <w:pPr>
      <w:adjustRightInd w:val="0"/>
      <w:snapToGrid w:val="0"/>
      <w:spacing w:line="360" w:lineRule="auto"/>
      <w:jc w:val="center"/>
    </w:pPr>
    <w:rPr>
      <w:rFonts w:ascii="宋体"/>
      <w:b/>
      <w:color w:val="000000"/>
      <w:kern w:val="0"/>
      <w:sz w:val="24"/>
      <w:szCs w:val="20"/>
      <w:lang w:val="zh-CN"/>
    </w:rPr>
  </w:style>
  <w:style w:type="character" w:customStyle="1" w:styleId="402">
    <w:name w:val="s8h0t"/>
    <w:autoRedefine/>
    <w:qFormat/>
    <w:uiPriority w:val="99"/>
  </w:style>
  <w:style w:type="character" w:customStyle="1" w:styleId="403">
    <w:name w:val="样式1 Char"/>
    <w:autoRedefine/>
    <w:qFormat/>
    <w:uiPriority w:val="99"/>
    <w:rPr>
      <w:rFonts w:ascii="宋体" w:hAnsi="宋体" w:eastAsia="宋体"/>
      <w:b/>
      <w:kern w:val="2"/>
      <w:sz w:val="24"/>
      <w:lang w:val="en-US" w:eastAsia="zh-CN"/>
    </w:rPr>
  </w:style>
  <w:style w:type="character" w:styleId="404">
    <w:name w:val="Placeholder Text"/>
    <w:autoRedefine/>
    <w:qFormat/>
    <w:uiPriority w:val="99"/>
    <w:rPr>
      <w:rFonts w:cs="Times New Roman"/>
      <w:color w:val="808080"/>
    </w:rPr>
  </w:style>
  <w:style w:type="character" w:customStyle="1" w:styleId="405">
    <w:name w:val="正文文本 Char Char"/>
    <w:autoRedefine/>
    <w:qFormat/>
    <w:uiPriority w:val="99"/>
    <w:rPr>
      <w:rFonts w:eastAsia="宋体"/>
      <w:kern w:val="2"/>
      <w:sz w:val="24"/>
      <w:lang w:val="en-US" w:eastAsia="zh-CN"/>
    </w:rPr>
  </w:style>
  <w:style w:type="character" w:customStyle="1" w:styleId="406">
    <w:name w:val="Char Char19"/>
    <w:autoRedefine/>
    <w:qFormat/>
    <w:uiPriority w:val="99"/>
    <w:rPr>
      <w:rFonts w:eastAsia="仿宋_GB2312"/>
      <w:sz w:val="18"/>
      <w:lang w:val="en-US" w:eastAsia="zh-CN"/>
    </w:rPr>
  </w:style>
  <w:style w:type="character" w:customStyle="1" w:styleId="407">
    <w:name w:val="尾注文本 字符1"/>
    <w:autoRedefine/>
    <w:qFormat/>
    <w:uiPriority w:val="99"/>
    <w:rPr>
      <w:kern w:val="2"/>
      <w:sz w:val="24"/>
    </w:rPr>
  </w:style>
  <w:style w:type="character" w:customStyle="1" w:styleId="408">
    <w:name w:val="样式 正文 首行缩进:  2 字符 + (中文) 楷体_GB2312 Char"/>
    <w:link w:val="409"/>
    <w:autoRedefine/>
    <w:semiHidden/>
    <w:qFormat/>
    <w:locked/>
    <w:uiPriority w:val="99"/>
    <w:rPr>
      <w:rFonts w:eastAsia="楷体_GB2312"/>
      <w:kern w:val="2"/>
      <w:sz w:val="24"/>
    </w:rPr>
  </w:style>
  <w:style w:type="paragraph" w:customStyle="1" w:styleId="409">
    <w:name w:val="样式 正文 首行缩进:  2 字符 + (中文) 楷体_GB2312"/>
    <w:basedOn w:val="369"/>
    <w:link w:val="408"/>
    <w:autoRedefine/>
    <w:semiHidden/>
    <w:qFormat/>
    <w:uiPriority w:val="99"/>
    <w:pPr>
      <w:adjustRightInd w:val="0"/>
      <w:ind w:firstLine="200"/>
      <w:jc w:val="both"/>
    </w:pPr>
    <w:rPr>
      <w:rFonts w:eastAsia="楷体_GB2312"/>
    </w:rPr>
  </w:style>
  <w:style w:type="character" w:customStyle="1" w:styleId="410">
    <w:name w:val="样式 小四 行距: 1.5 倍行距 Char Char"/>
    <w:link w:val="411"/>
    <w:autoRedefine/>
    <w:qFormat/>
    <w:locked/>
    <w:uiPriority w:val="99"/>
    <w:rPr>
      <w:sz w:val="24"/>
    </w:rPr>
  </w:style>
  <w:style w:type="paragraph" w:customStyle="1" w:styleId="411">
    <w:name w:val="样式 小四 行距: 1.5 倍行距"/>
    <w:basedOn w:val="1"/>
    <w:link w:val="410"/>
    <w:autoRedefine/>
    <w:qFormat/>
    <w:uiPriority w:val="99"/>
    <w:pPr>
      <w:spacing w:line="360" w:lineRule="auto"/>
      <w:ind w:firstLine="480" w:firstLineChars="200"/>
    </w:pPr>
    <w:rPr>
      <w:kern w:val="0"/>
      <w:sz w:val="24"/>
      <w:szCs w:val="20"/>
    </w:rPr>
  </w:style>
  <w:style w:type="character" w:customStyle="1" w:styleId="412">
    <w:name w:val="正文(首行缩进) Char Char"/>
    <w:link w:val="413"/>
    <w:autoRedefine/>
    <w:qFormat/>
    <w:locked/>
    <w:uiPriority w:val="99"/>
    <w:rPr>
      <w:rFonts w:ascii="宋体" w:eastAsia="宋体"/>
      <w:color w:val="000000"/>
      <w:kern w:val="2"/>
      <w:sz w:val="24"/>
    </w:rPr>
  </w:style>
  <w:style w:type="paragraph" w:customStyle="1" w:styleId="413">
    <w:name w:val="正文(首行缩进)"/>
    <w:basedOn w:val="1"/>
    <w:link w:val="412"/>
    <w:autoRedefine/>
    <w:qFormat/>
    <w:uiPriority w:val="99"/>
    <w:pPr>
      <w:spacing w:line="360" w:lineRule="auto"/>
      <w:ind w:firstLine="540" w:firstLineChars="225"/>
    </w:pPr>
    <w:rPr>
      <w:rFonts w:ascii="宋体"/>
      <w:color w:val="000000"/>
      <w:sz w:val="24"/>
      <w:szCs w:val="20"/>
    </w:rPr>
  </w:style>
  <w:style w:type="character" w:customStyle="1" w:styleId="414">
    <w:name w:val="表格文字 Char Char"/>
    <w:link w:val="415"/>
    <w:autoRedefine/>
    <w:qFormat/>
    <w:locked/>
    <w:uiPriority w:val="99"/>
    <w:rPr>
      <w:rFonts w:ascii="仿宋_GB2312" w:hAnsi="Arial Black" w:eastAsia="仿宋_GB2312"/>
      <w:kern w:val="44"/>
      <w:sz w:val="24"/>
    </w:rPr>
  </w:style>
  <w:style w:type="paragraph" w:customStyle="1" w:styleId="415">
    <w:name w:val="表格文字"/>
    <w:basedOn w:val="1"/>
    <w:link w:val="414"/>
    <w:autoRedefine/>
    <w:qFormat/>
    <w:uiPriority w:val="99"/>
    <w:pPr>
      <w:jc w:val="center"/>
    </w:pPr>
    <w:rPr>
      <w:rFonts w:ascii="仿宋_GB2312" w:hAnsi="Arial Black" w:eastAsia="仿宋_GB2312"/>
      <w:kern w:val="44"/>
      <w:sz w:val="24"/>
      <w:szCs w:val="20"/>
    </w:rPr>
  </w:style>
  <w:style w:type="character" w:customStyle="1" w:styleId="416">
    <w:name w:val="标题 Char Char"/>
    <w:autoRedefine/>
    <w:qFormat/>
    <w:uiPriority w:val="99"/>
    <w:rPr>
      <w:rFonts w:ascii="Arial" w:hAnsi="Arial" w:eastAsia="宋体"/>
      <w:b/>
      <w:sz w:val="32"/>
      <w:lang w:val="en-US" w:eastAsia="zh-CN"/>
    </w:rPr>
  </w:style>
  <w:style w:type="character" w:customStyle="1" w:styleId="417">
    <w:name w:val="Char Char4"/>
    <w:autoRedefine/>
    <w:qFormat/>
    <w:uiPriority w:val="99"/>
    <w:rPr>
      <w:rFonts w:ascii="宋体" w:hAnsi="宋体" w:eastAsia="宋体"/>
      <w:kern w:val="2"/>
      <w:sz w:val="24"/>
      <w:lang w:val="en-US" w:eastAsia="zh-CN"/>
    </w:rPr>
  </w:style>
  <w:style w:type="character" w:customStyle="1" w:styleId="418">
    <w:name w:val="样式35 Char Char"/>
    <w:link w:val="419"/>
    <w:autoRedefine/>
    <w:qFormat/>
    <w:locked/>
    <w:uiPriority w:val="99"/>
    <w:rPr>
      <w:color w:val="000000"/>
      <w:sz w:val="28"/>
    </w:rPr>
  </w:style>
  <w:style w:type="paragraph" w:customStyle="1" w:styleId="419">
    <w:name w:val="样式35"/>
    <w:basedOn w:val="1"/>
    <w:link w:val="418"/>
    <w:autoRedefine/>
    <w:qFormat/>
    <w:uiPriority w:val="99"/>
    <w:pPr>
      <w:snapToGrid w:val="0"/>
      <w:spacing w:line="360" w:lineRule="auto"/>
      <w:ind w:firstLine="560" w:firstLineChars="200"/>
    </w:pPr>
    <w:rPr>
      <w:color w:val="000000"/>
      <w:kern w:val="0"/>
      <w:sz w:val="28"/>
      <w:szCs w:val="20"/>
    </w:rPr>
  </w:style>
  <w:style w:type="character" w:customStyle="1" w:styleId="420">
    <w:name w:val="bt21"/>
    <w:autoRedefine/>
    <w:qFormat/>
    <w:uiPriority w:val="99"/>
    <w:rPr>
      <w:rFonts w:ascii="黑体" w:eastAsia="黑体"/>
      <w:sz w:val="24"/>
    </w:rPr>
  </w:style>
  <w:style w:type="character" w:customStyle="1" w:styleId="421">
    <w:name w:val="表标题 Char"/>
    <w:link w:val="422"/>
    <w:autoRedefine/>
    <w:qFormat/>
    <w:locked/>
    <w:uiPriority w:val="99"/>
    <w:rPr>
      <w:b/>
      <w:kern w:val="2"/>
      <w:sz w:val="18"/>
    </w:rPr>
  </w:style>
  <w:style w:type="paragraph" w:customStyle="1" w:styleId="422">
    <w:name w:val="表标题"/>
    <w:basedOn w:val="84"/>
    <w:link w:val="421"/>
    <w:autoRedefine/>
    <w:qFormat/>
    <w:uiPriority w:val="99"/>
    <w:pPr>
      <w:adjustRightInd w:val="0"/>
      <w:snapToGrid w:val="0"/>
      <w:spacing w:before="60" w:after="60" w:line="500" w:lineRule="exact"/>
      <w:ind w:firstLine="0" w:firstLineChars="0"/>
      <w:jc w:val="center"/>
    </w:pPr>
    <w:rPr>
      <w:b/>
      <w:sz w:val="18"/>
      <w:szCs w:val="20"/>
    </w:rPr>
  </w:style>
  <w:style w:type="character" w:customStyle="1" w:styleId="423">
    <w:name w:val="样式 标题 3H31.1.1标题 3条标题1.1.1h3level_3PIM 3Level 3 HeadHead... Char Char"/>
    <w:link w:val="424"/>
    <w:autoRedefine/>
    <w:qFormat/>
    <w:locked/>
    <w:uiPriority w:val="99"/>
    <w:rPr>
      <w:rFonts w:ascii="黑体" w:hAnsi="黑体" w:eastAsia="黑体"/>
      <w:sz w:val="32"/>
    </w:rPr>
  </w:style>
  <w:style w:type="paragraph" w:customStyle="1" w:styleId="424">
    <w:name w:val="样式 标题 3H31.1.1标题 3条标题1.1.1h3level_3PIM 3Level 3 HeadHead..."/>
    <w:basedOn w:val="5"/>
    <w:link w:val="423"/>
    <w:autoRedefine/>
    <w:qFormat/>
    <w:uiPriority w:val="99"/>
    <w:pPr>
      <w:tabs>
        <w:tab w:val="left" w:pos="1260"/>
      </w:tabs>
      <w:spacing w:line="360" w:lineRule="auto"/>
      <w:ind w:left="1260" w:hanging="420"/>
    </w:pPr>
    <w:rPr>
      <w:rFonts w:ascii="黑体" w:hAnsi="黑体" w:eastAsia="黑体"/>
      <w:b w:val="0"/>
      <w:bCs w:val="0"/>
      <w:kern w:val="0"/>
      <w:szCs w:val="20"/>
    </w:rPr>
  </w:style>
  <w:style w:type="character" w:customStyle="1" w:styleId="425">
    <w:name w:val="sovnn"/>
    <w:autoRedefine/>
    <w:qFormat/>
    <w:uiPriority w:val="99"/>
  </w:style>
  <w:style w:type="character" w:customStyle="1" w:styleId="426">
    <w:name w:val="si16"/>
    <w:autoRedefine/>
    <w:qFormat/>
    <w:uiPriority w:val="99"/>
  </w:style>
  <w:style w:type="character" w:customStyle="1" w:styleId="427">
    <w:name w:val="样式26 Char Char"/>
    <w:link w:val="428"/>
    <w:autoRedefine/>
    <w:qFormat/>
    <w:locked/>
    <w:uiPriority w:val="99"/>
    <w:rPr>
      <w:rFonts w:ascii="宋体" w:eastAsia="宋体"/>
      <w:color w:val="000000"/>
      <w:sz w:val="24"/>
    </w:rPr>
  </w:style>
  <w:style w:type="paragraph" w:customStyle="1" w:styleId="428">
    <w:name w:val="样式26"/>
    <w:basedOn w:val="1"/>
    <w:link w:val="427"/>
    <w:autoRedefine/>
    <w:qFormat/>
    <w:uiPriority w:val="99"/>
    <w:pPr>
      <w:spacing w:line="520" w:lineRule="exact"/>
      <w:ind w:firstLine="560" w:firstLineChars="200"/>
      <w:jc w:val="left"/>
    </w:pPr>
    <w:rPr>
      <w:rFonts w:ascii="宋体"/>
      <w:color w:val="000000"/>
      <w:kern w:val="0"/>
      <w:sz w:val="24"/>
      <w:szCs w:val="20"/>
    </w:rPr>
  </w:style>
  <w:style w:type="character" w:customStyle="1" w:styleId="429">
    <w:name w:val="c"/>
    <w:autoRedefine/>
    <w:qFormat/>
    <w:uiPriority w:val="99"/>
    <w:rPr>
      <w:rFonts w:ascii="宋体" w:hAnsi="宋体" w:eastAsia="宋体"/>
      <w:kern w:val="2"/>
      <w:sz w:val="24"/>
      <w:lang w:val="en-US" w:eastAsia="zh-CN"/>
    </w:rPr>
  </w:style>
  <w:style w:type="character" w:customStyle="1" w:styleId="430">
    <w:name w:val="条标题1.1.1 Char1"/>
    <w:autoRedefine/>
    <w:qFormat/>
    <w:uiPriority w:val="99"/>
    <w:rPr>
      <w:b/>
      <w:sz w:val="32"/>
    </w:rPr>
  </w:style>
  <w:style w:type="character" w:customStyle="1" w:styleId="431">
    <w:name w:val="正文四号ss Char Char"/>
    <w:link w:val="432"/>
    <w:autoRedefine/>
    <w:qFormat/>
    <w:locked/>
    <w:uiPriority w:val="99"/>
    <w:rPr>
      <w:rFonts w:ascii="宋体" w:eastAsia="宋体"/>
      <w:sz w:val="28"/>
    </w:rPr>
  </w:style>
  <w:style w:type="paragraph" w:customStyle="1" w:styleId="432">
    <w:name w:val="正文四号ss"/>
    <w:basedOn w:val="1"/>
    <w:next w:val="1"/>
    <w:link w:val="431"/>
    <w:autoRedefine/>
    <w:qFormat/>
    <w:uiPriority w:val="99"/>
    <w:pPr>
      <w:spacing w:line="520" w:lineRule="exact"/>
      <w:ind w:firstLine="200" w:firstLineChars="200"/>
    </w:pPr>
    <w:rPr>
      <w:rFonts w:ascii="宋体"/>
      <w:kern w:val="0"/>
      <w:sz w:val="28"/>
      <w:szCs w:val="20"/>
    </w:rPr>
  </w:style>
  <w:style w:type="character" w:customStyle="1" w:styleId="433">
    <w:name w:val="scu4wkd"/>
    <w:autoRedefine/>
    <w:qFormat/>
    <w:uiPriority w:val="99"/>
  </w:style>
  <w:style w:type="character" w:customStyle="1" w:styleId="434">
    <w:name w:val="申兴正文 Char Char"/>
    <w:link w:val="435"/>
    <w:autoRedefine/>
    <w:qFormat/>
    <w:locked/>
    <w:uiPriority w:val="99"/>
    <w:rPr>
      <w:sz w:val="24"/>
    </w:rPr>
  </w:style>
  <w:style w:type="paragraph" w:customStyle="1" w:styleId="435">
    <w:name w:val="申兴正文"/>
    <w:basedOn w:val="1"/>
    <w:link w:val="434"/>
    <w:autoRedefine/>
    <w:qFormat/>
    <w:uiPriority w:val="99"/>
    <w:pPr>
      <w:spacing w:line="360" w:lineRule="auto"/>
      <w:ind w:firstLine="200" w:firstLineChars="200"/>
    </w:pPr>
    <w:rPr>
      <w:kern w:val="0"/>
      <w:sz w:val="24"/>
      <w:szCs w:val="20"/>
    </w:rPr>
  </w:style>
  <w:style w:type="character" w:customStyle="1" w:styleId="436">
    <w:name w:val="标题 7表内5号 Char1"/>
    <w:autoRedefine/>
    <w:qFormat/>
    <w:uiPriority w:val="99"/>
    <w:rPr>
      <w:rFonts w:eastAsia="宋体"/>
      <w:b/>
      <w:sz w:val="24"/>
    </w:rPr>
  </w:style>
  <w:style w:type="character" w:customStyle="1" w:styleId="437">
    <w:name w:val="satajq8"/>
    <w:autoRedefine/>
    <w:qFormat/>
    <w:uiPriority w:val="99"/>
  </w:style>
  <w:style w:type="character" w:customStyle="1" w:styleId="438">
    <w:name w:val="样式 标题 4 + 行距: 1.5 倍行距 Char"/>
    <w:link w:val="439"/>
    <w:autoRedefine/>
    <w:qFormat/>
    <w:locked/>
    <w:uiPriority w:val="99"/>
    <w:rPr>
      <w:rFonts w:ascii="Cambria" w:hAnsi="Cambria" w:eastAsia="黑体"/>
      <w:b/>
      <w:kern w:val="2"/>
      <w:sz w:val="28"/>
    </w:rPr>
  </w:style>
  <w:style w:type="paragraph" w:customStyle="1" w:styleId="439">
    <w:name w:val="样式 标题 4 + 行距: 1.5 倍行距"/>
    <w:basedOn w:val="6"/>
    <w:link w:val="438"/>
    <w:autoRedefine/>
    <w:qFormat/>
    <w:uiPriority w:val="99"/>
    <w:pPr>
      <w:snapToGrid w:val="0"/>
      <w:spacing w:beforeLines="50" w:after="0" w:line="360" w:lineRule="auto"/>
      <w:ind w:left="2884" w:hanging="2884"/>
      <w:jc w:val="left"/>
    </w:pPr>
    <w:rPr>
      <w:rFonts w:eastAsia="黑体"/>
      <w:bCs w:val="0"/>
      <w:szCs w:val="20"/>
    </w:rPr>
  </w:style>
  <w:style w:type="character" w:customStyle="1" w:styleId="440">
    <w:name w:val="正文1 Char Char"/>
    <w:autoRedefine/>
    <w:qFormat/>
    <w:uiPriority w:val="99"/>
    <w:rPr>
      <w:rFonts w:ascii="宋体" w:eastAsia="宋体"/>
      <w:kern w:val="21"/>
      <w:position w:val="2"/>
      <w:sz w:val="24"/>
      <w:lang w:val="en-US" w:eastAsia="zh-CN"/>
    </w:rPr>
  </w:style>
  <w:style w:type="character" w:customStyle="1" w:styleId="441">
    <w:name w:val="正文缩进 Char1"/>
    <w:autoRedefine/>
    <w:qFormat/>
    <w:uiPriority w:val="99"/>
    <w:rPr>
      <w:kern w:val="2"/>
      <w:sz w:val="24"/>
      <w:lang w:val="zh-CN" w:eastAsia="zh-CN"/>
    </w:rPr>
  </w:style>
  <w:style w:type="character" w:customStyle="1" w:styleId="442">
    <w:name w:val="正文01 Char Char"/>
    <w:link w:val="443"/>
    <w:autoRedefine/>
    <w:qFormat/>
    <w:locked/>
    <w:uiPriority w:val="99"/>
    <w:rPr>
      <w:rFonts w:ascii="Arial" w:hAnsi="Arial"/>
      <w:sz w:val="24"/>
    </w:rPr>
  </w:style>
  <w:style w:type="paragraph" w:customStyle="1" w:styleId="443">
    <w:name w:val="正文01"/>
    <w:basedOn w:val="1"/>
    <w:link w:val="442"/>
    <w:autoRedefine/>
    <w:qFormat/>
    <w:uiPriority w:val="99"/>
    <w:pPr>
      <w:spacing w:before="60" w:line="460" w:lineRule="exact"/>
      <w:ind w:firstLine="200" w:firstLineChars="200"/>
    </w:pPr>
    <w:rPr>
      <w:rFonts w:ascii="Arial" w:hAnsi="Arial"/>
      <w:kern w:val="0"/>
      <w:sz w:val="24"/>
      <w:szCs w:val="20"/>
    </w:rPr>
  </w:style>
  <w:style w:type="character" w:customStyle="1" w:styleId="444">
    <w:name w:val="表格使用文字 Char"/>
    <w:link w:val="200"/>
    <w:autoRedefine/>
    <w:qFormat/>
    <w:locked/>
    <w:uiPriority w:val="99"/>
    <w:rPr>
      <w:color w:val="000000"/>
      <w:kern w:val="2"/>
      <w:sz w:val="21"/>
    </w:rPr>
  </w:style>
  <w:style w:type="character" w:customStyle="1" w:styleId="445">
    <w:name w:val="正文 Char Char"/>
    <w:autoRedefine/>
    <w:qFormat/>
    <w:uiPriority w:val="99"/>
    <w:rPr>
      <w:rFonts w:ascii="仿宋_GB2312" w:hAnsi="宋体" w:eastAsia="仿宋_GB2312"/>
      <w:color w:val="000000"/>
      <w:kern w:val="2"/>
      <w:sz w:val="24"/>
      <w:lang w:val="en-US" w:eastAsia="zh-CN"/>
    </w:rPr>
  </w:style>
  <w:style w:type="character" w:customStyle="1" w:styleId="446">
    <w:name w:val="甲乙酮正文 Char Char Char"/>
    <w:autoRedefine/>
    <w:qFormat/>
    <w:uiPriority w:val="99"/>
    <w:rPr>
      <w:rFonts w:ascii="Times New Roman" w:hAnsi="Times New Roman" w:eastAsia="宋体"/>
      <w:color w:val="000000"/>
      <w:sz w:val="24"/>
    </w:rPr>
  </w:style>
  <w:style w:type="character" w:customStyle="1" w:styleId="447">
    <w:name w:val="表格内容 Char Char Char"/>
    <w:autoRedefine/>
    <w:qFormat/>
    <w:uiPriority w:val="99"/>
    <w:rPr>
      <w:rFonts w:ascii="Arial" w:hAnsi="Arial" w:eastAsia="仿宋_GB2312"/>
      <w:sz w:val="24"/>
      <w:lang w:val="en-US" w:eastAsia="zh-CN"/>
    </w:rPr>
  </w:style>
  <w:style w:type="character" w:customStyle="1" w:styleId="448">
    <w:name w:val="表格内文字 Char Char Char"/>
    <w:autoRedefine/>
    <w:qFormat/>
    <w:uiPriority w:val="99"/>
    <w:rPr>
      <w:rFonts w:ascii="仿宋_GB2312" w:eastAsia="仿宋_GB2312"/>
      <w:kern w:val="2"/>
      <w:sz w:val="24"/>
      <w:lang w:val="en-US" w:eastAsia="zh-CN"/>
    </w:rPr>
  </w:style>
  <w:style w:type="character" w:customStyle="1" w:styleId="449">
    <w:name w:val="part"/>
    <w:autoRedefine/>
    <w:qFormat/>
    <w:uiPriority w:val="99"/>
    <w:rPr>
      <w:rFonts w:ascii="宋体" w:hAnsi="宋体" w:eastAsia="宋体"/>
      <w:kern w:val="2"/>
      <w:sz w:val="24"/>
      <w:lang w:val="en-US" w:eastAsia="zh-CN"/>
    </w:rPr>
  </w:style>
  <w:style w:type="character" w:customStyle="1" w:styleId="450">
    <w:name w:val="样式2 Char Char"/>
    <w:autoRedefine/>
    <w:qFormat/>
    <w:uiPriority w:val="99"/>
    <w:rPr>
      <w:rFonts w:eastAsia="Times New Roman"/>
      <w:kern w:val="2"/>
      <w:sz w:val="24"/>
      <w:lang w:val="en-US" w:eastAsia="zh-CN"/>
    </w:rPr>
  </w:style>
  <w:style w:type="character" w:customStyle="1" w:styleId="451">
    <w:name w:val="td21"/>
    <w:autoRedefine/>
    <w:qFormat/>
    <w:uiPriority w:val="99"/>
    <w:rPr>
      <w:sz w:val="21"/>
      <w:u w:val="none"/>
    </w:rPr>
  </w:style>
  <w:style w:type="character" w:customStyle="1" w:styleId="452">
    <w:name w:val="highlight1"/>
    <w:autoRedefine/>
    <w:qFormat/>
    <w:uiPriority w:val="99"/>
    <w:rPr>
      <w:sz w:val="21"/>
    </w:rPr>
  </w:style>
  <w:style w:type="character" w:customStyle="1" w:styleId="453">
    <w:name w:val="宋体4 Char Char"/>
    <w:link w:val="454"/>
    <w:autoRedefine/>
    <w:qFormat/>
    <w:locked/>
    <w:uiPriority w:val="99"/>
    <w:rPr>
      <w:sz w:val="48"/>
    </w:rPr>
  </w:style>
  <w:style w:type="paragraph" w:customStyle="1" w:styleId="454">
    <w:name w:val="宋体4"/>
    <w:basedOn w:val="1"/>
    <w:link w:val="453"/>
    <w:autoRedefine/>
    <w:qFormat/>
    <w:uiPriority w:val="99"/>
    <w:pPr>
      <w:spacing w:line="360" w:lineRule="auto"/>
      <w:ind w:firstLine="200" w:firstLineChars="200"/>
    </w:pPr>
    <w:rPr>
      <w:kern w:val="0"/>
      <w:sz w:val="48"/>
      <w:szCs w:val="20"/>
    </w:rPr>
  </w:style>
  <w:style w:type="character" w:customStyle="1" w:styleId="455">
    <w:name w:val="indetail1"/>
    <w:autoRedefine/>
    <w:qFormat/>
    <w:uiPriority w:val="99"/>
    <w:rPr>
      <w:sz w:val="18"/>
      <w:bdr w:val="single" w:color="E2E2E2" w:sz="6" w:space="0"/>
    </w:rPr>
  </w:style>
  <w:style w:type="character" w:customStyle="1" w:styleId="456">
    <w:name w:val="专用字体 Char Char"/>
    <w:link w:val="457"/>
    <w:autoRedefine/>
    <w:qFormat/>
    <w:locked/>
    <w:uiPriority w:val="99"/>
    <w:rPr>
      <w:sz w:val="24"/>
    </w:rPr>
  </w:style>
  <w:style w:type="paragraph" w:customStyle="1" w:styleId="457">
    <w:name w:val="专用字体"/>
    <w:basedOn w:val="1"/>
    <w:link w:val="456"/>
    <w:autoRedefine/>
    <w:qFormat/>
    <w:uiPriority w:val="99"/>
    <w:pPr>
      <w:spacing w:line="360" w:lineRule="auto"/>
      <w:ind w:firstLine="200" w:firstLineChars="200"/>
    </w:pPr>
    <w:rPr>
      <w:kern w:val="0"/>
      <w:sz w:val="24"/>
      <w:szCs w:val="20"/>
    </w:rPr>
  </w:style>
  <w:style w:type="character" w:customStyle="1" w:styleId="458">
    <w:name w:val="甲乙酮标题3 Char Char"/>
    <w:link w:val="459"/>
    <w:autoRedefine/>
    <w:qFormat/>
    <w:locked/>
    <w:uiPriority w:val="99"/>
    <w:rPr>
      <w:b/>
      <w:sz w:val="32"/>
    </w:rPr>
  </w:style>
  <w:style w:type="paragraph" w:customStyle="1" w:styleId="459">
    <w:name w:val="甲乙酮标题3"/>
    <w:basedOn w:val="5"/>
    <w:link w:val="458"/>
    <w:autoRedefine/>
    <w:qFormat/>
    <w:uiPriority w:val="99"/>
    <w:pPr>
      <w:tabs>
        <w:tab w:val="left" w:pos="1260"/>
      </w:tabs>
      <w:spacing w:before="100" w:after="100" w:line="360" w:lineRule="auto"/>
      <w:ind w:left="1260" w:hanging="420"/>
    </w:pPr>
    <w:rPr>
      <w:bCs w:val="0"/>
      <w:kern w:val="0"/>
      <w:szCs w:val="20"/>
    </w:rPr>
  </w:style>
  <w:style w:type="character" w:customStyle="1" w:styleId="460">
    <w:name w:val="Char Char Char1"/>
    <w:autoRedefine/>
    <w:qFormat/>
    <w:uiPriority w:val="99"/>
    <w:rPr>
      <w:rFonts w:ascii="宋体" w:hAnsi="Courier New" w:eastAsia="宋体"/>
      <w:kern w:val="2"/>
      <w:sz w:val="21"/>
      <w:lang w:val="en-US" w:eastAsia="zh-CN"/>
    </w:rPr>
  </w:style>
  <w:style w:type="character" w:customStyle="1" w:styleId="461">
    <w:name w:val="表格填充1 Char Char"/>
    <w:autoRedefine/>
    <w:qFormat/>
    <w:uiPriority w:val="99"/>
    <w:rPr>
      <w:rFonts w:eastAsia="宋体"/>
      <w:sz w:val="18"/>
    </w:rPr>
  </w:style>
  <w:style w:type="character" w:customStyle="1" w:styleId="462">
    <w:name w:val="表格文字1 Char Char"/>
    <w:link w:val="463"/>
    <w:autoRedefine/>
    <w:qFormat/>
    <w:locked/>
    <w:uiPriority w:val="99"/>
    <w:rPr>
      <w:color w:val="000000"/>
      <w:sz w:val="21"/>
    </w:rPr>
  </w:style>
  <w:style w:type="paragraph" w:customStyle="1" w:styleId="463">
    <w:name w:val="表格文字1"/>
    <w:basedOn w:val="177"/>
    <w:link w:val="462"/>
    <w:autoRedefine/>
    <w:qFormat/>
    <w:uiPriority w:val="99"/>
    <w:rPr>
      <w:rFonts w:eastAsia="宋体"/>
      <w:color w:val="000000"/>
      <w:kern w:val="0"/>
      <w:sz w:val="21"/>
    </w:rPr>
  </w:style>
  <w:style w:type="character" w:customStyle="1" w:styleId="464">
    <w:name w:val="标题1.1.1.1.1.1 Char1"/>
    <w:autoRedefine/>
    <w:qFormat/>
    <w:uiPriority w:val="99"/>
    <w:rPr>
      <w:rFonts w:ascii="Arial" w:hAnsi="Arial" w:eastAsia="黑体"/>
      <w:b/>
      <w:sz w:val="24"/>
    </w:rPr>
  </w:style>
  <w:style w:type="character" w:customStyle="1" w:styleId="465">
    <w:name w:val="s1"/>
    <w:autoRedefine/>
    <w:qFormat/>
    <w:uiPriority w:val="99"/>
    <w:rPr>
      <w:sz w:val="18"/>
    </w:rPr>
  </w:style>
  <w:style w:type="character" w:customStyle="1" w:styleId="466">
    <w:name w:val="正文5号 Char Char1"/>
    <w:autoRedefine/>
    <w:qFormat/>
    <w:uiPriority w:val="99"/>
    <w:rPr>
      <w:sz w:val="24"/>
    </w:rPr>
  </w:style>
  <w:style w:type="character" w:customStyle="1" w:styleId="467">
    <w:name w:val="what"/>
    <w:autoRedefine/>
    <w:qFormat/>
    <w:uiPriority w:val="99"/>
    <w:rPr>
      <w:rFonts w:eastAsia="宋体"/>
      <w:kern w:val="2"/>
      <w:sz w:val="24"/>
      <w:lang w:val="en-US" w:eastAsia="zh-CN"/>
    </w:rPr>
  </w:style>
  <w:style w:type="character" w:customStyle="1" w:styleId="468">
    <w:name w:val="报告正文1 Char Char"/>
    <w:link w:val="469"/>
    <w:autoRedefine/>
    <w:qFormat/>
    <w:locked/>
    <w:uiPriority w:val="99"/>
    <w:rPr>
      <w:color w:val="000000"/>
      <w:sz w:val="24"/>
    </w:rPr>
  </w:style>
  <w:style w:type="paragraph" w:customStyle="1" w:styleId="469">
    <w:name w:val="报告正文1"/>
    <w:basedOn w:val="85"/>
    <w:link w:val="468"/>
    <w:autoRedefine/>
    <w:qFormat/>
    <w:uiPriority w:val="99"/>
    <w:pPr>
      <w:spacing w:after="0" w:line="360" w:lineRule="auto"/>
      <w:ind w:left="0" w:leftChars="0" w:firstLine="200"/>
    </w:pPr>
    <w:rPr>
      <w:color w:val="000000"/>
      <w:kern w:val="0"/>
      <w:sz w:val="24"/>
      <w:szCs w:val="20"/>
    </w:rPr>
  </w:style>
  <w:style w:type="character" w:customStyle="1" w:styleId="470">
    <w:name w:val="b1 Char2"/>
    <w:autoRedefine/>
    <w:qFormat/>
    <w:uiPriority w:val="99"/>
    <w:rPr>
      <w:rFonts w:ascii="Calibri" w:hAnsi="Calibri"/>
      <w:b/>
      <w:kern w:val="44"/>
      <w:sz w:val="44"/>
    </w:rPr>
  </w:style>
  <w:style w:type="character" w:customStyle="1" w:styleId="471">
    <w:name w:val="nine-11"/>
    <w:autoRedefine/>
    <w:qFormat/>
    <w:uiPriority w:val="99"/>
    <w:rPr>
      <w:sz w:val="18"/>
    </w:rPr>
  </w:style>
  <w:style w:type="character" w:customStyle="1" w:styleId="472">
    <w:name w:val="sf6tjlp"/>
    <w:autoRedefine/>
    <w:qFormat/>
    <w:uiPriority w:val="99"/>
  </w:style>
  <w:style w:type="character" w:customStyle="1" w:styleId="473">
    <w:name w:val="兴武正文 Char Char"/>
    <w:link w:val="474"/>
    <w:autoRedefine/>
    <w:qFormat/>
    <w:locked/>
    <w:uiPriority w:val="99"/>
    <w:rPr>
      <w:sz w:val="24"/>
    </w:rPr>
  </w:style>
  <w:style w:type="paragraph" w:customStyle="1" w:styleId="474">
    <w:name w:val="兴武正文"/>
    <w:basedOn w:val="1"/>
    <w:link w:val="473"/>
    <w:autoRedefine/>
    <w:qFormat/>
    <w:uiPriority w:val="99"/>
    <w:pPr>
      <w:spacing w:line="480" w:lineRule="exact"/>
      <w:ind w:firstLine="200" w:firstLineChars="200"/>
    </w:pPr>
    <w:rPr>
      <w:kern w:val="0"/>
      <w:sz w:val="24"/>
      <w:szCs w:val="20"/>
    </w:rPr>
  </w:style>
  <w:style w:type="character" w:customStyle="1" w:styleId="475">
    <w:name w:val="a11"/>
    <w:autoRedefine/>
    <w:qFormat/>
    <w:uiPriority w:val="99"/>
  </w:style>
  <w:style w:type="character" w:customStyle="1" w:styleId="476">
    <w:name w:val="main-1"/>
    <w:autoRedefine/>
    <w:qFormat/>
    <w:uiPriority w:val="99"/>
  </w:style>
  <w:style w:type="character" w:customStyle="1" w:styleId="477">
    <w:name w:val="s4y5"/>
    <w:autoRedefine/>
    <w:qFormat/>
    <w:uiPriority w:val="99"/>
  </w:style>
  <w:style w:type="character" w:customStyle="1" w:styleId="478">
    <w:name w:val="lh131"/>
    <w:autoRedefine/>
    <w:qFormat/>
    <w:uiPriority w:val="99"/>
  </w:style>
  <w:style w:type="character" w:customStyle="1" w:styleId="479">
    <w:name w:val="Char Char27"/>
    <w:autoRedefine/>
    <w:qFormat/>
    <w:uiPriority w:val="99"/>
    <w:rPr>
      <w:kern w:val="2"/>
      <w:sz w:val="21"/>
    </w:rPr>
  </w:style>
  <w:style w:type="character" w:customStyle="1" w:styleId="480">
    <w:name w:val="shekj8m"/>
    <w:autoRedefine/>
    <w:qFormat/>
    <w:uiPriority w:val="99"/>
  </w:style>
  <w:style w:type="character" w:customStyle="1" w:styleId="481">
    <w:name w:val="正文样式 Char Char Char Char Char Char Char"/>
    <w:link w:val="482"/>
    <w:autoRedefine/>
    <w:qFormat/>
    <w:locked/>
    <w:uiPriority w:val="99"/>
    <w:rPr>
      <w:rFonts w:ascii="宋体" w:eastAsia="宋体"/>
      <w:color w:val="000000"/>
      <w:sz w:val="24"/>
    </w:rPr>
  </w:style>
  <w:style w:type="paragraph" w:customStyle="1" w:styleId="482">
    <w:name w:val="正文样式 Char Char Char Char Char"/>
    <w:basedOn w:val="1"/>
    <w:link w:val="481"/>
    <w:autoRedefine/>
    <w:qFormat/>
    <w:uiPriority w:val="99"/>
    <w:pPr>
      <w:spacing w:line="360" w:lineRule="auto"/>
      <w:ind w:firstLine="480" w:firstLineChars="200"/>
    </w:pPr>
    <w:rPr>
      <w:rFonts w:ascii="宋体"/>
      <w:color w:val="000000"/>
      <w:kern w:val="0"/>
      <w:sz w:val="24"/>
      <w:szCs w:val="20"/>
    </w:rPr>
  </w:style>
  <w:style w:type="character" w:customStyle="1" w:styleId="483">
    <w:name w:val="样式14 Char Char"/>
    <w:link w:val="484"/>
    <w:autoRedefine/>
    <w:qFormat/>
    <w:locked/>
    <w:uiPriority w:val="99"/>
    <w:rPr>
      <w:rFonts w:ascii="仿宋_GB2312" w:hAnsi="宋体" w:eastAsia="仿宋_GB2312"/>
      <w:sz w:val="24"/>
    </w:rPr>
  </w:style>
  <w:style w:type="paragraph" w:customStyle="1" w:styleId="484">
    <w:name w:val="样式14"/>
    <w:basedOn w:val="485"/>
    <w:link w:val="483"/>
    <w:autoRedefine/>
    <w:qFormat/>
    <w:uiPriority w:val="99"/>
    <w:pPr>
      <w:adjustRightInd w:val="0"/>
      <w:spacing w:line="240" w:lineRule="auto"/>
      <w:textAlignment w:val="baseline"/>
    </w:pPr>
    <w:rPr>
      <w:rFonts w:ascii="仿宋_GB2312" w:eastAsia="仿宋_GB2312"/>
      <w:kern w:val="0"/>
      <w:sz w:val="24"/>
      <w:szCs w:val="20"/>
    </w:rPr>
  </w:style>
  <w:style w:type="paragraph" w:customStyle="1" w:styleId="485">
    <w:name w:val="图表文字"/>
    <w:basedOn w:val="1"/>
    <w:autoRedefine/>
    <w:qFormat/>
    <w:uiPriority w:val="99"/>
    <w:pPr>
      <w:spacing w:line="320" w:lineRule="exact"/>
      <w:jc w:val="center"/>
    </w:pPr>
    <w:rPr>
      <w:rFonts w:ascii="宋体" w:hAnsi="宋体"/>
      <w:szCs w:val="21"/>
    </w:rPr>
  </w:style>
  <w:style w:type="character" w:customStyle="1" w:styleId="486">
    <w:name w:val="s9n1k0c"/>
    <w:autoRedefine/>
    <w:qFormat/>
    <w:uiPriority w:val="99"/>
  </w:style>
  <w:style w:type="character" w:customStyle="1" w:styleId="487">
    <w:name w:val="Char Char5"/>
    <w:autoRedefine/>
    <w:qFormat/>
    <w:uiPriority w:val="99"/>
    <w:rPr>
      <w:rFonts w:ascii="宋体" w:hAnsi="宋体" w:eastAsia="宋体"/>
      <w:kern w:val="2"/>
      <w:sz w:val="24"/>
      <w:lang w:val="en-US" w:eastAsia="zh-CN"/>
    </w:rPr>
  </w:style>
  <w:style w:type="character" w:customStyle="1" w:styleId="488">
    <w:name w:val="正文2 Char Char"/>
    <w:link w:val="489"/>
    <w:autoRedefine/>
    <w:qFormat/>
    <w:locked/>
    <w:uiPriority w:val="99"/>
    <w:rPr>
      <w:sz w:val="44"/>
    </w:rPr>
  </w:style>
  <w:style w:type="paragraph" w:customStyle="1" w:styleId="489">
    <w:name w:val="正文21"/>
    <w:basedOn w:val="1"/>
    <w:link w:val="488"/>
    <w:autoRedefine/>
    <w:qFormat/>
    <w:uiPriority w:val="99"/>
    <w:pPr>
      <w:adjustRightInd w:val="0"/>
      <w:spacing w:line="360" w:lineRule="auto"/>
      <w:ind w:firstLine="200" w:firstLineChars="200"/>
    </w:pPr>
    <w:rPr>
      <w:kern w:val="0"/>
      <w:sz w:val="44"/>
      <w:szCs w:val="20"/>
    </w:rPr>
  </w:style>
  <w:style w:type="character" w:customStyle="1" w:styleId="490">
    <w:name w:val="title31"/>
    <w:autoRedefine/>
    <w:qFormat/>
    <w:uiPriority w:val="99"/>
  </w:style>
  <w:style w:type="character" w:customStyle="1" w:styleId="491">
    <w:name w:val="sfmq"/>
    <w:autoRedefine/>
    <w:qFormat/>
    <w:uiPriority w:val="99"/>
  </w:style>
  <w:style w:type="character" w:customStyle="1" w:styleId="492">
    <w:name w:val="f121"/>
    <w:autoRedefine/>
    <w:qFormat/>
    <w:uiPriority w:val="99"/>
    <w:rPr>
      <w:sz w:val="18"/>
      <w:u w:val="none"/>
    </w:rPr>
  </w:style>
  <w:style w:type="character" w:customStyle="1" w:styleId="493">
    <w:name w:val="sxwt2u"/>
    <w:autoRedefine/>
    <w:qFormat/>
    <w:uiPriority w:val="99"/>
  </w:style>
  <w:style w:type="character" w:customStyle="1" w:styleId="494">
    <w:name w:val="style191"/>
    <w:autoRedefine/>
    <w:qFormat/>
    <w:uiPriority w:val="99"/>
    <w:rPr>
      <w:b/>
      <w:color w:val="FF0000"/>
    </w:rPr>
  </w:style>
  <w:style w:type="character" w:customStyle="1" w:styleId="495">
    <w:name w:val="sv1hyw"/>
    <w:autoRedefine/>
    <w:qFormat/>
    <w:uiPriority w:val="99"/>
  </w:style>
  <w:style w:type="character" w:customStyle="1" w:styleId="496">
    <w:name w:val="td1"/>
    <w:autoRedefine/>
    <w:qFormat/>
    <w:uiPriority w:val="99"/>
    <w:rPr>
      <w:color w:val="000000"/>
      <w:sz w:val="21"/>
    </w:rPr>
  </w:style>
  <w:style w:type="character" w:customStyle="1" w:styleId="497">
    <w:name w:val="样式82 Char Char"/>
    <w:link w:val="498"/>
    <w:autoRedefine/>
    <w:qFormat/>
    <w:locked/>
    <w:uiPriority w:val="99"/>
    <w:rPr>
      <w:rFonts w:ascii="宋体" w:eastAsia="宋体"/>
      <w:sz w:val="28"/>
    </w:rPr>
  </w:style>
  <w:style w:type="paragraph" w:customStyle="1" w:styleId="498">
    <w:name w:val="样式82"/>
    <w:basedOn w:val="1"/>
    <w:link w:val="497"/>
    <w:autoRedefine/>
    <w:qFormat/>
    <w:uiPriority w:val="99"/>
    <w:pPr>
      <w:spacing w:line="360" w:lineRule="auto"/>
      <w:ind w:firstLine="560" w:firstLineChars="200"/>
    </w:pPr>
    <w:rPr>
      <w:rFonts w:ascii="宋体"/>
      <w:kern w:val="0"/>
      <w:sz w:val="28"/>
      <w:szCs w:val="20"/>
    </w:rPr>
  </w:style>
  <w:style w:type="character" w:customStyle="1" w:styleId="499">
    <w:name w:val="s lh15"/>
    <w:autoRedefine/>
    <w:qFormat/>
    <w:uiPriority w:val="99"/>
  </w:style>
  <w:style w:type="character" w:customStyle="1" w:styleId="500">
    <w:name w:val="s8xye"/>
    <w:autoRedefine/>
    <w:qFormat/>
    <w:uiPriority w:val="99"/>
  </w:style>
  <w:style w:type="character" w:customStyle="1" w:styleId="501">
    <w:name w:val="style61"/>
    <w:autoRedefine/>
    <w:qFormat/>
    <w:uiPriority w:val="99"/>
    <w:rPr>
      <w:sz w:val="45"/>
    </w:rPr>
  </w:style>
  <w:style w:type="character" w:customStyle="1" w:styleId="502">
    <w:name w:val="表格001 Char Char"/>
    <w:link w:val="503"/>
    <w:autoRedefine/>
    <w:qFormat/>
    <w:locked/>
    <w:uiPriority w:val="99"/>
  </w:style>
  <w:style w:type="paragraph" w:customStyle="1" w:styleId="503">
    <w:name w:val="表格001"/>
    <w:basedOn w:val="1"/>
    <w:link w:val="502"/>
    <w:autoRedefine/>
    <w:qFormat/>
    <w:uiPriority w:val="99"/>
    <w:pPr>
      <w:jc w:val="center"/>
    </w:pPr>
    <w:rPr>
      <w:kern w:val="0"/>
      <w:sz w:val="20"/>
      <w:szCs w:val="20"/>
    </w:rPr>
  </w:style>
  <w:style w:type="character" w:customStyle="1" w:styleId="504">
    <w:name w:val="style421"/>
    <w:autoRedefine/>
    <w:qFormat/>
    <w:uiPriority w:val="99"/>
    <w:rPr>
      <w:color w:val="287D3C"/>
      <w:sz w:val="21"/>
    </w:rPr>
  </w:style>
  <w:style w:type="character" w:customStyle="1" w:styleId="505">
    <w:name w:val="高表单 Char Char"/>
    <w:autoRedefine/>
    <w:qFormat/>
    <w:uiPriority w:val="99"/>
    <w:rPr>
      <w:rFonts w:ascii="Arial" w:hAnsi="Arial" w:eastAsia="宋体"/>
      <w:kern w:val="2"/>
      <w:sz w:val="21"/>
      <w:lang w:val="en-US" w:eastAsia="zh-CN"/>
    </w:rPr>
  </w:style>
  <w:style w:type="character" w:customStyle="1" w:styleId="506">
    <w:name w:val="soqzabs"/>
    <w:autoRedefine/>
    <w:qFormat/>
    <w:uiPriority w:val="99"/>
  </w:style>
  <w:style w:type="character" w:customStyle="1" w:styleId="507">
    <w:name w:val="pccs1"/>
    <w:autoRedefine/>
    <w:qFormat/>
    <w:uiPriority w:val="99"/>
    <w:rPr>
      <w:sz w:val="18"/>
    </w:rPr>
  </w:style>
  <w:style w:type="character" w:customStyle="1" w:styleId="508">
    <w:name w:val="s9zsb3q"/>
    <w:autoRedefine/>
    <w:qFormat/>
    <w:uiPriority w:val="99"/>
  </w:style>
  <w:style w:type="character" w:customStyle="1" w:styleId="509">
    <w:name w:val="unnamed91"/>
    <w:autoRedefine/>
    <w:qFormat/>
    <w:uiPriority w:val="99"/>
    <w:rPr>
      <w:rFonts w:ascii="宋体" w:hAnsi="宋体" w:eastAsia="宋体"/>
      <w:color w:val="000000"/>
      <w:sz w:val="18"/>
      <w:u w:val="none"/>
    </w:rPr>
  </w:style>
  <w:style w:type="character" w:customStyle="1" w:styleId="510">
    <w:name w:val="sj4lab"/>
    <w:autoRedefine/>
    <w:qFormat/>
    <w:uiPriority w:val="99"/>
  </w:style>
  <w:style w:type="character" w:customStyle="1" w:styleId="511">
    <w:name w:val="ttitle1"/>
    <w:autoRedefine/>
    <w:qFormat/>
    <w:uiPriority w:val="99"/>
    <w:rPr>
      <w:spacing w:val="120"/>
      <w:sz w:val="21"/>
    </w:rPr>
  </w:style>
  <w:style w:type="character" w:customStyle="1" w:styleId="512">
    <w:name w:val="style21"/>
    <w:autoRedefine/>
    <w:qFormat/>
    <w:uiPriority w:val="99"/>
    <w:rPr>
      <w:color w:val="00007F"/>
    </w:rPr>
  </w:style>
  <w:style w:type="character" w:customStyle="1" w:styleId="513">
    <w:name w:val="sdi8io"/>
    <w:autoRedefine/>
    <w:qFormat/>
    <w:uiPriority w:val="99"/>
  </w:style>
  <w:style w:type="character" w:customStyle="1" w:styleId="514">
    <w:name w:val="正文缩进 Cha Char"/>
    <w:autoRedefine/>
    <w:qFormat/>
    <w:uiPriority w:val="99"/>
    <w:rPr>
      <w:rFonts w:eastAsia="宋体"/>
      <w:kern w:val="2"/>
      <w:sz w:val="24"/>
      <w:lang w:val="en-US" w:eastAsia="zh-CN"/>
    </w:rPr>
  </w:style>
  <w:style w:type="character" w:customStyle="1" w:styleId="515">
    <w:name w:val="表文字 Char Char"/>
    <w:link w:val="516"/>
    <w:autoRedefine/>
    <w:qFormat/>
    <w:locked/>
    <w:uiPriority w:val="99"/>
    <w:rPr>
      <w:sz w:val="24"/>
    </w:rPr>
  </w:style>
  <w:style w:type="paragraph" w:customStyle="1" w:styleId="516">
    <w:name w:val="表文字"/>
    <w:basedOn w:val="1"/>
    <w:link w:val="515"/>
    <w:autoRedefine/>
    <w:qFormat/>
    <w:uiPriority w:val="99"/>
    <w:pPr>
      <w:overflowPunct w:val="0"/>
      <w:autoSpaceDE w:val="0"/>
      <w:autoSpaceDN w:val="0"/>
      <w:adjustRightInd w:val="0"/>
      <w:spacing w:line="240" w:lineRule="atLeast"/>
      <w:jc w:val="center"/>
      <w:textAlignment w:val="baseline"/>
    </w:pPr>
    <w:rPr>
      <w:kern w:val="0"/>
      <w:sz w:val="24"/>
      <w:szCs w:val="20"/>
    </w:rPr>
  </w:style>
  <w:style w:type="character" w:customStyle="1" w:styleId="517">
    <w:name w:val="soa7bda"/>
    <w:autoRedefine/>
    <w:qFormat/>
    <w:uiPriority w:val="99"/>
  </w:style>
  <w:style w:type="character" w:customStyle="1" w:styleId="518">
    <w:name w:val="sxuoj4"/>
    <w:autoRedefine/>
    <w:qFormat/>
    <w:uiPriority w:val="99"/>
  </w:style>
  <w:style w:type="character" w:customStyle="1" w:styleId="519">
    <w:name w:val="报告 Char Char"/>
    <w:autoRedefine/>
    <w:qFormat/>
    <w:uiPriority w:val="99"/>
    <w:rPr>
      <w:sz w:val="24"/>
    </w:rPr>
  </w:style>
  <w:style w:type="character" w:customStyle="1" w:styleId="520">
    <w:name w:val="标题 21"/>
    <w:autoRedefine/>
    <w:qFormat/>
    <w:uiPriority w:val="99"/>
    <w:rPr>
      <w:rFonts w:ascii="黑体" w:hAnsi="Arial" w:eastAsia="黑体"/>
      <w:kern w:val="2"/>
      <w:sz w:val="32"/>
      <w:lang w:val="en-US" w:eastAsia="zh-CN"/>
    </w:rPr>
  </w:style>
  <w:style w:type="character" w:customStyle="1" w:styleId="521">
    <w:name w:val="样式21 Char Char"/>
    <w:link w:val="522"/>
    <w:autoRedefine/>
    <w:qFormat/>
    <w:locked/>
    <w:uiPriority w:val="99"/>
    <w:rPr>
      <w:rFonts w:ascii="宋体" w:eastAsia="宋体"/>
      <w:b/>
      <w:color w:val="000000"/>
      <w:sz w:val="28"/>
      <w:lang w:val="zh-CN"/>
    </w:rPr>
  </w:style>
  <w:style w:type="paragraph" w:customStyle="1" w:styleId="522">
    <w:name w:val="样式21"/>
    <w:basedOn w:val="280"/>
    <w:link w:val="521"/>
    <w:autoRedefine/>
    <w:qFormat/>
    <w:uiPriority w:val="99"/>
    <w:pPr>
      <w:spacing w:beforeLines="0" w:afterLines="0" w:line="480" w:lineRule="auto"/>
      <w:ind w:firstLine="3500" w:firstLineChars="1250"/>
      <w:jc w:val="both"/>
      <w:outlineLvl w:val="9"/>
    </w:pPr>
    <w:rPr>
      <w:rFonts w:ascii="宋体" w:eastAsia="宋体"/>
      <w:sz w:val="28"/>
      <w:lang w:val="zh-CN"/>
    </w:rPr>
  </w:style>
  <w:style w:type="character" w:customStyle="1" w:styleId="523">
    <w:name w:val="zjgblk1"/>
    <w:autoRedefine/>
    <w:qFormat/>
    <w:uiPriority w:val="99"/>
    <w:rPr>
      <w:color w:val="000000"/>
      <w:sz w:val="18"/>
      <w:u w:val="none"/>
    </w:rPr>
  </w:style>
  <w:style w:type="character" w:customStyle="1" w:styleId="524">
    <w:name w:val="sub42"/>
    <w:autoRedefine/>
    <w:qFormat/>
    <w:uiPriority w:val="99"/>
  </w:style>
  <w:style w:type="character" w:customStyle="1" w:styleId="525">
    <w:name w:val="smuvt"/>
    <w:autoRedefine/>
    <w:qFormat/>
    <w:uiPriority w:val="99"/>
  </w:style>
  <w:style w:type="character" w:customStyle="1" w:styleId="526">
    <w:name w:val="sgiivq"/>
    <w:autoRedefine/>
    <w:qFormat/>
    <w:uiPriority w:val="99"/>
  </w:style>
  <w:style w:type="character" w:customStyle="1" w:styleId="527">
    <w:name w:val="标题 12"/>
    <w:autoRedefine/>
    <w:qFormat/>
    <w:uiPriority w:val="99"/>
    <w:rPr>
      <w:rFonts w:ascii="黑体" w:eastAsia="黑体"/>
      <w:kern w:val="44"/>
      <w:sz w:val="44"/>
      <w:lang w:val="en-US" w:eastAsia="zh-CN"/>
    </w:rPr>
  </w:style>
  <w:style w:type="character" w:customStyle="1" w:styleId="528">
    <w:name w:val="nava61"/>
    <w:autoRedefine/>
    <w:qFormat/>
    <w:uiPriority w:val="99"/>
    <w:rPr>
      <w:color w:val="000000"/>
      <w:sz w:val="21"/>
      <w:u w:val="none"/>
    </w:rPr>
  </w:style>
  <w:style w:type="character" w:customStyle="1" w:styleId="529">
    <w:name w:val="Char Char Char11"/>
    <w:autoRedefine/>
    <w:qFormat/>
    <w:uiPriority w:val="99"/>
    <w:rPr>
      <w:rFonts w:eastAsia="宋体"/>
      <w:kern w:val="2"/>
      <w:sz w:val="24"/>
      <w:lang w:val="en-US" w:eastAsia="zh-CN"/>
    </w:rPr>
  </w:style>
  <w:style w:type="character" w:customStyle="1" w:styleId="530">
    <w:name w:val="sc2f7tt"/>
    <w:autoRedefine/>
    <w:qFormat/>
    <w:uiPriority w:val="99"/>
  </w:style>
  <w:style w:type="character" w:customStyle="1" w:styleId="531">
    <w:name w:val="oblog_text"/>
    <w:autoRedefine/>
    <w:qFormat/>
    <w:uiPriority w:val="99"/>
  </w:style>
  <w:style w:type="character" w:customStyle="1" w:styleId="532">
    <w:name w:val="xiaozhiti1"/>
    <w:autoRedefine/>
    <w:qFormat/>
    <w:uiPriority w:val="99"/>
    <w:rPr>
      <w:sz w:val="18"/>
    </w:rPr>
  </w:style>
  <w:style w:type="character" w:customStyle="1" w:styleId="533">
    <w:name w:val="标题 Char1"/>
    <w:autoRedefine/>
    <w:qFormat/>
    <w:uiPriority w:val="99"/>
    <w:rPr>
      <w:rFonts w:ascii="Arial" w:hAnsi="Arial" w:eastAsia="黑体"/>
      <w:b/>
      <w:kern w:val="2"/>
      <w:sz w:val="32"/>
      <w:lang w:val="en-US" w:eastAsia="zh-CN"/>
    </w:rPr>
  </w:style>
  <w:style w:type="character" w:customStyle="1" w:styleId="534">
    <w:name w:val="sub_title1"/>
    <w:autoRedefine/>
    <w:qFormat/>
    <w:uiPriority w:val="99"/>
    <w:rPr>
      <w:color w:val="FF6600"/>
      <w:sz w:val="21"/>
    </w:rPr>
  </w:style>
  <w:style w:type="character" w:customStyle="1" w:styleId="535">
    <w:name w:val="s6lx"/>
    <w:autoRedefine/>
    <w:qFormat/>
    <w:uiPriority w:val="99"/>
  </w:style>
  <w:style w:type="character" w:customStyle="1" w:styleId="536">
    <w:name w:val="sy7t"/>
    <w:autoRedefine/>
    <w:qFormat/>
    <w:uiPriority w:val="99"/>
  </w:style>
  <w:style w:type="character" w:customStyle="1" w:styleId="537">
    <w:name w:val="样式78 Char Char"/>
    <w:link w:val="538"/>
    <w:autoRedefine/>
    <w:qFormat/>
    <w:locked/>
    <w:uiPriority w:val="99"/>
    <w:rPr>
      <w:rFonts w:ascii="黑体" w:eastAsia="黑体"/>
      <w:b/>
      <w:kern w:val="44"/>
      <w:sz w:val="32"/>
    </w:rPr>
  </w:style>
  <w:style w:type="paragraph" w:customStyle="1" w:styleId="538">
    <w:name w:val="样式78"/>
    <w:basedOn w:val="1"/>
    <w:link w:val="537"/>
    <w:autoRedefine/>
    <w:qFormat/>
    <w:uiPriority w:val="99"/>
    <w:pPr>
      <w:keepNext/>
      <w:keepLines/>
      <w:spacing w:before="290" w:after="290" w:line="360" w:lineRule="auto"/>
      <w:jc w:val="center"/>
      <w:outlineLvl w:val="0"/>
    </w:pPr>
    <w:rPr>
      <w:rFonts w:ascii="黑体" w:eastAsia="黑体"/>
      <w:b/>
      <w:kern w:val="44"/>
      <w:sz w:val="32"/>
      <w:szCs w:val="20"/>
    </w:rPr>
  </w:style>
  <w:style w:type="character" w:customStyle="1" w:styleId="539">
    <w:name w:val="样式45 Char Char"/>
    <w:link w:val="540"/>
    <w:autoRedefine/>
    <w:qFormat/>
    <w:locked/>
    <w:uiPriority w:val="99"/>
    <w:rPr>
      <w:rFonts w:ascii="宋体" w:eastAsia="宋体"/>
      <w:color w:val="000000"/>
      <w:sz w:val="28"/>
    </w:rPr>
  </w:style>
  <w:style w:type="paragraph" w:customStyle="1" w:styleId="540">
    <w:name w:val="样式45"/>
    <w:basedOn w:val="1"/>
    <w:link w:val="539"/>
    <w:autoRedefine/>
    <w:qFormat/>
    <w:uiPriority w:val="99"/>
    <w:pPr>
      <w:spacing w:line="360" w:lineRule="auto"/>
      <w:ind w:firstLine="560" w:firstLineChars="200"/>
    </w:pPr>
    <w:rPr>
      <w:rFonts w:ascii="宋体"/>
      <w:color w:val="000000"/>
      <w:kern w:val="0"/>
      <w:sz w:val="28"/>
      <w:szCs w:val="20"/>
    </w:rPr>
  </w:style>
  <w:style w:type="character" w:customStyle="1" w:styleId="541">
    <w:name w:val="样式90 Char Char"/>
    <w:link w:val="542"/>
    <w:autoRedefine/>
    <w:qFormat/>
    <w:locked/>
    <w:uiPriority w:val="99"/>
    <w:rPr>
      <w:rFonts w:ascii="黑体" w:hAnsi="宋体" w:eastAsia="黑体"/>
      <w:color w:val="000000"/>
      <w:sz w:val="24"/>
    </w:rPr>
  </w:style>
  <w:style w:type="paragraph" w:customStyle="1" w:styleId="542">
    <w:name w:val="样式90"/>
    <w:basedOn w:val="1"/>
    <w:link w:val="541"/>
    <w:autoRedefine/>
    <w:qFormat/>
    <w:uiPriority w:val="99"/>
    <w:pPr>
      <w:widowControl/>
      <w:spacing w:beforeLines="50" w:afterLines="50" w:line="360" w:lineRule="auto"/>
      <w:ind w:firstLine="480" w:firstLineChars="200"/>
      <w:jc w:val="center"/>
    </w:pPr>
    <w:rPr>
      <w:rFonts w:ascii="黑体" w:hAnsi="宋体" w:eastAsia="黑体"/>
      <w:color w:val="000000"/>
      <w:kern w:val="0"/>
      <w:sz w:val="24"/>
      <w:szCs w:val="20"/>
    </w:rPr>
  </w:style>
  <w:style w:type="character" w:customStyle="1" w:styleId="543">
    <w:name w:val="样式70 Char Char"/>
    <w:link w:val="544"/>
    <w:autoRedefine/>
    <w:qFormat/>
    <w:locked/>
    <w:uiPriority w:val="99"/>
    <w:rPr>
      <w:rFonts w:ascii="宋体" w:eastAsia="宋体"/>
      <w:color w:val="000000"/>
      <w:kern w:val="28"/>
      <w:sz w:val="28"/>
    </w:rPr>
  </w:style>
  <w:style w:type="paragraph" w:customStyle="1" w:styleId="544">
    <w:name w:val="样式70"/>
    <w:basedOn w:val="1"/>
    <w:link w:val="543"/>
    <w:autoRedefine/>
    <w:qFormat/>
    <w:uiPriority w:val="99"/>
    <w:pPr>
      <w:spacing w:line="460" w:lineRule="exact"/>
      <w:ind w:firstLine="560" w:firstLineChars="200"/>
      <w:jc w:val="left"/>
    </w:pPr>
    <w:rPr>
      <w:rFonts w:ascii="宋体"/>
      <w:color w:val="000000"/>
      <w:kern w:val="28"/>
      <w:sz w:val="28"/>
      <w:szCs w:val="20"/>
    </w:rPr>
  </w:style>
  <w:style w:type="character" w:customStyle="1" w:styleId="545">
    <w:name w:val="标题 Char2"/>
    <w:autoRedefine/>
    <w:qFormat/>
    <w:uiPriority w:val="99"/>
    <w:rPr>
      <w:rFonts w:ascii="Cambria" w:hAnsi="Cambria"/>
      <w:b/>
      <w:kern w:val="2"/>
      <w:sz w:val="32"/>
    </w:rPr>
  </w:style>
  <w:style w:type="character" w:customStyle="1" w:styleId="546">
    <w:name w:val="甲乙酮正文 Char"/>
    <w:autoRedefine/>
    <w:qFormat/>
    <w:uiPriority w:val="99"/>
    <w:rPr>
      <w:rFonts w:eastAsia="宋体"/>
      <w:color w:val="000000"/>
      <w:kern w:val="2"/>
      <w:sz w:val="24"/>
      <w:lang w:val="en-US" w:eastAsia="zh-CN"/>
    </w:rPr>
  </w:style>
  <w:style w:type="character" w:customStyle="1" w:styleId="547">
    <w:name w:val="甲乙酮标题3 Char"/>
    <w:autoRedefine/>
    <w:qFormat/>
    <w:uiPriority w:val="99"/>
    <w:rPr>
      <w:rFonts w:eastAsia="宋体"/>
      <w:b/>
      <w:kern w:val="2"/>
      <w:sz w:val="32"/>
      <w:lang w:val="en-US" w:eastAsia="zh-CN"/>
    </w:rPr>
  </w:style>
  <w:style w:type="character" w:customStyle="1" w:styleId="548">
    <w:name w:val="报告正文1 Char"/>
    <w:autoRedefine/>
    <w:qFormat/>
    <w:uiPriority w:val="99"/>
    <w:rPr>
      <w:rFonts w:eastAsia="宋体"/>
      <w:color w:val="000000"/>
      <w:kern w:val="2"/>
      <w:sz w:val="24"/>
      <w:lang w:val="en-US" w:eastAsia="zh-CN"/>
    </w:rPr>
  </w:style>
  <w:style w:type="character" w:customStyle="1" w:styleId="549">
    <w:name w:val="文本 Char"/>
    <w:autoRedefine/>
    <w:qFormat/>
    <w:uiPriority w:val="99"/>
    <w:rPr>
      <w:kern w:val="2"/>
      <w:sz w:val="24"/>
    </w:rPr>
  </w:style>
  <w:style w:type="character" w:customStyle="1" w:styleId="550">
    <w:name w:val="表 标题 Char"/>
    <w:autoRedefine/>
    <w:qFormat/>
    <w:uiPriority w:val="99"/>
    <w:rPr>
      <w:b/>
      <w:kern w:val="2"/>
      <w:sz w:val="24"/>
    </w:rPr>
  </w:style>
  <w:style w:type="character" w:customStyle="1" w:styleId="551">
    <w:name w:val="环正文 Char4"/>
    <w:link w:val="552"/>
    <w:autoRedefine/>
    <w:qFormat/>
    <w:locked/>
    <w:uiPriority w:val="99"/>
    <w:rPr>
      <w:rFonts w:ascii="仿宋_GB2312" w:hAnsi="宋体" w:eastAsia="仿宋_GB2312"/>
      <w:sz w:val="28"/>
    </w:rPr>
  </w:style>
  <w:style w:type="paragraph" w:customStyle="1" w:styleId="552">
    <w:name w:val="环正文"/>
    <w:basedOn w:val="1"/>
    <w:link w:val="551"/>
    <w:autoRedefine/>
    <w:qFormat/>
    <w:uiPriority w:val="99"/>
    <w:pPr>
      <w:widowControl/>
      <w:suppressAutoHyphens/>
      <w:adjustRightInd w:val="0"/>
      <w:snapToGrid w:val="0"/>
      <w:spacing w:line="300" w:lineRule="auto"/>
      <w:ind w:firstLine="560"/>
      <w:textAlignment w:val="baseline"/>
    </w:pPr>
    <w:rPr>
      <w:rFonts w:ascii="仿宋_GB2312" w:hAnsi="宋体" w:eastAsia="仿宋_GB2312"/>
      <w:kern w:val="0"/>
      <w:sz w:val="28"/>
      <w:szCs w:val="20"/>
    </w:rPr>
  </w:style>
  <w:style w:type="character" w:customStyle="1" w:styleId="553">
    <w:name w:val="副标题 Char1"/>
    <w:autoRedefine/>
    <w:qFormat/>
    <w:uiPriority w:val="99"/>
    <w:rPr>
      <w:rFonts w:ascii="Cambria" w:hAnsi="Cambria" w:eastAsia="宋体"/>
      <w:b/>
      <w:kern w:val="28"/>
      <w:sz w:val="32"/>
    </w:rPr>
  </w:style>
  <w:style w:type="character" w:customStyle="1" w:styleId="554">
    <w:name w:val="三级 Char"/>
    <w:link w:val="555"/>
    <w:autoRedefine/>
    <w:qFormat/>
    <w:locked/>
    <w:uiPriority w:val="99"/>
    <w:rPr>
      <w:b/>
      <w:kern w:val="2"/>
      <w:sz w:val="28"/>
    </w:rPr>
  </w:style>
  <w:style w:type="paragraph" w:customStyle="1" w:styleId="555">
    <w:name w:val="三级"/>
    <w:basedOn w:val="1"/>
    <w:link w:val="554"/>
    <w:autoRedefine/>
    <w:qFormat/>
    <w:uiPriority w:val="99"/>
    <w:pPr>
      <w:adjustRightInd w:val="0"/>
      <w:textAlignment w:val="baseline"/>
    </w:pPr>
    <w:rPr>
      <w:b/>
      <w:sz w:val="28"/>
      <w:szCs w:val="20"/>
    </w:rPr>
  </w:style>
  <w:style w:type="character" w:customStyle="1" w:styleId="556">
    <w:name w:val="兴武正文 Char"/>
    <w:autoRedefine/>
    <w:qFormat/>
    <w:uiPriority w:val="99"/>
    <w:rPr>
      <w:rFonts w:eastAsia="宋体"/>
      <w:kern w:val="2"/>
      <w:sz w:val="24"/>
      <w:lang w:val="en-US" w:eastAsia="zh-CN"/>
    </w:rPr>
  </w:style>
  <w:style w:type="character" w:customStyle="1" w:styleId="557">
    <w:name w:val="表格yy Char Char"/>
    <w:link w:val="558"/>
    <w:autoRedefine/>
    <w:qFormat/>
    <w:locked/>
    <w:uiPriority w:val="99"/>
    <w:rPr>
      <w:rFonts w:eastAsia="仿宋_GB2312"/>
      <w:sz w:val="24"/>
    </w:rPr>
  </w:style>
  <w:style w:type="paragraph" w:customStyle="1" w:styleId="558">
    <w:name w:val="表格yy"/>
    <w:basedOn w:val="1"/>
    <w:link w:val="557"/>
    <w:autoRedefine/>
    <w:qFormat/>
    <w:uiPriority w:val="99"/>
    <w:pPr>
      <w:snapToGrid w:val="0"/>
      <w:spacing w:line="240" w:lineRule="atLeast"/>
      <w:jc w:val="center"/>
    </w:pPr>
    <w:rPr>
      <w:rFonts w:eastAsia="仿宋_GB2312"/>
      <w:kern w:val="0"/>
      <w:sz w:val="24"/>
      <w:szCs w:val="20"/>
    </w:rPr>
  </w:style>
  <w:style w:type="character" w:customStyle="1" w:styleId="559">
    <w:name w:val="正文缩进 Char Char"/>
    <w:autoRedefine/>
    <w:qFormat/>
    <w:uiPriority w:val="99"/>
    <w:rPr>
      <w:rFonts w:eastAsia="宋体"/>
      <w:kern w:val="2"/>
      <w:sz w:val="24"/>
      <w:lang w:val="en-US" w:eastAsia="zh-CN"/>
    </w:rPr>
  </w:style>
  <w:style w:type="character" w:customStyle="1" w:styleId="560">
    <w:name w:val="页眉1 Char1"/>
    <w:autoRedefine/>
    <w:qFormat/>
    <w:uiPriority w:val="99"/>
    <w:rPr>
      <w:rFonts w:eastAsia="宋体"/>
      <w:kern w:val="2"/>
      <w:sz w:val="18"/>
      <w:lang w:val="en-US" w:eastAsia="zh-CN"/>
    </w:rPr>
  </w:style>
  <w:style w:type="character" w:customStyle="1" w:styleId="561">
    <w:name w:val="Char Char48"/>
    <w:autoRedefine/>
    <w:qFormat/>
    <w:uiPriority w:val="99"/>
    <w:rPr>
      <w:b/>
      <w:kern w:val="44"/>
      <w:sz w:val="44"/>
    </w:rPr>
  </w:style>
  <w:style w:type="character" w:customStyle="1" w:styleId="562">
    <w:name w:val="14588 Char"/>
    <w:link w:val="563"/>
    <w:autoRedefine/>
    <w:qFormat/>
    <w:locked/>
    <w:uiPriority w:val="99"/>
    <w:rPr>
      <w:rFonts w:ascii="Calibri" w:hAnsi="Calibri"/>
      <w:kern w:val="2"/>
      <w:sz w:val="24"/>
      <w:lang w:val="de-DE"/>
    </w:rPr>
  </w:style>
  <w:style w:type="paragraph" w:customStyle="1" w:styleId="563">
    <w:name w:val="14588"/>
    <w:basedOn w:val="1"/>
    <w:link w:val="562"/>
    <w:autoRedefine/>
    <w:qFormat/>
    <w:uiPriority w:val="99"/>
    <w:pPr>
      <w:spacing w:line="360" w:lineRule="auto"/>
      <w:ind w:firstLine="480" w:firstLineChars="200"/>
    </w:pPr>
    <w:rPr>
      <w:rFonts w:ascii="Calibri" w:hAnsi="Calibri"/>
      <w:sz w:val="24"/>
      <w:szCs w:val="20"/>
      <w:lang w:val="de-DE"/>
    </w:rPr>
  </w:style>
  <w:style w:type="character" w:customStyle="1" w:styleId="564">
    <w:name w:val="茂名 正文 Char"/>
    <w:link w:val="565"/>
    <w:autoRedefine/>
    <w:qFormat/>
    <w:locked/>
    <w:uiPriority w:val="99"/>
    <w:rPr>
      <w:rFonts w:ascii="Symbol" w:hAnsi="Symbol" w:eastAsia="微软雅黑"/>
      <w:sz w:val="24"/>
    </w:rPr>
  </w:style>
  <w:style w:type="paragraph" w:customStyle="1" w:styleId="565">
    <w:name w:val="茂名 正文"/>
    <w:basedOn w:val="1"/>
    <w:link w:val="564"/>
    <w:autoRedefine/>
    <w:qFormat/>
    <w:uiPriority w:val="99"/>
    <w:pPr>
      <w:widowControl/>
      <w:topLinePunct/>
      <w:spacing w:line="480" w:lineRule="exact"/>
      <w:ind w:firstLine="539"/>
    </w:pPr>
    <w:rPr>
      <w:rFonts w:ascii="Symbol" w:hAnsi="Symbol" w:eastAsia="微软雅黑"/>
      <w:kern w:val="0"/>
      <w:sz w:val="24"/>
      <w:szCs w:val="20"/>
    </w:rPr>
  </w:style>
  <w:style w:type="character" w:customStyle="1" w:styleId="566">
    <w:name w:val="正文(康健城) Char"/>
    <w:link w:val="567"/>
    <w:autoRedefine/>
    <w:qFormat/>
    <w:locked/>
    <w:uiPriority w:val="99"/>
    <w:rPr>
      <w:sz w:val="24"/>
    </w:rPr>
  </w:style>
  <w:style w:type="paragraph" w:customStyle="1" w:styleId="567">
    <w:name w:val="正文(康健城)"/>
    <w:basedOn w:val="1"/>
    <w:link w:val="566"/>
    <w:autoRedefine/>
    <w:qFormat/>
    <w:uiPriority w:val="99"/>
    <w:pPr>
      <w:adjustRightInd w:val="0"/>
      <w:snapToGrid w:val="0"/>
      <w:spacing w:line="360" w:lineRule="auto"/>
      <w:ind w:firstLine="480" w:firstLineChars="200"/>
      <w:textAlignment w:val="baseline"/>
    </w:pPr>
    <w:rPr>
      <w:kern w:val="0"/>
      <w:sz w:val="24"/>
      <w:szCs w:val="20"/>
    </w:rPr>
  </w:style>
  <w:style w:type="character" w:customStyle="1" w:styleId="568">
    <w:name w:val="标题1.1.1.1.1.1 Char"/>
    <w:autoRedefine/>
    <w:qFormat/>
    <w:uiPriority w:val="99"/>
    <w:rPr>
      <w:rFonts w:ascii="Arial" w:hAnsi="Arial" w:eastAsia="黑体"/>
      <w:b/>
      <w:color w:val="FF0000"/>
      <w:kern w:val="0"/>
      <w:sz w:val="20"/>
    </w:rPr>
  </w:style>
  <w:style w:type="character" w:customStyle="1" w:styleId="569">
    <w:name w:val="标题 7表内5号 Char"/>
    <w:autoRedefine/>
    <w:qFormat/>
    <w:uiPriority w:val="99"/>
    <w:rPr>
      <w:rFonts w:ascii="Times New Roman" w:hAnsi="Times New Roman" w:eastAsia="宋体"/>
      <w:b/>
      <w:color w:val="FF0000"/>
      <w:kern w:val="0"/>
      <w:sz w:val="20"/>
    </w:rPr>
  </w:style>
  <w:style w:type="character" w:customStyle="1" w:styleId="570">
    <w:name w:val="目标题 1) Char"/>
    <w:autoRedefine/>
    <w:qFormat/>
    <w:uiPriority w:val="99"/>
    <w:rPr>
      <w:rFonts w:ascii="Arial" w:hAnsi="Arial" w:eastAsia="黑体"/>
      <w:b/>
      <w:color w:val="FF0000"/>
      <w:kern w:val="0"/>
      <w:sz w:val="20"/>
    </w:rPr>
  </w:style>
  <w:style w:type="character" w:customStyle="1" w:styleId="571">
    <w:name w:val="干标题(a) Char"/>
    <w:autoRedefine/>
    <w:qFormat/>
    <w:uiPriority w:val="99"/>
    <w:rPr>
      <w:rFonts w:ascii="Arial" w:hAnsi="Arial" w:eastAsia="黑体"/>
      <w:b/>
      <w:color w:val="FF0000"/>
      <w:kern w:val="0"/>
      <w:sz w:val="20"/>
    </w:rPr>
  </w:style>
  <w:style w:type="character" w:customStyle="1" w:styleId="572">
    <w:name w:val="CN normal Char"/>
    <w:link w:val="573"/>
    <w:autoRedefine/>
    <w:qFormat/>
    <w:locked/>
    <w:uiPriority w:val="99"/>
    <w:rPr>
      <w:rFonts w:ascii="Arial" w:hAnsi="Arial"/>
      <w:lang w:val="en-GB"/>
    </w:rPr>
  </w:style>
  <w:style w:type="paragraph" w:customStyle="1" w:styleId="573">
    <w:name w:val="CN normal"/>
    <w:basedOn w:val="1"/>
    <w:link w:val="572"/>
    <w:autoRedefine/>
    <w:qFormat/>
    <w:uiPriority w:val="99"/>
    <w:pPr>
      <w:widowControl/>
      <w:spacing w:line="280" w:lineRule="atLeast"/>
      <w:contextualSpacing/>
    </w:pPr>
    <w:rPr>
      <w:rFonts w:ascii="Arial" w:hAnsi="Arial"/>
      <w:kern w:val="0"/>
      <w:sz w:val="20"/>
      <w:szCs w:val="20"/>
      <w:lang w:val="en-GB"/>
    </w:rPr>
  </w:style>
  <w:style w:type="character" w:customStyle="1" w:styleId="574">
    <w:name w:val="li_正文 Char"/>
    <w:link w:val="575"/>
    <w:autoRedefine/>
    <w:qFormat/>
    <w:locked/>
    <w:uiPriority w:val="99"/>
    <w:rPr>
      <w:rFonts w:ascii="Calibri" w:hAnsi="Calibri"/>
      <w:kern w:val="2"/>
      <w:sz w:val="24"/>
    </w:rPr>
  </w:style>
  <w:style w:type="paragraph" w:customStyle="1" w:styleId="575">
    <w:name w:val="li_正文"/>
    <w:basedOn w:val="1"/>
    <w:link w:val="574"/>
    <w:autoRedefine/>
    <w:qFormat/>
    <w:uiPriority w:val="99"/>
    <w:pPr>
      <w:ind w:firstLine="480" w:firstLineChars="200"/>
      <w:contextualSpacing/>
    </w:pPr>
    <w:rPr>
      <w:rFonts w:ascii="Calibri" w:hAnsi="Calibri"/>
      <w:sz w:val="24"/>
      <w:szCs w:val="20"/>
    </w:rPr>
  </w:style>
  <w:style w:type="character" w:customStyle="1" w:styleId="576">
    <w:name w:val="表名 Char1"/>
    <w:link w:val="577"/>
    <w:autoRedefine/>
    <w:semiHidden/>
    <w:qFormat/>
    <w:locked/>
    <w:uiPriority w:val="99"/>
    <w:rPr>
      <w:rFonts w:ascii="Arial" w:hAnsi="Arial" w:eastAsia="楷体_GB2312"/>
      <w:b/>
      <w:sz w:val="21"/>
    </w:rPr>
  </w:style>
  <w:style w:type="paragraph" w:customStyle="1" w:styleId="577">
    <w:name w:val="表名"/>
    <w:basedOn w:val="1"/>
    <w:next w:val="1"/>
    <w:link w:val="576"/>
    <w:autoRedefine/>
    <w:semiHidden/>
    <w:qFormat/>
    <w:uiPriority w:val="99"/>
    <w:pPr>
      <w:widowControl/>
      <w:adjustRightInd w:val="0"/>
      <w:spacing w:before="120" w:afterLines="10" w:line="312" w:lineRule="auto"/>
      <w:contextualSpacing/>
      <w:jc w:val="center"/>
      <w:textAlignment w:val="baseline"/>
    </w:pPr>
    <w:rPr>
      <w:rFonts w:ascii="Arial" w:hAnsi="Arial" w:eastAsia="楷体_GB2312"/>
      <w:b/>
      <w:kern w:val="0"/>
      <w:szCs w:val="20"/>
    </w:rPr>
  </w:style>
  <w:style w:type="character" w:customStyle="1" w:styleId="578">
    <w:name w:val="表名 1 Char"/>
    <w:link w:val="579"/>
    <w:autoRedefine/>
    <w:qFormat/>
    <w:locked/>
    <w:uiPriority w:val="99"/>
    <w:rPr>
      <w:rFonts w:ascii="Arial" w:hAnsi="Arial" w:eastAsia="楷体_GB2312"/>
      <w:b/>
      <w:sz w:val="21"/>
    </w:rPr>
  </w:style>
  <w:style w:type="paragraph" w:customStyle="1" w:styleId="579">
    <w:name w:val="表名 1"/>
    <w:basedOn w:val="577"/>
    <w:link w:val="578"/>
    <w:autoRedefine/>
    <w:qFormat/>
    <w:uiPriority w:val="99"/>
    <w:pPr>
      <w:spacing w:after="31"/>
    </w:pPr>
  </w:style>
  <w:style w:type="character" w:customStyle="1" w:styleId="580">
    <w:name w:val="hangju"/>
    <w:autoRedefine/>
    <w:qFormat/>
    <w:uiPriority w:val="99"/>
    <w:rPr>
      <w:rFonts w:ascii="宋体" w:hAnsi="宋体" w:eastAsia="宋体"/>
      <w:kern w:val="2"/>
      <w:sz w:val="24"/>
      <w:lang w:val="en-US" w:eastAsia="zh-CN"/>
    </w:rPr>
  </w:style>
  <w:style w:type="character" w:customStyle="1" w:styleId="581">
    <w:name w:val="可研报告正文 Char"/>
    <w:link w:val="582"/>
    <w:autoRedefine/>
    <w:qFormat/>
    <w:locked/>
    <w:uiPriority w:val="99"/>
    <w:rPr>
      <w:rFonts w:ascii="Calibri" w:hAnsi="Calibri"/>
      <w:sz w:val="24"/>
    </w:rPr>
  </w:style>
  <w:style w:type="paragraph" w:customStyle="1" w:styleId="582">
    <w:name w:val="可研报告正文"/>
    <w:basedOn w:val="1"/>
    <w:link w:val="581"/>
    <w:autoRedefine/>
    <w:qFormat/>
    <w:uiPriority w:val="99"/>
    <w:pPr>
      <w:widowControl/>
      <w:tabs>
        <w:tab w:val="left" w:pos="5880"/>
      </w:tabs>
      <w:spacing w:beforeLines="50" w:line="440" w:lineRule="exact"/>
      <w:ind w:left="425" w:firstLine="482"/>
      <w:contextualSpacing/>
      <w:jc w:val="left"/>
    </w:pPr>
    <w:rPr>
      <w:rFonts w:ascii="Calibri" w:hAnsi="Calibri"/>
      <w:kern w:val="0"/>
      <w:sz w:val="24"/>
      <w:szCs w:val="20"/>
    </w:rPr>
  </w:style>
  <w:style w:type="character" w:customStyle="1" w:styleId="583">
    <w:name w:val="csscontent0041"/>
    <w:autoRedefine/>
    <w:qFormat/>
    <w:uiPriority w:val="99"/>
    <w:rPr>
      <w:rFonts w:ascii="??" w:hAnsi="??"/>
      <w:color w:val="000000"/>
      <w:sz w:val="16"/>
      <w:u w:val="none"/>
    </w:rPr>
  </w:style>
  <w:style w:type="character" w:customStyle="1" w:styleId="584">
    <w:name w:val="段落文字 Char"/>
    <w:link w:val="585"/>
    <w:autoRedefine/>
    <w:qFormat/>
    <w:locked/>
    <w:uiPriority w:val="99"/>
    <w:rPr>
      <w:rFonts w:ascii="宋体" w:eastAsia="宋体"/>
      <w:sz w:val="24"/>
    </w:rPr>
  </w:style>
  <w:style w:type="paragraph" w:customStyle="1" w:styleId="585">
    <w:name w:val="段落文字"/>
    <w:basedOn w:val="1"/>
    <w:link w:val="584"/>
    <w:autoRedefine/>
    <w:qFormat/>
    <w:uiPriority w:val="99"/>
    <w:pPr>
      <w:widowControl/>
      <w:adjustRightInd w:val="0"/>
      <w:snapToGrid w:val="0"/>
      <w:spacing w:line="480" w:lineRule="exact"/>
      <w:contextualSpacing/>
      <w:jc w:val="left"/>
    </w:pPr>
    <w:rPr>
      <w:rFonts w:ascii="宋体"/>
      <w:kern w:val="0"/>
      <w:sz w:val="24"/>
      <w:szCs w:val="20"/>
    </w:rPr>
  </w:style>
  <w:style w:type="character" w:customStyle="1" w:styleId="586">
    <w:name w:val="middle1"/>
    <w:autoRedefine/>
    <w:qFormat/>
    <w:uiPriority w:val="99"/>
    <w:rPr>
      <w:rFonts w:ascii="宋体" w:hAnsi="宋体" w:eastAsia="宋体"/>
      <w:sz w:val="24"/>
    </w:rPr>
  </w:style>
  <w:style w:type="character" w:customStyle="1" w:styleId="587">
    <w:name w:val="样式 表内样式 + (符号) 宋体 Char1"/>
    <w:link w:val="588"/>
    <w:autoRedefine/>
    <w:qFormat/>
    <w:locked/>
    <w:uiPriority w:val="99"/>
    <w:rPr>
      <w:rFonts w:ascii="Calibri" w:hAnsi="Calibri"/>
      <w:sz w:val="21"/>
    </w:rPr>
  </w:style>
  <w:style w:type="paragraph" w:customStyle="1" w:styleId="588">
    <w:name w:val="样式 表内样式 + (符号) 宋体"/>
    <w:basedOn w:val="1"/>
    <w:link w:val="587"/>
    <w:autoRedefine/>
    <w:qFormat/>
    <w:uiPriority w:val="99"/>
    <w:pPr>
      <w:keepLines/>
      <w:widowControl/>
      <w:kinsoku w:val="0"/>
      <w:overflowPunct w:val="0"/>
      <w:adjustRightInd w:val="0"/>
      <w:spacing w:line="320" w:lineRule="exact"/>
      <w:contextualSpacing/>
      <w:jc w:val="center"/>
    </w:pPr>
    <w:rPr>
      <w:rFonts w:ascii="Calibri" w:hAnsi="Calibri"/>
      <w:kern w:val="0"/>
      <w:szCs w:val="20"/>
    </w:rPr>
  </w:style>
  <w:style w:type="character" w:customStyle="1" w:styleId="589">
    <w:name w:val="Char Char111"/>
    <w:autoRedefine/>
    <w:qFormat/>
    <w:uiPriority w:val="99"/>
    <w:rPr>
      <w:rFonts w:ascii="Arial" w:hAnsi="Arial" w:eastAsia="黑体"/>
      <w:b/>
      <w:sz w:val="28"/>
    </w:rPr>
  </w:style>
  <w:style w:type="character" w:customStyle="1" w:styleId="590">
    <w:name w:val="Char Char2"/>
    <w:autoRedefine/>
    <w:qFormat/>
    <w:uiPriority w:val="99"/>
    <w:rPr>
      <w:rFonts w:ascii="宋体" w:hAnsi="Courier New" w:eastAsia="宋体"/>
      <w:kern w:val="2"/>
      <w:sz w:val="21"/>
      <w:lang w:val="en-US" w:eastAsia="zh-CN"/>
    </w:rPr>
  </w:style>
  <w:style w:type="character" w:customStyle="1" w:styleId="591">
    <w:name w:val="正文首行缩进2字符! Char"/>
    <w:link w:val="592"/>
    <w:autoRedefine/>
    <w:qFormat/>
    <w:locked/>
    <w:uiPriority w:val="99"/>
    <w:rPr>
      <w:rFonts w:ascii="Calibri" w:hAnsi="Calibri"/>
      <w:kern w:val="2"/>
      <w:sz w:val="28"/>
    </w:rPr>
  </w:style>
  <w:style w:type="paragraph" w:customStyle="1" w:styleId="592">
    <w:name w:val="正文首行缩进2字符!"/>
    <w:basedOn w:val="1"/>
    <w:link w:val="591"/>
    <w:autoRedefine/>
    <w:qFormat/>
    <w:uiPriority w:val="99"/>
    <w:pPr>
      <w:adjustRightInd w:val="0"/>
      <w:snapToGrid w:val="0"/>
      <w:ind w:firstLine="560" w:firstLineChars="200"/>
      <w:contextualSpacing/>
      <w:jc w:val="left"/>
    </w:pPr>
    <w:rPr>
      <w:rFonts w:ascii="Calibri" w:hAnsi="Calibri"/>
      <w:sz w:val="28"/>
      <w:szCs w:val="20"/>
    </w:rPr>
  </w:style>
  <w:style w:type="character" w:customStyle="1" w:styleId="593">
    <w:name w:val="标题5 Char"/>
    <w:link w:val="594"/>
    <w:autoRedefine/>
    <w:qFormat/>
    <w:locked/>
    <w:uiPriority w:val="99"/>
    <w:rPr>
      <w:rFonts w:ascii="Calibri" w:hAnsi="Calibri"/>
      <w:kern w:val="0"/>
      <w:sz w:val="28"/>
      <w:szCs w:val="21"/>
    </w:rPr>
  </w:style>
  <w:style w:type="paragraph" w:customStyle="1" w:styleId="594">
    <w:name w:val="标题5"/>
    <w:basedOn w:val="1"/>
    <w:next w:val="84"/>
    <w:link w:val="593"/>
    <w:autoRedefine/>
    <w:qFormat/>
    <w:uiPriority w:val="99"/>
    <w:pPr>
      <w:numPr>
        <w:ilvl w:val="4"/>
        <w:numId w:val="5"/>
      </w:numPr>
      <w:snapToGrid w:val="0"/>
      <w:contextualSpacing/>
      <w:outlineLvl w:val="4"/>
    </w:pPr>
    <w:rPr>
      <w:rFonts w:ascii="Calibri" w:hAnsi="Calibri"/>
      <w:kern w:val="0"/>
      <w:sz w:val="28"/>
      <w:szCs w:val="21"/>
    </w:rPr>
  </w:style>
  <w:style w:type="character" w:customStyle="1" w:styleId="595">
    <w:name w:val="样式 题注 + 首行缩进:  2 字符2 Char"/>
    <w:link w:val="596"/>
    <w:autoRedefine/>
    <w:qFormat/>
    <w:locked/>
    <w:uiPriority w:val="99"/>
    <w:rPr>
      <w:rFonts w:ascii="黑体" w:hAnsi="宋体" w:eastAsia="黑体"/>
      <w:kern w:val="2"/>
      <w:sz w:val="24"/>
    </w:rPr>
  </w:style>
  <w:style w:type="paragraph" w:customStyle="1" w:styleId="596">
    <w:name w:val="样式 题注 + 首行缩进:  2 字符2"/>
    <w:basedOn w:val="22"/>
    <w:link w:val="595"/>
    <w:autoRedefine/>
    <w:qFormat/>
    <w:uiPriority w:val="99"/>
    <w:pPr>
      <w:snapToGrid/>
      <w:spacing w:line="240" w:lineRule="auto"/>
      <w:contextualSpacing/>
      <w:jc w:val="center"/>
    </w:pPr>
    <w:rPr>
      <w:rFonts w:ascii="黑体" w:hAnsi="宋体"/>
      <w:sz w:val="24"/>
    </w:rPr>
  </w:style>
  <w:style w:type="character" w:customStyle="1" w:styleId="597">
    <w:name w:val="题注 + 居中! Char"/>
    <w:link w:val="598"/>
    <w:autoRedefine/>
    <w:qFormat/>
    <w:locked/>
    <w:uiPriority w:val="99"/>
    <w:rPr>
      <w:rFonts w:ascii="黑体" w:hAnsi="Arial" w:eastAsia="黑体"/>
      <w:kern w:val="2"/>
      <w:sz w:val="24"/>
    </w:rPr>
  </w:style>
  <w:style w:type="paragraph" w:customStyle="1" w:styleId="598">
    <w:name w:val="题注 + 居中!"/>
    <w:basedOn w:val="22"/>
    <w:link w:val="597"/>
    <w:autoRedefine/>
    <w:qFormat/>
    <w:uiPriority w:val="99"/>
    <w:pPr>
      <w:adjustRightInd w:val="0"/>
      <w:spacing w:line="240" w:lineRule="auto"/>
      <w:ind w:firstLine="480" w:firstLineChars="200"/>
      <w:contextualSpacing/>
      <w:jc w:val="center"/>
    </w:pPr>
    <w:rPr>
      <w:rFonts w:ascii="黑体"/>
      <w:sz w:val="24"/>
    </w:rPr>
  </w:style>
  <w:style w:type="character" w:customStyle="1" w:styleId="599">
    <w:name w:val="texd1"/>
    <w:autoRedefine/>
    <w:qFormat/>
    <w:uiPriority w:val="99"/>
    <w:rPr>
      <w:color w:val="000000"/>
      <w:spacing w:val="480"/>
      <w:w w:val="0"/>
      <w:sz w:val="20"/>
    </w:rPr>
  </w:style>
  <w:style w:type="character" w:customStyle="1" w:styleId="600">
    <w:name w:val="正文（首行缩进两字） Char1 Char Char"/>
    <w:autoRedefine/>
    <w:qFormat/>
    <w:uiPriority w:val="99"/>
    <w:rPr>
      <w:rFonts w:ascii="Times New Roman" w:hAnsi="Times New Roman" w:eastAsia="宋体"/>
      <w:kern w:val="0"/>
      <w:sz w:val="24"/>
      <w:lang w:val="zh-CN"/>
    </w:rPr>
  </w:style>
  <w:style w:type="character" w:customStyle="1" w:styleId="601">
    <w:name w:val="yyp Char"/>
    <w:link w:val="602"/>
    <w:autoRedefine/>
    <w:qFormat/>
    <w:locked/>
    <w:uiPriority w:val="99"/>
    <w:rPr>
      <w:rFonts w:ascii="Calibri" w:hAnsi="Calibri"/>
      <w:kern w:val="2"/>
      <w:sz w:val="24"/>
    </w:rPr>
  </w:style>
  <w:style w:type="paragraph" w:customStyle="1" w:styleId="602">
    <w:name w:val="yyp"/>
    <w:basedOn w:val="84"/>
    <w:link w:val="601"/>
    <w:autoRedefine/>
    <w:qFormat/>
    <w:uiPriority w:val="99"/>
    <w:pPr>
      <w:spacing w:line="360" w:lineRule="auto"/>
      <w:ind w:firstLine="480" w:firstLineChars="200"/>
    </w:pPr>
    <w:rPr>
      <w:rFonts w:ascii="Calibri" w:hAnsi="Calibri"/>
      <w:sz w:val="24"/>
      <w:szCs w:val="20"/>
    </w:rPr>
  </w:style>
  <w:style w:type="character" w:customStyle="1" w:styleId="603">
    <w:name w:val="正文小四首缩1.3行距 Char"/>
    <w:link w:val="604"/>
    <w:autoRedefine/>
    <w:qFormat/>
    <w:locked/>
    <w:uiPriority w:val="99"/>
    <w:rPr>
      <w:rFonts w:ascii="Calibri" w:hAnsi="Calibri"/>
      <w:kern w:val="2"/>
      <w:sz w:val="24"/>
    </w:rPr>
  </w:style>
  <w:style w:type="paragraph" w:customStyle="1" w:styleId="604">
    <w:name w:val="正文小四首缩1.3行距"/>
    <w:basedOn w:val="1"/>
    <w:link w:val="603"/>
    <w:autoRedefine/>
    <w:qFormat/>
    <w:uiPriority w:val="99"/>
    <w:pPr>
      <w:spacing w:line="312" w:lineRule="auto"/>
      <w:ind w:firstLine="420" w:firstLineChars="200"/>
    </w:pPr>
    <w:rPr>
      <w:rFonts w:ascii="Calibri" w:hAnsi="Calibri"/>
      <w:sz w:val="24"/>
      <w:szCs w:val="20"/>
    </w:rPr>
  </w:style>
  <w:style w:type="character" w:customStyle="1" w:styleId="605">
    <w:name w:val="表、图标题 Char Char"/>
    <w:link w:val="606"/>
    <w:autoRedefine/>
    <w:qFormat/>
    <w:locked/>
    <w:uiPriority w:val="99"/>
    <w:rPr>
      <w:rFonts w:ascii="宋体" w:eastAsia="宋体"/>
      <w:b/>
      <w:sz w:val="21"/>
    </w:rPr>
  </w:style>
  <w:style w:type="paragraph" w:customStyle="1" w:styleId="606">
    <w:name w:val="表、图标题"/>
    <w:basedOn w:val="1"/>
    <w:link w:val="605"/>
    <w:autoRedefine/>
    <w:qFormat/>
    <w:uiPriority w:val="99"/>
    <w:pPr>
      <w:adjustRightInd w:val="0"/>
      <w:snapToGrid w:val="0"/>
      <w:spacing w:line="480" w:lineRule="exact"/>
      <w:jc w:val="center"/>
    </w:pPr>
    <w:rPr>
      <w:rFonts w:ascii="宋体"/>
      <w:b/>
      <w:kern w:val="0"/>
      <w:szCs w:val="20"/>
    </w:rPr>
  </w:style>
  <w:style w:type="character" w:customStyle="1" w:styleId="607">
    <w:name w:val="Footer1 Char1"/>
    <w:autoRedefine/>
    <w:qFormat/>
    <w:uiPriority w:val="99"/>
    <w:rPr>
      <w:sz w:val="18"/>
    </w:rPr>
  </w:style>
  <w:style w:type="character" w:customStyle="1" w:styleId="608">
    <w:name w:val="font21"/>
    <w:basedOn w:val="92"/>
    <w:autoRedefine/>
    <w:qFormat/>
    <w:uiPriority w:val="99"/>
    <w:rPr>
      <w:rFonts w:ascii="Times New Roman" w:hAnsi="Times New Roman"/>
      <w:color w:val="000000"/>
      <w:sz w:val="21"/>
      <w:u w:val="none"/>
    </w:rPr>
  </w:style>
  <w:style w:type="character" w:customStyle="1" w:styleId="609">
    <w:name w:val="节标题 1.1 Char3"/>
    <w:autoRedefine/>
    <w:qFormat/>
    <w:uiPriority w:val="99"/>
    <w:rPr>
      <w:rFonts w:ascii="Times New Roman" w:hAnsi="Times New Roman" w:eastAsia="宋体"/>
      <w:b/>
      <w:sz w:val="32"/>
    </w:rPr>
  </w:style>
  <w:style w:type="character" w:customStyle="1" w:styleId="610">
    <w:name w:val="111正文 Char"/>
    <w:link w:val="611"/>
    <w:autoRedefine/>
    <w:qFormat/>
    <w:locked/>
    <w:uiPriority w:val="99"/>
    <w:rPr>
      <w:rFonts w:ascii="Calibri" w:hAnsi="Calibri"/>
      <w:kern w:val="2"/>
      <w:sz w:val="22"/>
    </w:rPr>
  </w:style>
  <w:style w:type="paragraph" w:customStyle="1" w:styleId="611">
    <w:name w:val="111正文"/>
    <w:basedOn w:val="1"/>
    <w:link w:val="610"/>
    <w:autoRedefine/>
    <w:qFormat/>
    <w:uiPriority w:val="99"/>
    <w:pPr>
      <w:tabs>
        <w:tab w:val="left" w:pos="600"/>
      </w:tabs>
      <w:spacing w:line="360" w:lineRule="auto"/>
      <w:ind w:firstLine="200" w:firstLineChars="200"/>
    </w:pPr>
    <w:rPr>
      <w:rFonts w:ascii="Calibri" w:hAnsi="Calibri"/>
      <w:sz w:val="22"/>
      <w:szCs w:val="20"/>
    </w:rPr>
  </w:style>
  <w:style w:type="character" w:customStyle="1" w:styleId="612">
    <w:name w:val="表格文字 Char1"/>
    <w:autoRedefine/>
    <w:qFormat/>
    <w:uiPriority w:val="99"/>
    <w:rPr>
      <w:rFonts w:ascii="宋体" w:hAnsi="宋体" w:eastAsia="宋体"/>
      <w:kern w:val="2"/>
      <w:sz w:val="24"/>
      <w:lang w:val="en-US" w:eastAsia="zh-CN"/>
    </w:rPr>
  </w:style>
  <w:style w:type="character" w:customStyle="1" w:styleId="613">
    <w:name w:val="fontstyle21"/>
    <w:autoRedefine/>
    <w:qFormat/>
    <w:uiPriority w:val="99"/>
    <w:rPr>
      <w:rFonts w:ascii="黑体" w:hAnsi="黑体" w:eastAsia="黑体"/>
      <w:color w:val="000000"/>
      <w:sz w:val="32"/>
    </w:rPr>
  </w:style>
  <w:style w:type="character" w:customStyle="1" w:styleId="614">
    <w:name w:val="fontstyle31"/>
    <w:basedOn w:val="92"/>
    <w:autoRedefine/>
    <w:qFormat/>
    <w:uiPriority w:val="99"/>
    <w:rPr>
      <w:rFonts w:ascii="宋体" w:hAnsi="宋体" w:eastAsia="宋体"/>
      <w:color w:val="000000"/>
      <w:sz w:val="24"/>
    </w:rPr>
  </w:style>
  <w:style w:type="character" w:customStyle="1" w:styleId="615">
    <w:name w:val="表格标题 Char Char"/>
    <w:autoRedefine/>
    <w:qFormat/>
    <w:uiPriority w:val="99"/>
    <w:rPr>
      <w:rFonts w:eastAsia="黑体"/>
      <w:kern w:val="2"/>
      <w:sz w:val="24"/>
    </w:rPr>
  </w:style>
  <w:style w:type="character" w:customStyle="1" w:styleId="616">
    <w:name w:val="fontstyle11"/>
    <w:autoRedefine/>
    <w:qFormat/>
    <w:uiPriority w:val="99"/>
    <w:rPr>
      <w:rFonts w:ascii="TimesNewRomanPS-ItalicMT" w:hAnsi="TimesNewRomanPS-ItalicMT"/>
      <w:i/>
      <w:color w:val="000000"/>
      <w:sz w:val="24"/>
    </w:rPr>
  </w:style>
  <w:style w:type="character" w:customStyle="1" w:styleId="617">
    <w:name w:val="未处理的提及1"/>
    <w:autoRedefine/>
    <w:qFormat/>
    <w:uiPriority w:val="99"/>
    <w:rPr>
      <w:color w:val="808080"/>
      <w:shd w:val="clear" w:color="auto" w:fill="E6E6E6"/>
    </w:rPr>
  </w:style>
  <w:style w:type="character" w:customStyle="1" w:styleId="618">
    <w:name w:val="标题 5 Char"/>
    <w:autoRedefine/>
    <w:semiHidden/>
    <w:qFormat/>
    <w:uiPriority w:val="99"/>
    <w:rPr>
      <w:b/>
      <w:sz w:val="28"/>
    </w:rPr>
  </w:style>
  <w:style w:type="character" w:customStyle="1" w:styleId="619">
    <w:name w:val="纯文本 Char"/>
    <w:autoRedefine/>
    <w:semiHidden/>
    <w:qFormat/>
    <w:uiPriority w:val="99"/>
    <w:rPr>
      <w:rFonts w:ascii="宋体" w:hAnsi="Courier New" w:eastAsia="宋体"/>
      <w:sz w:val="21"/>
    </w:rPr>
  </w:style>
  <w:style w:type="character" w:customStyle="1" w:styleId="620">
    <w:name w:val="表头 Char"/>
    <w:autoRedefine/>
    <w:semiHidden/>
    <w:qFormat/>
    <w:uiPriority w:val="99"/>
    <w:rPr>
      <w:rFonts w:ascii="Times New Roman" w:hAnsi="Times New Roman" w:eastAsia="宋体"/>
      <w:b/>
      <w:kern w:val="0"/>
      <w:sz w:val="21"/>
    </w:rPr>
  </w:style>
  <w:style w:type="character" w:customStyle="1" w:styleId="621">
    <w:name w:val="样式 Arial"/>
    <w:autoRedefine/>
    <w:semiHidden/>
    <w:qFormat/>
    <w:uiPriority w:val="99"/>
    <w:rPr>
      <w:rFonts w:ascii="Arial" w:hAnsi="Arial" w:eastAsia="宋体"/>
      <w:kern w:val="2"/>
      <w:sz w:val="24"/>
      <w:lang w:val="en-US" w:eastAsia="zh-CN"/>
    </w:rPr>
  </w:style>
  <w:style w:type="character" w:customStyle="1" w:styleId="622">
    <w:name w:val="enas"/>
    <w:autoRedefine/>
    <w:semiHidden/>
    <w:qFormat/>
    <w:uiPriority w:val="99"/>
    <w:rPr>
      <w:rFonts w:ascii="Arial" w:hAnsi="Arial" w:eastAsia="宋体"/>
      <w:color w:val="auto"/>
      <w:kern w:val="2"/>
      <w:sz w:val="20"/>
      <w:lang w:val="en-US" w:eastAsia="zh-CN"/>
    </w:rPr>
  </w:style>
  <w:style w:type="character" w:customStyle="1" w:styleId="623">
    <w:name w:val="Char Char10"/>
    <w:autoRedefine/>
    <w:semiHidden/>
    <w:qFormat/>
    <w:uiPriority w:val="99"/>
    <w:rPr>
      <w:rFonts w:ascii="宋体" w:hAnsi="宋体" w:eastAsia="宋体"/>
      <w:color w:val="FF0000"/>
      <w:kern w:val="2"/>
      <w:sz w:val="24"/>
      <w:lang w:val="en-US" w:eastAsia="zh-CN"/>
    </w:rPr>
  </w:style>
  <w:style w:type="character" w:customStyle="1" w:styleId="624">
    <w:name w:val="Char Char7"/>
    <w:autoRedefine/>
    <w:semiHidden/>
    <w:qFormat/>
    <w:uiPriority w:val="99"/>
    <w:rPr>
      <w:rFonts w:ascii="宋体" w:hAnsi="宋体" w:eastAsia="宋体"/>
      <w:kern w:val="2"/>
      <w:sz w:val="18"/>
      <w:lang w:val="en-US" w:eastAsia="zh-CN"/>
    </w:rPr>
  </w:style>
  <w:style w:type="character" w:customStyle="1" w:styleId="625">
    <w:name w:val="HTML 地址 Char1"/>
    <w:autoRedefine/>
    <w:semiHidden/>
    <w:qFormat/>
    <w:uiPriority w:val="99"/>
    <w:rPr>
      <w:i/>
    </w:rPr>
  </w:style>
  <w:style w:type="character" w:customStyle="1" w:styleId="626">
    <w:name w:val="信息标题 Char1"/>
    <w:autoRedefine/>
    <w:semiHidden/>
    <w:qFormat/>
    <w:uiPriority w:val="99"/>
    <w:rPr>
      <w:rFonts w:ascii="Calibri Light" w:hAnsi="Calibri Light" w:eastAsia="宋体"/>
      <w:sz w:val="24"/>
      <w:shd w:val="pct20" w:color="auto" w:fill="auto"/>
    </w:rPr>
  </w:style>
  <w:style w:type="character" w:customStyle="1" w:styleId="627">
    <w:name w:val="z-窗体顶端 Char1"/>
    <w:autoRedefine/>
    <w:semiHidden/>
    <w:qFormat/>
    <w:uiPriority w:val="99"/>
    <w:rPr>
      <w:rFonts w:ascii="Arial" w:hAnsi="Arial"/>
      <w:vanish/>
      <w:sz w:val="16"/>
    </w:rPr>
  </w:style>
  <w:style w:type="character" w:customStyle="1" w:styleId="628">
    <w:name w:val="访问过的超链接1"/>
    <w:autoRedefine/>
    <w:qFormat/>
    <w:uiPriority w:val="99"/>
    <w:rPr>
      <w:rFonts w:ascii="宋体" w:hAnsi="宋体" w:eastAsia="宋体"/>
      <w:color w:val="954F72"/>
      <w:kern w:val="2"/>
      <w:sz w:val="24"/>
      <w:u w:val="single"/>
      <w:lang w:val="en-US" w:eastAsia="zh-CN"/>
    </w:rPr>
  </w:style>
  <w:style w:type="paragraph" w:customStyle="1" w:styleId="629">
    <w:name w:val="菏泽-正文 Char Char Char"/>
    <w:basedOn w:val="1"/>
    <w:autoRedefine/>
    <w:qFormat/>
    <w:uiPriority w:val="99"/>
    <w:pPr>
      <w:spacing w:line="440" w:lineRule="exact"/>
      <w:ind w:firstLine="420" w:firstLineChars="200"/>
    </w:pPr>
    <w:rPr>
      <w:rFonts w:ascii="Arial" w:hAnsi="Arial" w:eastAsia="华文细黑"/>
      <w:szCs w:val="20"/>
    </w:rPr>
  </w:style>
  <w:style w:type="paragraph" w:customStyle="1" w:styleId="630">
    <w:name w:val="工艺统一正文"/>
    <w:basedOn w:val="1"/>
    <w:autoRedefine/>
    <w:qFormat/>
    <w:uiPriority w:val="99"/>
    <w:pPr>
      <w:adjustRightInd w:val="0"/>
      <w:snapToGrid w:val="0"/>
      <w:spacing w:line="360" w:lineRule="auto"/>
      <w:ind w:firstLine="578"/>
    </w:pPr>
    <w:rPr>
      <w:rFonts w:ascii="宋体"/>
      <w:sz w:val="28"/>
      <w:szCs w:val="20"/>
    </w:rPr>
  </w:style>
  <w:style w:type="paragraph" w:customStyle="1" w:styleId="631">
    <w:name w:val="xl57"/>
    <w:basedOn w:val="1"/>
    <w:autoRedefine/>
    <w:qFormat/>
    <w:uiPriority w:val="99"/>
    <w:pPr>
      <w:widowControl/>
      <w:spacing w:before="100" w:beforeAutospacing="1" w:after="100" w:afterAutospacing="1"/>
      <w:jc w:val="left"/>
    </w:pPr>
    <w:rPr>
      <w:rFonts w:ascii="宋体" w:hAnsi="宋体"/>
      <w:b/>
      <w:bCs/>
      <w:kern w:val="0"/>
      <w:sz w:val="22"/>
      <w:szCs w:val="22"/>
    </w:rPr>
  </w:style>
  <w:style w:type="paragraph" w:customStyle="1" w:styleId="632">
    <w:name w:val="宏福正文-2"/>
    <w:basedOn w:val="84"/>
    <w:autoRedefine/>
    <w:qFormat/>
    <w:uiPriority w:val="99"/>
    <w:pPr>
      <w:snapToGrid w:val="0"/>
      <w:spacing w:before="240" w:after="0" w:line="400" w:lineRule="atLeast"/>
      <w:ind w:firstLine="567" w:firstLineChars="0"/>
    </w:pPr>
    <w:rPr>
      <w:kern w:val="0"/>
      <w:sz w:val="28"/>
    </w:rPr>
  </w:style>
  <w:style w:type="paragraph" w:customStyle="1" w:styleId="633">
    <w:name w:val="xl59"/>
    <w:basedOn w:val="1"/>
    <w:autoRedefine/>
    <w:qFormat/>
    <w:uiPriority w:val="99"/>
    <w:pPr>
      <w:widowControl/>
      <w:spacing w:before="100" w:beforeAutospacing="1" w:after="100" w:afterAutospacing="1"/>
      <w:jc w:val="left"/>
    </w:pPr>
    <w:rPr>
      <w:rFonts w:ascii="Arial" w:hAnsi="Arial" w:cs="Arial"/>
      <w:b/>
      <w:bCs/>
      <w:i/>
      <w:iCs/>
      <w:kern w:val="0"/>
      <w:sz w:val="22"/>
      <w:szCs w:val="22"/>
    </w:rPr>
  </w:style>
  <w:style w:type="paragraph" w:customStyle="1" w:styleId="634">
    <w:name w:val="缺省文本_宋体"/>
    <w:basedOn w:val="1"/>
    <w:autoRedefine/>
    <w:qFormat/>
    <w:uiPriority w:val="99"/>
    <w:pPr>
      <w:tabs>
        <w:tab w:val="left" w:pos="525"/>
        <w:tab w:val="center" w:pos="5670"/>
        <w:tab w:val="right" w:pos="7655"/>
      </w:tabs>
      <w:spacing w:before="80" w:after="120" w:line="360" w:lineRule="auto"/>
      <w:outlineLvl w:val="7"/>
    </w:pPr>
    <w:rPr>
      <w:spacing w:val="16"/>
      <w:kern w:val="28"/>
      <w:sz w:val="24"/>
      <w:szCs w:val="20"/>
    </w:rPr>
  </w:style>
  <w:style w:type="paragraph" w:customStyle="1" w:styleId="635">
    <w:name w:val="流程图"/>
    <w:basedOn w:val="1"/>
    <w:autoRedefine/>
    <w:qFormat/>
    <w:uiPriority w:val="99"/>
    <w:pPr>
      <w:tabs>
        <w:tab w:val="left" w:pos="0"/>
      </w:tabs>
      <w:autoSpaceDE w:val="0"/>
      <w:autoSpaceDN w:val="0"/>
      <w:adjustRightInd w:val="0"/>
      <w:spacing w:line="240" w:lineRule="atLeast"/>
      <w:jc w:val="center"/>
      <w:textAlignment w:val="bottom"/>
    </w:pPr>
    <w:rPr>
      <w:rFonts w:ascii="宋体"/>
      <w:szCs w:val="20"/>
    </w:rPr>
  </w:style>
  <w:style w:type="paragraph" w:customStyle="1" w:styleId="636">
    <w:name w:val="标准条文"/>
    <w:basedOn w:val="637"/>
    <w:next w:val="637"/>
    <w:autoRedefine/>
    <w:qFormat/>
    <w:uiPriority w:val="99"/>
    <w:rPr>
      <w:rFonts w:ascii="宋体"/>
      <w:color w:val="auto"/>
    </w:rPr>
  </w:style>
  <w:style w:type="paragraph" w:customStyle="1" w:styleId="637">
    <w:name w:val="Default"/>
    <w:next w:val="1"/>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38">
    <w:name w:val="xl52"/>
    <w:basedOn w:val="1"/>
    <w:autoRedefine/>
    <w:qFormat/>
    <w:uiPriority w:val="99"/>
    <w:pPr>
      <w:widowControl/>
      <w:spacing w:before="100" w:beforeAutospacing="1" w:after="100" w:afterAutospacing="1"/>
      <w:jc w:val="left"/>
    </w:pPr>
    <w:rPr>
      <w:rFonts w:ascii="Arial" w:hAnsi="Arial" w:cs="Arial"/>
      <w:b/>
      <w:bCs/>
      <w:i/>
      <w:iCs/>
      <w:kern w:val="0"/>
      <w:sz w:val="22"/>
      <w:szCs w:val="22"/>
    </w:rPr>
  </w:style>
  <w:style w:type="paragraph" w:customStyle="1" w:styleId="639">
    <w:name w:val="xl144"/>
    <w:basedOn w:val="1"/>
    <w:autoRedefine/>
    <w:qFormat/>
    <w:uiPriority w:val="99"/>
    <w:pPr>
      <w:widowControl/>
      <w:pBdr>
        <w:left w:val="single" w:color="auto" w:sz="4" w:space="0"/>
        <w:bottom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640">
    <w:name w:val="图编号"/>
    <w:basedOn w:val="415"/>
    <w:autoRedefine/>
    <w:qFormat/>
    <w:uiPriority w:val="99"/>
    <w:pPr>
      <w:tabs>
        <w:tab w:val="left" w:pos="763"/>
        <w:tab w:val="left" w:pos="1440"/>
      </w:tabs>
      <w:spacing w:before="300" w:after="300" w:line="360" w:lineRule="auto"/>
      <w:ind w:left="400" w:leftChars="400" w:hanging="200" w:hangingChars="200"/>
    </w:pPr>
    <w:rPr>
      <w:rFonts w:ascii="Times New Roman" w:hAnsi="Times New Roman" w:eastAsia="宋体"/>
      <w:kern w:val="0"/>
      <w:sz w:val="20"/>
      <w:szCs w:val="24"/>
    </w:rPr>
  </w:style>
  <w:style w:type="paragraph" w:customStyle="1" w:styleId="641">
    <w:name w:val="Char1 Char Char Char2"/>
    <w:basedOn w:val="1"/>
    <w:autoRedefine/>
    <w:qFormat/>
    <w:uiPriority w:val="99"/>
    <w:pPr>
      <w:spacing w:line="360" w:lineRule="auto"/>
      <w:ind w:firstLine="200" w:firstLineChars="200"/>
    </w:pPr>
    <w:rPr>
      <w:rFonts w:ascii="宋体" w:hAnsi="宋体" w:cs="宋体"/>
      <w:sz w:val="24"/>
    </w:rPr>
  </w:style>
  <w:style w:type="paragraph" w:customStyle="1" w:styleId="642">
    <w:name w:val="xl82"/>
    <w:basedOn w:val="1"/>
    <w:autoRedefine/>
    <w:qFormat/>
    <w:uiPriority w:val="99"/>
    <w:pPr>
      <w:widowControl/>
      <w:pBdr>
        <w:left w:val="single" w:color="auto" w:sz="12" w:space="0"/>
        <w:bottom w:val="single" w:color="auto" w:sz="12" w:space="0"/>
      </w:pBdr>
      <w:spacing w:before="100" w:beforeAutospacing="1" w:after="100" w:afterAutospacing="1"/>
      <w:jc w:val="right"/>
      <w:textAlignment w:val="center"/>
    </w:pPr>
    <w:rPr>
      <w:rFonts w:ascii="Arial Unicode MS" w:hAnsi="Arial Unicode MS"/>
      <w:kern w:val="0"/>
      <w:sz w:val="12"/>
      <w:szCs w:val="12"/>
    </w:rPr>
  </w:style>
  <w:style w:type="paragraph" w:customStyle="1" w:styleId="643">
    <w:name w:val="myformat_content Char"/>
    <w:basedOn w:val="1"/>
    <w:autoRedefine/>
    <w:qFormat/>
    <w:uiPriority w:val="99"/>
    <w:pPr>
      <w:spacing w:beforeLines="50" w:afterLines="50" w:line="360" w:lineRule="exact"/>
      <w:ind w:firstLine="480" w:firstLineChars="200"/>
    </w:pPr>
    <w:rPr>
      <w:sz w:val="24"/>
      <w:szCs w:val="20"/>
    </w:rPr>
  </w:style>
  <w:style w:type="paragraph" w:customStyle="1" w:styleId="644">
    <w:name w:val="其他发布日期"/>
    <w:basedOn w:val="1"/>
    <w:autoRedefine/>
    <w:qFormat/>
    <w:uiPriority w:val="99"/>
    <w:pPr>
      <w:widowControl/>
      <w:numPr>
        <w:ilvl w:val="0"/>
        <w:numId w:val="6"/>
      </w:numPr>
      <w:jc w:val="left"/>
    </w:pPr>
    <w:rPr>
      <w:rFonts w:eastAsia="黑体"/>
      <w:kern w:val="0"/>
      <w:sz w:val="28"/>
      <w:szCs w:val="20"/>
    </w:rPr>
  </w:style>
  <w:style w:type="paragraph" w:customStyle="1" w:styleId="645">
    <w:name w:val="xl123"/>
    <w:basedOn w:val="1"/>
    <w:autoRedefine/>
    <w:qFormat/>
    <w:uiPriority w:val="99"/>
    <w:pPr>
      <w:widowControl/>
      <w:pBdr>
        <w:top w:val="single" w:color="auto" w:sz="8" w:space="0"/>
      </w:pBdr>
      <w:spacing w:before="100" w:beforeAutospacing="1" w:after="100" w:afterAutospacing="1"/>
      <w:jc w:val="left"/>
    </w:pPr>
    <w:rPr>
      <w:rFonts w:ascii="Arial Unicode MS" w:hAnsi="Arial Unicode MS"/>
      <w:kern w:val="0"/>
      <w:sz w:val="16"/>
      <w:szCs w:val="16"/>
    </w:rPr>
  </w:style>
  <w:style w:type="paragraph" w:customStyle="1" w:styleId="646">
    <w:name w:val="Char Char Char Char Char Char"/>
    <w:basedOn w:val="1"/>
    <w:autoRedefine/>
    <w:qFormat/>
    <w:uiPriority w:val="99"/>
    <w:rPr>
      <w:sz w:val="24"/>
    </w:rPr>
  </w:style>
  <w:style w:type="paragraph" w:customStyle="1" w:styleId="647">
    <w:name w:val="样式 样式 标题 3东明_小节H3条标题1.1.1二级节名h33rd level3l3CTHeading 3 - ... + 段..."/>
    <w:basedOn w:val="648"/>
    <w:autoRedefine/>
    <w:qFormat/>
    <w:uiPriority w:val="99"/>
    <w:pPr>
      <w:spacing w:after="156"/>
    </w:pPr>
  </w:style>
  <w:style w:type="paragraph" w:customStyle="1" w:styleId="648">
    <w:name w:val="样式 标题 3东明_小节H3条标题1.1.1二级节名h33rd level3l3CTHeading 3 - ..."/>
    <w:basedOn w:val="5"/>
    <w:autoRedefine/>
    <w:qFormat/>
    <w:uiPriority w:val="99"/>
    <w:pPr>
      <w:spacing w:before="0" w:after="0" w:line="360" w:lineRule="auto"/>
    </w:pPr>
    <w:rPr>
      <w:rFonts w:eastAsia="黑体" w:cs="宋体"/>
      <w:sz w:val="24"/>
      <w:szCs w:val="20"/>
      <w:lang w:val="zh-CN"/>
    </w:rPr>
  </w:style>
  <w:style w:type="paragraph" w:customStyle="1" w:styleId="649">
    <w:name w:val="Char Char Char Char Char Char Char Char Char Char Char Char Char Char Char Char"/>
    <w:basedOn w:val="1"/>
    <w:autoRedefine/>
    <w:qFormat/>
    <w:uiPriority w:val="99"/>
    <w:rPr>
      <w:rFonts w:cs="宋体"/>
      <w:bCs/>
      <w:color w:val="000000"/>
      <w:szCs w:val="28"/>
    </w:rPr>
  </w:style>
  <w:style w:type="paragraph" w:customStyle="1" w:styleId="650">
    <w:name w:val="五号表格"/>
    <w:next w:val="1"/>
    <w:autoRedefine/>
    <w:qFormat/>
    <w:uiPriority w:val="99"/>
    <w:rPr>
      <w:rFonts w:ascii="宋体" w:hAnsi="Times New Roman" w:eastAsia="宋体" w:cs="Times New Roman"/>
      <w:sz w:val="21"/>
      <w:lang w:val="en-US" w:eastAsia="zh-CN" w:bidi="ar-SA"/>
    </w:rPr>
  </w:style>
  <w:style w:type="paragraph" w:customStyle="1" w:styleId="651">
    <w:name w:val="7"/>
    <w:basedOn w:val="1"/>
    <w:next w:val="8"/>
    <w:autoRedefine/>
    <w:qFormat/>
    <w:uiPriority w:val="99"/>
    <w:pPr>
      <w:adjustRightInd w:val="0"/>
      <w:snapToGrid w:val="0"/>
      <w:spacing w:line="312" w:lineRule="auto"/>
      <w:ind w:firstLine="200" w:firstLineChars="200"/>
    </w:pPr>
    <w:rPr>
      <w:rFonts w:ascii="仿宋_GB2312" w:eastAsia="仿宋_GB2312"/>
      <w:sz w:val="28"/>
    </w:rPr>
  </w:style>
  <w:style w:type="paragraph" w:customStyle="1" w:styleId="652">
    <w:name w:val="BG-WZ"/>
    <w:basedOn w:val="1"/>
    <w:autoRedefine/>
    <w:qFormat/>
    <w:uiPriority w:val="99"/>
    <w:pPr>
      <w:adjustRightInd w:val="0"/>
      <w:snapToGrid w:val="0"/>
      <w:ind w:left="-51" w:right="-51"/>
      <w:jc w:val="center"/>
    </w:pPr>
    <w:rPr>
      <w:rFonts w:ascii="宋体" w:hAnsi="宋体"/>
      <w:szCs w:val="20"/>
    </w:rPr>
  </w:style>
  <w:style w:type="paragraph" w:customStyle="1" w:styleId="653">
    <w:name w:val="东明_章"/>
    <w:basedOn w:val="3"/>
    <w:autoRedefine/>
    <w:qFormat/>
    <w:uiPriority w:val="99"/>
    <w:pPr>
      <w:keepLines/>
      <w:pBdr>
        <w:top w:val="single" w:color="808080" w:sz="24" w:space="1"/>
        <w:left w:val="single" w:color="808080" w:sz="24" w:space="4"/>
        <w:bottom w:val="single" w:color="808080" w:sz="24" w:space="1"/>
        <w:right w:val="single" w:color="808080" w:sz="24" w:space="4"/>
      </w:pBdr>
      <w:shd w:val="clear" w:color="auto" w:fill="D9D9D9"/>
      <w:tabs>
        <w:tab w:val="left" w:pos="0"/>
        <w:tab w:val="left" w:pos="1400"/>
        <w:tab w:val="left" w:pos="8280"/>
      </w:tabs>
      <w:overflowPunct/>
      <w:snapToGrid/>
      <w:spacing w:before="600" w:after="0" w:line="578" w:lineRule="auto"/>
      <w:ind w:left="1400" w:hanging="840"/>
      <w:jc w:val="center"/>
    </w:pPr>
    <w:rPr>
      <w:rFonts w:ascii="Arial" w:hAnsi="Arial" w:eastAsia="宋体-方正超大字符集"/>
      <w:color w:val="auto"/>
      <w:sz w:val="36"/>
      <w:szCs w:val="20"/>
    </w:rPr>
  </w:style>
  <w:style w:type="paragraph" w:customStyle="1" w:styleId="654">
    <w:name w:val="xl131"/>
    <w:basedOn w:val="1"/>
    <w:autoRedefine/>
    <w:qFormat/>
    <w:uiPriority w:val="99"/>
    <w:pPr>
      <w:widowControl/>
      <w:pBdr>
        <w:left w:val="single" w:color="auto" w:sz="4" w:space="0"/>
        <w:right w:val="single" w:color="auto" w:sz="8" w:space="0"/>
      </w:pBdr>
      <w:spacing w:before="100" w:beforeAutospacing="1" w:after="100" w:afterAutospacing="1"/>
      <w:jc w:val="left"/>
    </w:pPr>
    <w:rPr>
      <w:rFonts w:ascii="Arial Unicode MS" w:hAnsi="Arial Unicode MS"/>
      <w:kern w:val="0"/>
    </w:rPr>
  </w:style>
  <w:style w:type="paragraph" w:customStyle="1" w:styleId="655">
    <w:name w:val="首页脚注"/>
    <w:basedOn w:val="54"/>
    <w:autoRedefine/>
    <w:qFormat/>
    <w:uiPriority w:val="99"/>
    <w:pPr>
      <w:keepLines/>
      <w:widowControl/>
      <w:tabs>
        <w:tab w:val="center" w:pos="4320"/>
        <w:tab w:val="clear" w:pos="4153"/>
        <w:tab w:val="clear" w:pos="8306"/>
      </w:tabs>
      <w:overflowPunct w:val="0"/>
      <w:autoSpaceDE w:val="0"/>
      <w:autoSpaceDN w:val="0"/>
      <w:adjustRightInd w:val="0"/>
      <w:snapToGrid/>
      <w:jc w:val="center"/>
      <w:textAlignment w:val="baseline"/>
    </w:pPr>
    <w:rPr>
      <w:sz w:val="20"/>
    </w:rPr>
  </w:style>
  <w:style w:type="paragraph" w:customStyle="1" w:styleId="656">
    <w:name w:val="工业统一正文"/>
    <w:basedOn w:val="1"/>
    <w:autoRedefine/>
    <w:qFormat/>
    <w:uiPriority w:val="99"/>
    <w:pPr>
      <w:adjustRightInd w:val="0"/>
      <w:snapToGrid w:val="0"/>
      <w:spacing w:line="360" w:lineRule="auto"/>
      <w:ind w:firstLine="200" w:firstLineChars="200"/>
      <w:jc w:val="left"/>
    </w:pPr>
    <w:rPr>
      <w:rFonts w:ascii="宋体"/>
      <w:sz w:val="28"/>
      <w:szCs w:val="20"/>
    </w:rPr>
  </w:style>
  <w:style w:type="paragraph" w:customStyle="1" w:styleId="657">
    <w:name w:val="Char Char Char4 Char Char Char Char Char Char3"/>
    <w:basedOn w:val="1"/>
    <w:autoRedefine/>
    <w:qFormat/>
    <w:uiPriority w:val="99"/>
    <w:rPr>
      <w:rFonts w:ascii="宋体" w:hAnsi="宋体" w:cs="宋体"/>
      <w:sz w:val="24"/>
    </w:rPr>
  </w:style>
  <w:style w:type="paragraph" w:customStyle="1" w:styleId="658">
    <w:name w:val="图目"/>
    <w:basedOn w:val="1"/>
    <w:autoRedefine/>
    <w:qFormat/>
    <w:uiPriority w:val="99"/>
    <w:pPr>
      <w:snapToGrid w:val="0"/>
      <w:spacing w:before="360" w:after="360" w:line="440" w:lineRule="atLeast"/>
      <w:jc w:val="center"/>
    </w:pPr>
    <w:rPr>
      <w:rFonts w:ascii="黑体" w:hAnsi="Arial" w:eastAsia="黑体"/>
      <w:sz w:val="24"/>
      <w:szCs w:val="20"/>
    </w:rPr>
  </w:style>
  <w:style w:type="paragraph" w:customStyle="1" w:styleId="659">
    <w:name w:val="xl71"/>
    <w:basedOn w:val="1"/>
    <w:autoRedefine/>
    <w:qFormat/>
    <w:uiPriority w:val="99"/>
    <w:pPr>
      <w:widowControl/>
      <w:spacing w:before="100" w:beforeAutospacing="1" w:after="100" w:afterAutospacing="1"/>
      <w:jc w:val="left"/>
    </w:pPr>
    <w:rPr>
      <w:rFonts w:ascii="宋体" w:hAnsi="宋体"/>
      <w:b/>
      <w:bCs/>
      <w:kern w:val="0"/>
      <w:sz w:val="20"/>
      <w:szCs w:val="20"/>
    </w:rPr>
  </w:style>
  <w:style w:type="paragraph" w:customStyle="1" w:styleId="660">
    <w:name w:val="表格文字居中 Char"/>
    <w:basedOn w:val="84"/>
    <w:autoRedefine/>
    <w:qFormat/>
    <w:uiPriority w:val="99"/>
    <w:pPr>
      <w:keepNext/>
      <w:tabs>
        <w:tab w:val="left" w:pos="628"/>
        <w:tab w:val="left" w:pos="1727"/>
        <w:tab w:val="left" w:pos="1884"/>
        <w:tab w:val="left" w:pos="2660"/>
        <w:tab w:val="left" w:pos="5460"/>
      </w:tabs>
      <w:spacing w:before="100" w:beforeAutospacing="1" w:after="0"/>
      <w:ind w:firstLine="0" w:firstLineChars="0"/>
      <w:jc w:val="center"/>
    </w:pPr>
    <w:rPr>
      <w:rFonts w:ascii="宋体"/>
      <w:bCs/>
      <w:color w:val="000000"/>
      <w:kern w:val="0"/>
      <w:sz w:val="24"/>
    </w:rPr>
  </w:style>
  <w:style w:type="paragraph" w:customStyle="1" w:styleId="661">
    <w:name w:val="样式 样式 首行缩进:  0.85 厘米 行距: 1.5 倍行距 + 段后: 0.3 行"/>
    <w:basedOn w:val="662"/>
    <w:autoRedefine/>
    <w:semiHidden/>
    <w:qFormat/>
    <w:uiPriority w:val="99"/>
  </w:style>
  <w:style w:type="paragraph" w:customStyle="1" w:styleId="662">
    <w:name w:val="样式 首行缩进:  0.85 厘米 行距: 1.5 倍行距"/>
    <w:basedOn w:val="1"/>
    <w:autoRedefine/>
    <w:semiHidden/>
    <w:qFormat/>
    <w:uiPriority w:val="99"/>
    <w:pPr>
      <w:snapToGrid w:val="0"/>
      <w:spacing w:beforeLines="50" w:line="360" w:lineRule="auto"/>
      <w:ind w:firstLine="480" w:firstLineChars="200"/>
    </w:pPr>
    <w:rPr>
      <w:sz w:val="24"/>
      <w:szCs w:val="20"/>
    </w:rPr>
  </w:style>
  <w:style w:type="paragraph" w:customStyle="1" w:styleId="663">
    <w:name w:val="xl133"/>
    <w:basedOn w:val="1"/>
    <w:autoRedefine/>
    <w:qFormat/>
    <w:uiPriority w:val="99"/>
    <w:pPr>
      <w:widowControl/>
      <w:pBdr>
        <w:right w:val="single" w:color="auto" w:sz="4" w:space="0"/>
      </w:pBdr>
      <w:spacing w:before="100" w:beforeAutospacing="1" w:after="100" w:afterAutospacing="1"/>
      <w:jc w:val="center"/>
    </w:pPr>
    <w:rPr>
      <w:rFonts w:ascii="Arial Unicode MS" w:hAnsi="Arial Unicode MS"/>
      <w:kern w:val="0"/>
      <w:sz w:val="12"/>
      <w:szCs w:val="12"/>
    </w:rPr>
  </w:style>
  <w:style w:type="paragraph" w:customStyle="1" w:styleId="664">
    <w:name w:val="EIA1"/>
    <w:basedOn w:val="3"/>
    <w:autoRedefine/>
    <w:qFormat/>
    <w:uiPriority w:val="99"/>
    <w:pPr>
      <w:tabs>
        <w:tab w:val="left" w:pos="390"/>
      </w:tabs>
      <w:overflowPunct/>
      <w:snapToGrid/>
      <w:spacing w:before="0" w:after="0" w:line="480" w:lineRule="auto"/>
      <w:ind w:left="390" w:firstLine="0"/>
      <w:jc w:val="left"/>
    </w:pPr>
    <w:rPr>
      <w:rFonts w:ascii="Calibri" w:hAnsi="Calibri" w:eastAsia="宋体"/>
      <w:bCs w:val="0"/>
      <w:color w:val="auto"/>
      <w:kern w:val="2"/>
      <w:sz w:val="32"/>
      <w:szCs w:val="20"/>
    </w:rPr>
  </w:style>
  <w:style w:type="paragraph" w:customStyle="1" w:styleId="665">
    <w:name w:val="表格文字居中"/>
    <w:basedOn w:val="1"/>
    <w:next w:val="84"/>
    <w:autoRedefine/>
    <w:qFormat/>
    <w:uiPriority w:val="99"/>
    <w:pPr>
      <w:keepNext/>
      <w:tabs>
        <w:tab w:val="left" w:pos="628"/>
        <w:tab w:val="left" w:pos="1727"/>
        <w:tab w:val="left" w:pos="1884"/>
      </w:tabs>
      <w:adjustRightInd w:val="0"/>
      <w:snapToGrid w:val="0"/>
      <w:contextualSpacing/>
      <w:jc w:val="center"/>
    </w:pPr>
    <w:rPr>
      <w:bCs/>
      <w:color w:val="000000"/>
      <w:kern w:val="0"/>
      <w:szCs w:val="21"/>
    </w:rPr>
  </w:style>
  <w:style w:type="paragraph" w:customStyle="1" w:styleId="666">
    <w:name w:val="样式 标题 2 + 首行缩进:  2.5 字符"/>
    <w:basedOn w:val="4"/>
    <w:autoRedefine/>
    <w:qFormat/>
    <w:uiPriority w:val="99"/>
    <w:pPr>
      <w:keepNext w:val="0"/>
      <w:keepLines w:val="0"/>
      <w:tabs>
        <w:tab w:val="left" w:pos="840"/>
      </w:tabs>
      <w:spacing w:before="0" w:after="0" w:line="240" w:lineRule="auto"/>
      <w:ind w:left="840" w:hanging="420"/>
    </w:pPr>
    <w:rPr>
      <w:rFonts w:ascii="Times New Roman" w:hAnsi="Times New Roman" w:eastAsia="楷体_GB2312" w:cs="宋体"/>
      <w:b w:val="0"/>
      <w:bCs w:val="0"/>
      <w:kern w:val="0"/>
      <w:sz w:val="28"/>
      <w:szCs w:val="20"/>
    </w:rPr>
  </w:style>
  <w:style w:type="paragraph" w:customStyle="1" w:styleId="667">
    <w:name w:val="xl120"/>
    <w:basedOn w:val="1"/>
    <w:autoRedefine/>
    <w:qFormat/>
    <w:uiPriority w:val="99"/>
    <w:pPr>
      <w:widowControl/>
      <w:spacing w:before="100" w:beforeAutospacing="1" w:after="100" w:afterAutospacing="1"/>
      <w:jc w:val="left"/>
      <w:textAlignment w:val="center"/>
    </w:pPr>
    <w:rPr>
      <w:rFonts w:ascii="Arial Unicode MS" w:hAnsi="Arial Unicode MS"/>
      <w:kern w:val="0"/>
      <w:sz w:val="12"/>
      <w:szCs w:val="12"/>
    </w:rPr>
  </w:style>
  <w:style w:type="paragraph" w:customStyle="1" w:styleId="668">
    <w:name w:val="表后文"/>
    <w:basedOn w:val="1"/>
    <w:autoRedefine/>
    <w:qFormat/>
    <w:uiPriority w:val="99"/>
    <w:pPr>
      <w:adjustRightInd w:val="0"/>
      <w:spacing w:before="120" w:line="400" w:lineRule="exact"/>
      <w:ind w:firstLine="601"/>
      <w:textAlignment w:val="baseline"/>
    </w:pPr>
    <w:rPr>
      <w:rFonts w:eastAsia="楷体_GB2312"/>
      <w:spacing w:val="8"/>
      <w:kern w:val="0"/>
      <w:sz w:val="28"/>
      <w:szCs w:val="20"/>
    </w:rPr>
  </w:style>
  <w:style w:type="paragraph" w:customStyle="1" w:styleId="669">
    <w:name w:val="正文首行缩进2字"/>
    <w:basedOn w:val="1"/>
    <w:autoRedefine/>
    <w:qFormat/>
    <w:uiPriority w:val="99"/>
    <w:pPr>
      <w:adjustRightInd w:val="0"/>
      <w:snapToGrid w:val="0"/>
      <w:spacing w:line="300" w:lineRule="auto"/>
      <w:ind w:firstLine="563" w:firstLineChars="201"/>
    </w:pPr>
    <w:rPr>
      <w:sz w:val="28"/>
    </w:rPr>
  </w:style>
  <w:style w:type="paragraph" w:customStyle="1" w:styleId="670">
    <w:name w:val="xl28"/>
    <w:basedOn w:val="1"/>
    <w:autoRedefine/>
    <w:qFormat/>
    <w:uiPriority w:val="99"/>
    <w:pPr>
      <w:widowControl/>
      <w:spacing w:before="100" w:beforeAutospacing="1" w:after="100" w:afterAutospacing="1"/>
      <w:jc w:val="center"/>
      <w:textAlignment w:val="bottom"/>
    </w:pPr>
    <w:rPr>
      <w:rFonts w:ascii="Arial" w:hAnsi="Arial" w:cs="Arial"/>
      <w:b/>
      <w:bCs/>
      <w:kern w:val="0"/>
      <w:sz w:val="24"/>
    </w:rPr>
  </w:style>
  <w:style w:type="paragraph" w:customStyle="1" w:styleId="671">
    <w:name w:val="p0"/>
    <w:basedOn w:val="1"/>
    <w:autoRedefine/>
    <w:qFormat/>
    <w:uiPriority w:val="99"/>
    <w:pPr>
      <w:widowControl/>
    </w:pPr>
    <w:rPr>
      <w:kern w:val="0"/>
      <w:szCs w:val="21"/>
    </w:rPr>
  </w:style>
  <w:style w:type="paragraph" w:customStyle="1" w:styleId="672">
    <w:name w:val="标题小四"/>
    <w:basedOn w:val="1"/>
    <w:next w:val="1"/>
    <w:autoRedefine/>
    <w:qFormat/>
    <w:uiPriority w:val="99"/>
    <w:pPr>
      <w:spacing w:line="360" w:lineRule="auto"/>
      <w:jc w:val="center"/>
    </w:pPr>
    <w:rPr>
      <w:rFonts w:eastAsia="黑体"/>
      <w:sz w:val="24"/>
    </w:rPr>
  </w:style>
  <w:style w:type="paragraph" w:customStyle="1" w:styleId="673">
    <w:name w:val="xl104"/>
    <w:basedOn w:val="1"/>
    <w:autoRedefine/>
    <w:qFormat/>
    <w:uiPriority w:val="99"/>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674">
    <w:name w:val="xl25"/>
    <w:basedOn w:val="1"/>
    <w:autoRedefine/>
    <w:qFormat/>
    <w:uiPriority w:val="99"/>
    <w:pPr>
      <w:widowControl/>
      <w:pBdr>
        <w:bottom w:val="single" w:color="auto" w:sz="4" w:space="0"/>
        <w:right w:val="single" w:color="auto" w:sz="4" w:space="0"/>
      </w:pBdr>
      <w:spacing w:before="100" w:beforeAutospacing="1" w:after="100" w:afterAutospacing="1"/>
      <w:jc w:val="center"/>
      <w:textAlignment w:val="top"/>
    </w:pPr>
    <w:rPr>
      <w:kern w:val="0"/>
      <w:szCs w:val="21"/>
    </w:rPr>
  </w:style>
  <w:style w:type="paragraph" w:customStyle="1" w:styleId="675">
    <w:name w:val="Date1"/>
    <w:basedOn w:val="1"/>
    <w:next w:val="1"/>
    <w:autoRedefine/>
    <w:qFormat/>
    <w:uiPriority w:val="99"/>
    <w:pPr>
      <w:adjustRightInd w:val="0"/>
      <w:textAlignment w:val="baseline"/>
    </w:pPr>
    <w:rPr>
      <w:szCs w:val="21"/>
    </w:rPr>
  </w:style>
  <w:style w:type="paragraph" w:customStyle="1" w:styleId="676">
    <w:name w:val="样式 正文文本 + 左侧:  2 字符 首行缩进:  2 字符"/>
    <w:basedOn w:val="32"/>
    <w:autoRedefine/>
    <w:qFormat/>
    <w:uiPriority w:val="99"/>
    <w:pPr>
      <w:widowControl w:val="0"/>
      <w:adjustRightInd w:val="0"/>
      <w:spacing w:before="0" w:after="0" w:line="360" w:lineRule="auto"/>
      <w:ind w:left="480" w:leftChars="200" w:right="0" w:firstLine="480" w:firstLineChars="200"/>
      <w:jc w:val="left"/>
    </w:pPr>
    <w:rPr>
      <w:rFonts w:ascii="Arial" w:hAnsi="Arial" w:cs="宋体"/>
      <w:kern w:val="2"/>
      <w:sz w:val="24"/>
    </w:rPr>
  </w:style>
  <w:style w:type="paragraph" w:customStyle="1" w:styleId="677">
    <w:name w:val="xl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color w:val="FF0000"/>
      <w:kern w:val="0"/>
      <w:sz w:val="24"/>
    </w:rPr>
  </w:style>
  <w:style w:type="paragraph" w:customStyle="1" w:styleId="678">
    <w:name w:val="defaultfon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79">
    <w:name w:val="xl44"/>
    <w:basedOn w:val="1"/>
    <w:autoRedefine/>
    <w:qFormat/>
    <w:uiPriority w:val="99"/>
    <w:pPr>
      <w:widowControl/>
      <w:spacing w:before="100" w:beforeAutospacing="1" w:after="100" w:afterAutospacing="1"/>
      <w:jc w:val="center"/>
    </w:pPr>
    <w:rPr>
      <w:rFonts w:ascii="Arial" w:hAnsi="Arial" w:cs="Arial"/>
      <w:b/>
      <w:bCs/>
      <w:kern w:val="0"/>
      <w:sz w:val="22"/>
      <w:szCs w:val="22"/>
    </w:rPr>
  </w:style>
  <w:style w:type="paragraph" w:customStyle="1" w:styleId="680">
    <w:name w:val="xl118"/>
    <w:basedOn w:val="1"/>
    <w:autoRedefine/>
    <w:qFormat/>
    <w:uiPriority w:val="99"/>
    <w:pPr>
      <w:widowControl/>
      <w:pBdr>
        <w:left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681">
    <w:name w:val="xl56"/>
    <w:basedOn w:val="1"/>
    <w:autoRedefine/>
    <w:qFormat/>
    <w:uiPriority w:val="99"/>
    <w:pPr>
      <w:widowControl/>
      <w:spacing w:before="100" w:beforeAutospacing="1" w:after="100" w:afterAutospacing="1"/>
      <w:jc w:val="right"/>
    </w:pPr>
    <w:rPr>
      <w:rFonts w:ascii="Arial" w:hAnsi="Arial" w:cs="Arial"/>
      <w:b/>
      <w:bCs/>
      <w:i/>
      <w:iCs/>
      <w:kern w:val="0"/>
      <w:sz w:val="22"/>
      <w:szCs w:val="22"/>
    </w:rPr>
  </w:style>
  <w:style w:type="paragraph" w:customStyle="1" w:styleId="682">
    <w:name w:val="标题16.1.1.1"/>
    <w:basedOn w:val="6"/>
    <w:autoRedefine/>
    <w:qFormat/>
    <w:uiPriority w:val="99"/>
    <w:pPr>
      <w:tabs>
        <w:tab w:val="left" w:pos="360"/>
      </w:tabs>
      <w:spacing w:before="120" w:after="120" w:line="312" w:lineRule="auto"/>
      <w:ind w:left="864" w:hanging="864"/>
      <w:contextualSpacing/>
    </w:pPr>
    <w:rPr>
      <w:rFonts w:ascii="Arial" w:hAnsi="Arial" w:eastAsia="黑体"/>
      <w:sz w:val="21"/>
      <w:szCs w:val="24"/>
    </w:rPr>
  </w:style>
  <w:style w:type="paragraph" w:customStyle="1" w:styleId="683">
    <w:name w:val="xl167"/>
    <w:basedOn w:val="1"/>
    <w:autoRedefine/>
    <w:qFormat/>
    <w:uiPriority w:val="99"/>
    <w:pPr>
      <w:widowControl/>
      <w:pBdr>
        <w:bottom w:val="single" w:color="auto" w:sz="12" w:space="0"/>
      </w:pBdr>
      <w:spacing w:before="100" w:beforeAutospacing="1" w:after="100" w:afterAutospacing="1"/>
      <w:jc w:val="center"/>
      <w:textAlignment w:val="center"/>
    </w:pPr>
    <w:rPr>
      <w:rFonts w:ascii="Arial Unicode MS" w:hAnsi="Arial Unicode MS"/>
      <w:kern w:val="0"/>
    </w:rPr>
  </w:style>
  <w:style w:type="paragraph" w:customStyle="1" w:styleId="684">
    <w:name w:val="注释"/>
    <w:basedOn w:val="209"/>
    <w:autoRedefine/>
    <w:qFormat/>
    <w:uiPriority w:val="99"/>
    <w:pPr>
      <w:ind w:firstLine="420"/>
    </w:pPr>
    <w:rPr>
      <w:sz w:val="21"/>
      <w:szCs w:val="24"/>
    </w:rPr>
  </w:style>
  <w:style w:type="paragraph" w:customStyle="1" w:styleId="685">
    <w:name w:val="样式 表标题4.9 + 居中"/>
    <w:basedOn w:val="1"/>
    <w:autoRedefine/>
    <w:qFormat/>
    <w:uiPriority w:val="99"/>
    <w:pPr>
      <w:numPr>
        <w:ilvl w:val="0"/>
        <w:numId w:val="7"/>
      </w:numPr>
      <w:tabs>
        <w:tab w:val="center" w:pos="4060"/>
        <w:tab w:val="right" w:pos="8261"/>
      </w:tabs>
      <w:suppressAutoHyphens/>
      <w:adjustRightInd w:val="0"/>
      <w:spacing w:before="240" w:line="240" w:lineRule="atLeast"/>
      <w:jc w:val="center"/>
    </w:pPr>
    <w:rPr>
      <w:rFonts w:ascii="黑体" w:eastAsia="黑体" w:cs="宋体"/>
      <w:b/>
      <w:bCs/>
      <w:spacing w:val="6"/>
      <w:kern w:val="0"/>
      <w:sz w:val="26"/>
      <w:szCs w:val="20"/>
    </w:rPr>
  </w:style>
  <w:style w:type="paragraph" w:customStyle="1" w:styleId="686">
    <w:name w:val="样式8"/>
    <w:basedOn w:val="1"/>
    <w:next w:val="1"/>
    <w:autoRedefine/>
    <w:qFormat/>
    <w:uiPriority w:val="99"/>
    <w:pPr>
      <w:ind w:firstLine="420"/>
    </w:pPr>
    <w:rPr>
      <w:rFonts w:ascii="宋体" w:hAnsi="Arial Black" w:cs="宋体"/>
      <w:sz w:val="24"/>
    </w:rPr>
  </w:style>
  <w:style w:type="paragraph" w:customStyle="1" w:styleId="687">
    <w:name w:val="样式 标题 2东明_节Chapter HeadingHeading 2 HiddenHeading 2 CCBShea..."/>
    <w:basedOn w:val="4"/>
    <w:autoRedefine/>
    <w:qFormat/>
    <w:uiPriority w:val="99"/>
    <w:pPr>
      <w:spacing w:before="0" w:after="0" w:line="360" w:lineRule="auto"/>
    </w:pPr>
    <w:rPr>
      <w:rFonts w:ascii="Times New Roman" w:hAnsi="Times New Roman" w:cs="宋体"/>
      <w:kern w:val="44"/>
      <w:sz w:val="28"/>
      <w:szCs w:val="20"/>
      <w:lang w:val="zh-CN"/>
    </w:rPr>
  </w:style>
  <w:style w:type="paragraph" w:customStyle="1" w:styleId="688">
    <w:name w:val="项目段落"/>
    <w:basedOn w:val="1"/>
    <w:autoRedefine/>
    <w:qFormat/>
    <w:uiPriority w:val="99"/>
    <w:pPr>
      <w:spacing w:before="60" w:line="360" w:lineRule="auto"/>
      <w:ind w:left="476" w:firstLine="482"/>
    </w:pPr>
    <w:rPr>
      <w:rFonts w:ascii="Arial" w:hAnsi="Arial" w:eastAsia="仿宋_GB2312"/>
      <w:kern w:val="0"/>
      <w:sz w:val="24"/>
      <w:szCs w:val="20"/>
    </w:rPr>
  </w:style>
  <w:style w:type="paragraph" w:customStyle="1" w:styleId="689">
    <w:name w:val="Char4"/>
    <w:basedOn w:val="1"/>
    <w:autoRedefine/>
    <w:qFormat/>
    <w:uiPriority w:val="99"/>
    <w:pPr>
      <w:widowControl/>
      <w:spacing w:after="160"/>
      <w:jc w:val="left"/>
    </w:pPr>
    <w:rPr>
      <w:rFonts w:ascii="Verdana" w:hAnsi="Verdana" w:eastAsia="仿宋_GB2312" w:cs="”“Times New Roman”“"/>
      <w:kern w:val="0"/>
      <w:sz w:val="28"/>
      <w:szCs w:val="28"/>
      <w:lang w:eastAsia="en-US"/>
    </w:rPr>
  </w:style>
  <w:style w:type="paragraph" w:customStyle="1" w:styleId="690">
    <w:name w:val="样式a"/>
    <w:basedOn w:val="1"/>
    <w:autoRedefine/>
    <w:qFormat/>
    <w:uiPriority w:val="99"/>
    <w:pPr>
      <w:adjustRightInd w:val="0"/>
      <w:snapToGrid w:val="0"/>
      <w:spacing w:line="420" w:lineRule="exact"/>
      <w:ind w:firstLine="200" w:firstLineChars="200"/>
      <w:textAlignment w:val="baseline"/>
    </w:pPr>
    <w:rPr>
      <w:kern w:val="0"/>
      <w:sz w:val="24"/>
    </w:rPr>
  </w:style>
  <w:style w:type="paragraph" w:customStyle="1" w:styleId="691">
    <w:name w:val="xl38"/>
    <w:basedOn w:val="1"/>
    <w:autoRedefine/>
    <w:qFormat/>
    <w:uiPriority w:val="99"/>
    <w:pPr>
      <w:widowControl/>
      <w:spacing w:before="100" w:beforeAutospacing="1" w:after="100" w:afterAutospacing="1"/>
      <w:jc w:val="left"/>
    </w:pPr>
    <w:rPr>
      <w:rFonts w:ascii="Arial" w:hAnsi="Arial" w:cs="Arial"/>
      <w:b/>
      <w:bCs/>
      <w:i/>
      <w:iCs/>
      <w:kern w:val="0"/>
      <w:sz w:val="22"/>
      <w:szCs w:val="22"/>
    </w:rPr>
  </w:style>
  <w:style w:type="paragraph" w:customStyle="1" w:styleId="692">
    <w:name w:val="普通(网站)2"/>
    <w:basedOn w:val="1"/>
    <w:autoRedefine/>
    <w:qFormat/>
    <w:uiPriority w:val="99"/>
    <w:pPr>
      <w:widowControl/>
      <w:spacing w:before="100" w:beforeAutospacing="1" w:after="100" w:afterAutospacing="1"/>
      <w:jc w:val="left"/>
    </w:pPr>
    <w:rPr>
      <w:rFonts w:ascii="宋体" w:hAnsi="宋体"/>
      <w:sz w:val="24"/>
      <w:szCs w:val="20"/>
    </w:rPr>
  </w:style>
  <w:style w:type="paragraph" w:customStyle="1" w:styleId="693">
    <w:name w:val="WPS Plain"/>
    <w:autoRedefine/>
    <w:qFormat/>
    <w:uiPriority w:val="99"/>
    <w:rPr>
      <w:rFonts w:ascii="Times New Roman" w:hAnsi="Times New Roman" w:eastAsia="宋体" w:cs="Times New Roman"/>
      <w:lang w:val="en-US" w:eastAsia="zh-CN" w:bidi="ar-SA"/>
    </w:rPr>
  </w:style>
  <w:style w:type="paragraph" w:customStyle="1" w:styleId="694">
    <w:name w:val="样式 样式 首行缩进:  2 字符 + 首行缩进:  2 字符2"/>
    <w:basedOn w:val="1"/>
    <w:autoRedefine/>
    <w:qFormat/>
    <w:uiPriority w:val="99"/>
    <w:pPr>
      <w:spacing w:line="440" w:lineRule="exact"/>
      <w:ind w:firstLine="584" w:firstLineChars="200"/>
    </w:pPr>
    <w:rPr>
      <w:rFonts w:eastAsia="楷体_GB2312" w:cs="宋体"/>
      <w:spacing w:val="6"/>
      <w:kern w:val="0"/>
      <w:sz w:val="28"/>
      <w:szCs w:val="20"/>
    </w:rPr>
  </w:style>
  <w:style w:type="paragraph" w:customStyle="1" w:styleId="695">
    <w:name w:val="样式 首行缩进:  2 字符"/>
    <w:basedOn w:val="1"/>
    <w:autoRedefine/>
    <w:qFormat/>
    <w:uiPriority w:val="99"/>
    <w:pPr>
      <w:snapToGrid w:val="0"/>
      <w:spacing w:line="500" w:lineRule="exact"/>
      <w:ind w:firstLine="480" w:firstLineChars="200"/>
      <w:jc w:val="left"/>
    </w:pPr>
    <w:rPr>
      <w:rFonts w:cs="宋体"/>
      <w:sz w:val="24"/>
      <w:szCs w:val="20"/>
    </w:rPr>
  </w:style>
  <w:style w:type="paragraph" w:customStyle="1" w:styleId="696">
    <w:name w:val="报告书表格"/>
    <w:basedOn w:val="1"/>
    <w:autoRedefine/>
    <w:qFormat/>
    <w:uiPriority w:val="99"/>
    <w:pPr>
      <w:adjustRightInd w:val="0"/>
      <w:spacing w:before="60" w:after="60" w:line="240" w:lineRule="atLeast"/>
      <w:jc w:val="center"/>
      <w:textAlignment w:val="baseline"/>
    </w:pPr>
    <w:rPr>
      <w:kern w:val="0"/>
      <w:szCs w:val="20"/>
    </w:rPr>
  </w:style>
  <w:style w:type="paragraph" w:customStyle="1" w:styleId="697">
    <w:name w:val="源程序"/>
    <w:autoRedefine/>
    <w:qFormat/>
    <w:uiPriority w:val="99"/>
    <w:pPr>
      <w:widowControl w:val="0"/>
      <w:kinsoku w:val="0"/>
      <w:wordWrap w:val="0"/>
      <w:overflowPunct w:val="0"/>
      <w:autoSpaceDE w:val="0"/>
      <w:autoSpaceDN w:val="0"/>
      <w:adjustRightInd w:val="0"/>
      <w:ind w:left="482"/>
    </w:pPr>
    <w:rPr>
      <w:rFonts w:ascii="Courier New" w:hAnsi="Courier New" w:eastAsia="仿宋_GB2312" w:cs="Times New Roman"/>
      <w:sz w:val="24"/>
      <w:lang w:val="en-US" w:eastAsia="zh-CN" w:bidi="ar-SA"/>
    </w:rPr>
  </w:style>
  <w:style w:type="paragraph" w:customStyle="1" w:styleId="698">
    <w:name w:val="图文字"/>
    <w:basedOn w:val="1"/>
    <w:autoRedefine/>
    <w:qFormat/>
    <w:uiPriority w:val="99"/>
    <w:pPr>
      <w:spacing w:line="400" w:lineRule="exact"/>
      <w:jc w:val="center"/>
    </w:pPr>
    <w:rPr>
      <w:rFonts w:ascii="宋体" w:hAnsi="宋体"/>
      <w:kern w:val="44"/>
      <w:sz w:val="24"/>
    </w:rPr>
  </w:style>
  <w:style w:type="paragraph" w:customStyle="1" w:styleId="699">
    <w:name w:val="Char Char Char Char Char Char1"/>
    <w:basedOn w:val="1"/>
    <w:autoRedefine/>
    <w:qFormat/>
    <w:uiPriority w:val="99"/>
    <w:rPr>
      <w:sz w:val="24"/>
    </w:rPr>
  </w:style>
  <w:style w:type="paragraph" w:customStyle="1" w:styleId="700">
    <w:name w:val="a"/>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01">
    <w:name w:val="样式 题注 + 首行缩进:  2 字符"/>
    <w:basedOn w:val="22"/>
    <w:autoRedefine/>
    <w:qFormat/>
    <w:uiPriority w:val="99"/>
    <w:pPr>
      <w:snapToGrid/>
      <w:spacing w:before="152" w:after="160" w:line="360" w:lineRule="auto"/>
      <w:ind w:firstLine="400" w:firstLineChars="200"/>
      <w:jc w:val="both"/>
    </w:pPr>
    <w:rPr>
      <w:rFonts w:cs="宋体"/>
      <w:sz w:val="21"/>
    </w:rPr>
  </w:style>
  <w:style w:type="paragraph" w:customStyle="1" w:styleId="702">
    <w:name w:val="列出段落1"/>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703">
    <w:name w:val="五级条标题"/>
    <w:basedOn w:val="704"/>
    <w:next w:val="1"/>
    <w:autoRedefine/>
    <w:qFormat/>
    <w:uiPriority w:val="99"/>
    <w:pPr>
      <w:tabs>
        <w:tab w:val="left" w:pos="360"/>
        <w:tab w:val="left" w:pos="903"/>
      </w:tabs>
      <w:outlineLvl w:val="6"/>
    </w:pPr>
  </w:style>
  <w:style w:type="paragraph" w:customStyle="1" w:styleId="704">
    <w:name w:val="四级条标题"/>
    <w:basedOn w:val="705"/>
    <w:next w:val="1"/>
    <w:autoRedefine/>
    <w:qFormat/>
    <w:uiPriority w:val="99"/>
    <w:pPr>
      <w:tabs>
        <w:tab w:val="left" w:pos="360"/>
        <w:tab w:val="left" w:pos="903"/>
      </w:tabs>
      <w:outlineLvl w:val="5"/>
    </w:pPr>
  </w:style>
  <w:style w:type="paragraph" w:customStyle="1" w:styleId="705">
    <w:name w:val="三级条标题"/>
    <w:basedOn w:val="706"/>
    <w:next w:val="1"/>
    <w:autoRedefine/>
    <w:qFormat/>
    <w:uiPriority w:val="99"/>
    <w:pPr>
      <w:tabs>
        <w:tab w:val="left" w:pos="360"/>
        <w:tab w:val="left" w:pos="903"/>
      </w:tabs>
      <w:outlineLvl w:val="4"/>
    </w:pPr>
  </w:style>
  <w:style w:type="paragraph" w:customStyle="1" w:styleId="706">
    <w:name w:val="二级条标题"/>
    <w:basedOn w:val="707"/>
    <w:next w:val="1"/>
    <w:autoRedefine/>
    <w:qFormat/>
    <w:uiPriority w:val="99"/>
    <w:pPr>
      <w:tabs>
        <w:tab w:val="left" w:pos="360"/>
        <w:tab w:val="left" w:pos="903"/>
      </w:tabs>
      <w:outlineLvl w:val="3"/>
    </w:pPr>
  </w:style>
  <w:style w:type="paragraph" w:customStyle="1" w:styleId="707">
    <w:name w:val="一级条标题"/>
    <w:basedOn w:val="708"/>
    <w:next w:val="1"/>
    <w:autoRedefine/>
    <w:qFormat/>
    <w:uiPriority w:val="99"/>
    <w:pPr>
      <w:tabs>
        <w:tab w:val="left" w:pos="360"/>
        <w:tab w:val="left" w:pos="903"/>
      </w:tabs>
      <w:spacing w:before="0" w:after="0"/>
      <w:ind w:left="0" w:firstLine="0"/>
      <w:outlineLvl w:val="2"/>
    </w:pPr>
  </w:style>
  <w:style w:type="paragraph" w:customStyle="1" w:styleId="708">
    <w:name w:val="章标题"/>
    <w:next w:val="1"/>
    <w:autoRedefine/>
    <w:qFormat/>
    <w:uiPriority w:val="99"/>
    <w:p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709">
    <w:name w:val="xl161"/>
    <w:basedOn w:val="1"/>
    <w:autoRedefine/>
    <w:qFormat/>
    <w:uiPriority w:val="99"/>
    <w:pPr>
      <w:widowControl/>
      <w:spacing w:before="100" w:beforeAutospacing="1" w:after="100" w:afterAutospacing="1"/>
      <w:jc w:val="center"/>
      <w:textAlignment w:val="center"/>
    </w:pPr>
    <w:rPr>
      <w:rFonts w:ascii="Arial Unicode MS" w:hAnsi="Arial Unicode MS"/>
      <w:kern w:val="0"/>
    </w:rPr>
  </w:style>
  <w:style w:type="paragraph" w:customStyle="1" w:styleId="710">
    <w:name w:val="xl85"/>
    <w:basedOn w:val="1"/>
    <w:autoRedefine/>
    <w:qFormat/>
    <w:uiPriority w:val="99"/>
    <w:pPr>
      <w:widowControl/>
      <w:pBdr>
        <w:bottom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711">
    <w:name w:val="_Style 1"/>
    <w:basedOn w:val="1"/>
    <w:next w:val="8"/>
    <w:autoRedefine/>
    <w:qFormat/>
    <w:uiPriority w:val="99"/>
    <w:pPr>
      <w:adjustRightInd w:val="0"/>
      <w:spacing w:line="288" w:lineRule="auto"/>
      <w:ind w:firstLine="480"/>
      <w:textAlignment w:val="baseline"/>
    </w:pPr>
    <w:rPr>
      <w:rFonts w:ascii="宋体" w:hAnsi="宋体" w:cs="宋体"/>
      <w:sz w:val="24"/>
    </w:rPr>
  </w:style>
  <w:style w:type="paragraph" w:customStyle="1" w:styleId="712">
    <w:name w:val="纯文本2"/>
    <w:basedOn w:val="1"/>
    <w:autoRedefine/>
    <w:qFormat/>
    <w:uiPriority w:val="99"/>
    <w:pPr>
      <w:autoSpaceDE w:val="0"/>
      <w:autoSpaceDN w:val="0"/>
      <w:adjustRightInd w:val="0"/>
      <w:textAlignment w:val="baseline"/>
    </w:pPr>
    <w:rPr>
      <w:rFonts w:ascii="宋体"/>
      <w:szCs w:val="20"/>
    </w:rPr>
  </w:style>
  <w:style w:type="paragraph" w:customStyle="1" w:styleId="713">
    <w:name w:val="xl49"/>
    <w:basedOn w:val="1"/>
    <w:autoRedefine/>
    <w:qFormat/>
    <w:uiPriority w:val="99"/>
    <w:pPr>
      <w:widowControl/>
      <w:spacing w:before="100" w:beforeAutospacing="1" w:after="100" w:afterAutospacing="1"/>
      <w:jc w:val="left"/>
    </w:pPr>
    <w:rPr>
      <w:rFonts w:ascii="Arial" w:hAnsi="Arial" w:cs="Arial"/>
      <w:b/>
      <w:bCs/>
      <w:i/>
      <w:iCs/>
      <w:kern w:val="0"/>
      <w:sz w:val="22"/>
      <w:szCs w:val="22"/>
    </w:rPr>
  </w:style>
  <w:style w:type="paragraph" w:customStyle="1" w:styleId="714">
    <w:name w:val="表格注释"/>
    <w:basedOn w:val="1"/>
    <w:next w:val="715"/>
    <w:autoRedefine/>
    <w:qFormat/>
    <w:uiPriority w:val="99"/>
    <w:pPr>
      <w:spacing w:before="240" w:after="240" w:line="480" w:lineRule="exact"/>
      <w:jc w:val="center"/>
    </w:pPr>
    <w:rPr>
      <w:sz w:val="24"/>
      <w:szCs w:val="20"/>
    </w:rPr>
  </w:style>
  <w:style w:type="paragraph" w:customStyle="1" w:styleId="715">
    <w:name w:val="东明_正文 Char Char Char"/>
    <w:basedOn w:val="1"/>
    <w:autoRedefine/>
    <w:qFormat/>
    <w:uiPriority w:val="99"/>
    <w:pPr>
      <w:spacing w:before="240" w:after="240" w:line="480" w:lineRule="exact"/>
      <w:ind w:firstLine="560" w:firstLineChars="200"/>
    </w:pPr>
    <w:rPr>
      <w:sz w:val="28"/>
      <w:szCs w:val="20"/>
    </w:rPr>
  </w:style>
  <w:style w:type="paragraph" w:customStyle="1" w:styleId="716">
    <w:name w:val="样式 样式3 + 首行缩进:  2 字符"/>
    <w:basedOn w:val="1"/>
    <w:autoRedefine/>
    <w:qFormat/>
    <w:uiPriority w:val="99"/>
    <w:pPr>
      <w:widowControl/>
      <w:spacing w:line="440" w:lineRule="exact"/>
      <w:ind w:firstLine="560" w:firstLineChars="200"/>
      <w:contextualSpacing/>
      <w:jc w:val="left"/>
    </w:pPr>
    <w:rPr>
      <w:rFonts w:cs="宋体"/>
      <w:kern w:val="0"/>
    </w:rPr>
  </w:style>
  <w:style w:type="paragraph" w:customStyle="1" w:styleId="717">
    <w:name w:val="Char Char Char Char Char Char2"/>
    <w:basedOn w:val="1"/>
    <w:autoRedefine/>
    <w:qFormat/>
    <w:uiPriority w:val="99"/>
    <w:rPr>
      <w:sz w:val="24"/>
    </w:rPr>
  </w:style>
  <w:style w:type="paragraph" w:customStyle="1" w:styleId="718">
    <w:name w:val="xl76"/>
    <w:basedOn w:val="1"/>
    <w:autoRedefine/>
    <w:qFormat/>
    <w:uiPriority w:val="99"/>
    <w:pPr>
      <w:widowControl/>
      <w:spacing w:before="100" w:beforeAutospacing="1" w:after="100" w:afterAutospacing="1"/>
      <w:jc w:val="left"/>
    </w:pPr>
    <w:rPr>
      <w:rFonts w:ascii="Arial Unicode MS" w:hAnsi="Arial Unicode MS"/>
      <w:kern w:val="0"/>
      <w:sz w:val="16"/>
      <w:szCs w:val="16"/>
    </w:rPr>
  </w:style>
  <w:style w:type="paragraph" w:customStyle="1" w:styleId="719">
    <w:name w:val="样式 标题 1章标题 11标题 1H1一、 + 行距: 1.5 倍行距1"/>
    <w:basedOn w:val="3"/>
    <w:autoRedefine/>
    <w:semiHidden/>
    <w:qFormat/>
    <w:uiPriority w:val="99"/>
    <w:pPr>
      <w:keepLines/>
      <w:overflowPunct/>
      <w:spacing w:before="340" w:after="330" w:line="360" w:lineRule="auto"/>
      <w:ind w:left="3845" w:hanging="3845"/>
      <w:jc w:val="center"/>
    </w:pPr>
    <w:rPr>
      <w:rFonts w:cs="宋体"/>
      <w:color w:val="auto"/>
      <w:sz w:val="44"/>
      <w:szCs w:val="20"/>
    </w:rPr>
  </w:style>
  <w:style w:type="paragraph" w:customStyle="1" w:styleId="720">
    <w:name w:val="式中："/>
    <w:basedOn w:val="283"/>
    <w:autoRedefine/>
    <w:qFormat/>
    <w:uiPriority w:val="99"/>
    <w:pPr>
      <w:spacing w:after="0"/>
      <w:ind w:left="500" w:leftChars="500" w:firstLine="0" w:firstLineChars="0"/>
      <w:jc w:val="left"/>
    </w:pPr>
  </w:style>
  <w:style w:type="paragraph" w:customStyle="1" w:styleId="721">
    <w:name w:val="表名称"/>
    <w:autoRedefine/>
    <w:semiHidden/>
    <w:qFormat/>
    <w:uiPriority w:val="99"/>
    <w:pPr>
      <w:widowControl w:val="0"/>
      <w:spacing w:before="240" w:line="288" w:lineRule="auto"/>
      <w:jc w:val="both"/>
    </w:pPr>
    <w:rPr>
      <w:rFonts w:ascii="Times New Roman" w:hAnsi="Times New Roman" w:eastAsia="宋体" w:cs="Times New Roman"/>
      <w:kern w:val="2"/>
      <w:sz w:val="24"/>
      <w:szCs w:val="24"/>
      <w:lang w:val="en-US" w:eastAsia="zh-CN" w:bidi="ar-SA"/>
    </w:rPr>
  </w:style>
  <w:style w:type="paragraph" w:customStyle="1" w:styleId="722">
    <w:name w:val="样式 列表 2 + 华文仿宋 居中"/>
    <w:basedOn w:val="39"/>
    <w:autoRedefine/>
    <w:qFormat/>
    <w:uiPriority w:val="99"/>
    <w:pPr>
      <w:ind w:left="0" w:leftChars="0" w:firstLine="0" w:firstLineChars="0"/>
      <w:jc w:val="center"/>
    </w:pPr>
    <w:rPr>
      <w:rFonts w:ascii="宋体" w:hAnsi="宋体" w:eastAsia="宋体"/>
      <w:kern w:val="2"/>
      <w:sz w:val="21"/>
      <w:szCs w:val="21"/>
    </w:rPr>
  </w:style>
  <w:style w:type="paragraph" w:customStyle="1" w:styleId="723">
    <w:name w:val="默认段落字体 Para Char Char Char1 Char Char"/>
    <w:basedOn w:val="1"/>
    <w:autoRedefine/>
    <w:qFormat/>
    <w:uiPriority w:val="99"/>
    <w:rPr>
      <w:sz w:val="24"/>
    </w:rPr>
  </w:style>
  <w:style w:type="paragraph" w:customStyle="1" w:styleId="724">
    <w:name w:val="样式 上标 Char"/>
    <w:basedOn w:val="715"/>
    <w:next w:val="715"/>
    <w:autoRedefine/>
    <w:qFormat/>
    <w:uiPriority w:val="99"/>
    <w:pPr>
      <w:spacing w:before="0" w:after="0" w:line="320" w:lineRule="exact"/>
      <w:ind w:firstLine="200"/>
    </w:pPr>
    <w:rPr>
      <w:caps/>
      <w:szCs w:val="36"/>
    </w:rPr>
  </w:style>
  <w:style w:type="paragraph" w:customStyle="1" w:styleId="725">
    <w:name w:val="xl176"/>
    <w:basedOn w:val="1"/>
    <w:autoRedefine/>
    <w:qFormat/>
    <w:uiPriority w:val="99"/>
    <w:pPr>
      <w:widowControl/>
      <w:pBdr>
        <w:top w:val="single" w:color="auto" w:sz="12" w:space="0"/>
        <w:left w:val="single" w:color="auto" w:sz="12" w:space="0"/>
      </w:pBdr>
      <w:spacing w:before="100" w:beforeAutospacing="1" w:after="100" w:afterAutospacing="1"/>
      <w:jc w:val="left"/>
    </w:pPr>
    <w:rPr>
      <w:rFonts w:ascii="Arial Unicode MS" w:hAnsi="Arial Unicode MS"/>
      <w:kern w:val="0"/>
    </w:rPr>
  </w:style>
  <w:style w:type="paragraph" w:customStyle="1" w:styleId="726">
    <w:name w:val="xl43"/>
    <w:basedOn w:val="1"/>
    <w:autoRedefine/>
    <w:qFormat/>
    <w:uiPriority w:val="99"/>
    <w:pPr>
      <w:widowControl/>
      <w:spacing w:before="100" w:beforeAutospacing="1" w:after="100" w:afterAutospacing="1"/>
      <w:jc w:val="left"/>
    </w:pPr>
    <w:rPr>
      <w:rFonts w:ascii="Arial" w:hAnsi="Arial" w:cs="Arial"/>
      <w:b/>
      <w:bCs/>
      <w:i/>
      <w:iCs/>
      <w:kern w:val="0"/>
      <w:sz w:val="22"/>
      <w:szCs w:val="22"/>
    </w:rPr>
  </w:style>
  <w:style w:type="paragraph" w:customStyle="1" w:styleId="727">
    <w:name w:val="dandan6-13正文 Char Char Char Char Char Char"/>
    <w:basedOn w:val="1"/>
    <w:next w:val="1"/>
    <w:autoRedefine/>
    <w:qFormat/>
    <w:uiPriority w:val="99"/>
    <w:pPr>
      <w:keepNext/>
      <w:keepLines/>
      <w:widowControl/>
      <w:adjustRightInd w:val="0"/>
      <w:spacing w:before="40" w:after="40" w:line="360" w:lineRule="auto"/>
      <w:ind w:firstLine="200" w:firstLineChars="200"/>
      <w:textAlignment w:val="baseline"/>
    </w:pPr>
    <w:rPr>
      <w:szCs w:val="20"/>
    </w:rPr>
  </w:style>
  <w:style w:type="paragraph" w:customStyle="1" w:styleId="728">
    <w:name w:val="xl96"/>
    <w:basedOn w:val="1"/>
    <w:autoRedefine/>
    <w:qFormat/>
    <w:uiPriority w:val="99"/>
    <w:pPr>
      <w:widowControl/>
      <w:pBdr>
        <w:left w:val="single" w:color="auto" w:sz="12" w:space="0"/>
        <w:bottom w:val="single" w:color="auto" w:sz="12" w:space="0"/>
        <w:right w:val="single" w:color="auto" w:sz="4" w:space="0"/>
      </w:pBdr>
      <w:spacing w:before="100" w:beforeAutospacing="1" w:after="100" w:afterAutospacing="1"/>
      <w:jc w:val="center"/>
    </w:pPr>
    <w:rPr>
      <w:rFonts w:ascii="Arial Unicode MS" w:hAnsi="Arial Unicode MS"/>
      <w:kern w:val="0"/>
      <w:sz w:val="12"/>
      <w:szCs w:val="12"/>
    </w:rPr>
  </w:style>
  <w:style w:type="paragraph" w:customStyle="1" w:styleId="729">
    <w:name w:val="目录3"/>
    <w:basedOn w:val="1"/>
    <w:autoRedefine/>
    <w:qFormat/>
    <w:uiPriority w:val="99"/>
    <w:pPr>
      <w:tabs>
        <w:tab w:val="right" w:leader="dot" w:pos="8112"/>
        <w:tab w:val="right" w:leader="dot" w:pos="8160"/>
        <w:tab w:val="right" w:leader="dot" w:pos="8280"/>
      </w:tabs>
      <w:spacing w:line="480" w:lineRule="exact"/>
      <w:ind w:left="1134"/>
      <w:jc w:val="left"/>
    </w:pPr>
    <w:rPr>
      <w:bCs/>
      <w:sz w:val="28"/>
      <w:szCs w:val="20"/>
    </w:rPr>
  </w:style>
  <w:style w:type="paragraph" w:customStyle="1" w:styleId="730">
    <w:name w:val="Char Char Char Char4"/>
    <w:basedOn w:val="1"/>
    <w:autoRedefine/>
    <w:qFormat/>
    <w:uiPriority w:val="99"/>
    <w:pPr>
      <w:snapToGrid w:val="0"/>
      <w:ind w:firstLine="200" w:firstLineChars="200"/>
    </w:pPr>
  </w:style>
  <w:style w:type="paragraph" w:customStyle="1" w:styleId="731">
    <w:name w:val="注"/>
    <w:basedOn w:val="1"/>
    <w:next w:val="1"/>
    <w:autoRedefine/>
    <w:qFormat/>
    <w:uiPriority w:val="99"/>
    <w:pPr>
      <w:widowControl/>
      <w:spacing w:before="60" w:after="60" w:line="312" w:lineRule="auto"/>
    </w:pPr>
    <w:rPr>
      <w:rFonts w:eastAsia="黑体"/>
      <w:kern w:val="0"/>
      <w:szCs w:val="20"/>
    </w:rPr>
  </w:style>
  <w:style w:type="paragraph" w:customStyle="1" w:styleId="732">
    <w:name w:val="xl117"/>
    <w:basedOn w:val="1"/>
    <w:autoRedefine/>
    <w:qFormat/>
    <w:uiPriority w:val="99"/>
    <w:pPr>
      <w:widowControl/>
      <w:pBdr>
        <w:left w:val="single" w:color="auto" w:sz="8" w:space="0"/>
      </w:pBdr>
      <w:spacing w:before="100" w:beforeAutospacing="1" w:after="100" w:afterAutospacing="1"/>
      <w:jc w:val="left"/>
    </w:pPr>
    <w:rPr>
      <w:rFonts w:ascii="Arial Unicode MS" w:hAnsi="Arial Unicode MS"/>
      <w:kern w:val="0"/>
    </w:rPr>
  </w:style>
  <w:style w:type="paragraph" w:customStyle="1" w:styleId="733">
    <w:name w:val="xl69"/>
    <w:basedOn w:val="1"/>
    <w:autoRedefine/>
    <w:qFormat/>
    <w:uiPriority w:val="99"/>
    <w:pPr>
      <w:widowControl/>
      <w:spacing w:before="100" w:beforeAutospacing="1" w:after="100" w:afterAutospacing="1"/>
      <w:jc w:val="left"/>
    </w:pPr>
    <w:rPr>
      <w:rFonts w:ascii="宋体" w:hAnsi="宋体"/>
      <w:b/>
      <w:bCs/>
      <w:kern w:val="0"/>
      <w:sz w:val="22"/>
      <w:szCs w:val="22"/>
    </w:rPr>
  </w:style>
  <w:style w:type="paragraph" w:customStyle="1" w:styleId="734">
    <w:name w:val="xl46"/>
    <w:basedOn w:val="1"/>
    <w:autoRedefine/>
    <w:qFormat/>
    <w:uiPriority w:val="99"/>
    <w:pPr>
      <w:widowControl/>
      <w:pBdr>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735">
    <w:name w:val="正文样式3"/>
    <w:basedOn w:val="1"/>
    <w:autoRedefine/>
    <w:qFormat/>
    <w:uiPriority w:val="99"/>
    <w:pPr>
      <w:keepLines/>
      <w:adjustRightInd w:val="0"/>
      <w:spacing w:line="20" w:lineRule="atLeast"/>
      <w:ind w:firstLine="200" w:firstLineChars="200"/>
      <w:jc w:val="center"/>
      <w:textAlignment w:val="baseline"/>
    </w:pPr>
    <w:rPr>
      <w:rFonts w:eastAsia="仿宋_GB2312"/>
      <w:kern w:val="0"/>
      <w:sz w:val="24"/>
      <w:szCs w:val="20"/>
    </w:rPr>
  </w:style>
  <w:style w:type="paragraph" w:customStyle="1" w:styleId="736">
    <w:name w:val="表格（大）"/>
    <w:basedOn w:val="1"/>
    <w:autoRedefine/>
    <w:qFormat/>
    <w:uiPriority w:val="99"/>
    <w:pPr>
      <w:jc w:val="center"/>
    </w:pPr>
    <w:rPr>
      <w:rFonts w:ascii="仿宋_GB2312" w:eastAsia="仿宋_GB2312"/>
      <w:color w:val="000000"/>
      <w:sz w:val="24"/>
      <w:szCs w:val="20"/>
    </w:rPr>
  </w:style>
  <w:style w:type="paragraph" w:customStyle="1" w:styleId="737">
    <w:name w:val="版式1-表名 Char Char Char"/>
    <w:basedOn w:val="8"/>
    <w:next w:val="1"/>
    <w:autoRedefine/>
    <w:qFormat/>
    <w:uiPriority w:val="99"/>
    <w:pPr>
      <w:overflowPunct w:val="0"/>
      <w:snapToGrid w:val="0"/>
      <w:spacing w:beforeLines="50" w:afterLines="50" w:line="440" w:lineRule="exact"/>
      <w:ind w:firstLine="0" w:firstLineChars="0"/>
      <w:jc w:val="center"/>
    </w:pPr>
    <w:rPr>
      <w:rFonts w:ascii="华文细黑" w:hAnsi="华文细黑" w:eastAsia="华文细黑"/>
      <w:b/>
    </w:rPr>
  </w:style>
  <w:style w:type="paragraph" w:customStyle="1" w:styleId="738">
    <w:name w:val="样式 标题 1 + 两端对齐"/>
    <w:basedOn w:val="3"/>
    <w:autoRedefine/>
    <w:qFormat/>
    <w:uiPriority w:val="99"/>
    <w:pPr>
      <w:keepNext w:val="0"/>
      <w:pageBreakBefore/>
      <w:widowControl/>
      <w:tabs>
        <w:tab w:val="left" w:pos="390"/>
        <w:tab w:val="left" w:pos="420"/>
      </w:tabs>
      <w:overflowPunct/>
      <w:adjustRightInd w:val="0"/>
      <w:spacing w:before="0" w:after="0" w:line="300" w:lineRule="auto"/>
      <w:ind w:left="425" w:hanging="425"/>
      <w:jc w:val="center"/>
    </w:pPr>
    <w:rPr>
      <w:rFonts w:ascii="仿宋_GB2312" w:hAnsi="Calibri" w:eastAsia="仿宋_GB2312" w:cs="宋体"/>
      <w:b w:val="0"/>
      <w:bCs w:val="0"/>
      <w:color w:val="auto"/>
      <w:kern w:val="0"/>
      <w:sz w:val="32"/>
      <w:szCs w:val="32"/>
    </w:rPr>
  </w:style>
  <w:style w:type="paragraph" w:customStyle="1" w:styleId="739">
    <w:name w:val="标题-图表"/>
    <w:basedOn w:val="1"/>
    <w:autoRedefine/>
    <w:qFormat/>
    <w:uiPriority w:val="99"/>
    <w:pPr>
      <w:spacing w:line="500" w:lineRule="exact"/>
      <w:jc w:val="center"/>
    </w:pPr>
    <w:rPr>
      <w:rFonts w:ascii="黑体" w:eastAsia="黑体"/>
      <w:sz w:val="24"/>
    </w:rPr>
  </w:style>
  <w:style w:type="paragraph" w:customStyle="1" w:styleId="740">
    <w:name w:val="3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41">
    <w:name w:val="xl17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742">
    <w:name w:val="图文框"/>
    <w:basedOn w:val="1"/>
    <w:autoRedefine/>
    <w:qFormat/>
    <w:uiPriority w:val="99"/>
    <w:pPr>
      <w:widowControl/>
      <w:spacing w:line="240" w:lineRule="exact"/>
      <w:jc w:val="center"/>
    </w:pPr>
    <w:rPr>
      <w:rFonts w:ascii="仿宋_GB2312" w:hAnsi="宋体" w:eastAsia="仿宋_GB2312"/>
      <w:spacing w:val="-14"/>
      <w:kern w:val="0"/>
      <w:sz w:val="18"/>
      <w:szCs w:val="20"/>
    </w:rPr>
  </w:style>
  <w:style w:type="paragraph" w:customStyle="1" w:styleId="743">
    <w:name w:val="术语标题"/>
    <w:basedOn w:val="1"/>
    <w:next w:val="1"/>
    <w:autoRedefine/>
    <w:qFormat/>
    <w:uiPriority w:val="99"/>
    <w:pPr>
      <w:ind w:firstLine="425"/>
    </w:pPr>
    <w:rPr>
      <w:rFonts w:ascii="黑体" w:eastAsia="黑体"/>
      <w:szCs w:val="20"/>
    </w:rPr>
  </w:style>
  <w:style w:type="paragraph" w:customStyle="1" w:styleId="744">
    <w:name w:val="样式 样式 正文 首行缩进:  2 字符 + (中文) 楷体_GB2312 + 宋体 首行缩进:  2 字符 段前: 7.8..."/>
    <w:basedOn w:val="409"/>
    <w:autoRedefine/>
    <w:qFormat/>
    <w:uiPriority w:val="99"/>
    <w:rPr>
      <w:rFonts w:eastAsia="宋体"/>
    </w:rPr>
  </w:style>
  <w:style w:type="paragraph" w:customStyle="1" w:styleId="745">
    <w:name w:val="xl92"/>
    <w:basedOn w:val="1"/>
    <w:autoRedefine/>
    <w:qFormat/>
    <w:uiPriority w:val="99"/>
    <w:pPr>
      <w:widowControl/>
      <w:pBdr>
        <w:top w:val="single" w:color="auto" w:sz="12" w:space="0"/>
        <w:left w:val="single" w:color="auto" w:sz="12" w:space="0"/>
        <w:right w:val="single" w:color="auto" w:sz="4"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746">
    <w:name w:val="样式6"/>
    <w:basedOn w:val="1"/>
    <w:next w:val="1"/>
    <w:autoRedefine/>
    <w:qFormat/>
    <w:uiPriority w:val="99"/>
    <w:pPr>
      <w:adjustRightInd w:val="0"/>
      <w:jc w:val="center"/>
      <w:textAlignment w:val="center"/>
    </w:pPr>
  </w:style>
  <w:style w:type="paragraph" w:customStyle="1" w:styleId="747">
    <w:name w:val="xl31"/>
    <w:basedOn w:val="1"/>
    <w:autoRedefine/>
    <w:qFormat/>
    <w:uiPriority w:val="99"/>
    <w:pPr>
      <w:widowControl/>
      <w:spacing w:before="100" w:beforeAutospacing="1" w:after="100" w:afterAutospacing="1"/>
      <w:jc w:val="center"/>
      <w:textAlignment w:val="bottom"/>
    </w:pPr>
    <w:rPr>
      <w:rFonts w:ascii="Arial" w:hAnsi="Arial" w:cs="Arial"/>
      <w:b/>
      <w:bCs/>
      <w:kern w:val="0"/>
      <w:sz w:val="28"/>
      <w:szCs w:val="28"/>
    </w:rPr>
  </w:style>
  <w:style w:type="paragraph" w:customStyle="1" w:styleId="748">
    <w:name w:val="5"/>
    <w:autoRedefine/>
    <w:qFormat/>
    <w:uiPriority w:val="99"/>
    <w:rPr>
      <w:rFonts w:ascii="Calibri" w:hAnsi="Calibri" w:eastAsia="宋体" w:cs="Times New Roman"/>
      <w:kern w:val="2"/>
      <w:sz w:val="21"/>
      <w:szCs w:val="22"/>
      <w:lang w:val="en-US" w:eastAsia="zh-CN" w:bidi="ar-SA"/>
    </w:rPr>
  </w:style>
  <w:style w:type="paragraph" w:customStyle="1" w:styleId="749">
    <w:name w:val="缩进"/>
    <w:basedOn w:val="1"/>
    <w:autoRedefine/>
    <w:qFormat/>
    <w:uiPriority w:val="99"/>
    <w:pPr>
      <w:autoSpaceDE w:val="0"/>
      <w:autoSpaceDN w:val="0"/>
      <w:adjustRightInd w:val="0"/>
      <w:spacing w:line="400" w:lineRule="atLeast"/>
      <w:ind w:firstLine="200" w:firstLineChars="200"/>
      <w:textAlignment w:val="baseline"/>
    </w:pPr>
    <w:rPr>
      <w:kern w:val="0"/>
      <w:sz w:val="24"/>
      <w:szCs w:val="20"/>
    </w:rPr>
  </w:style>
  <w:style w:type="paragraph" w:customStyle="1" w:styleId="750">
    <w:name w:val="font11"/>
    <w:basedOn w:val="1"/>
    <w:autoRedefine/>
    <w:qFormat/>
    <w:uiPriority w:val="99"/>
    <w:pPr>
      <w:widowControl/>
      <w:spacing w:before="100" w:beforeAutospacing="1" w:after="100" w:afterAutospacing="1"/>
      <w:jc w:val="left"/>
    </w:pPr>
    <w:rPr>
      <w:rFonts w:ascii="Arial" w:hAnsi="Arial" w:cs="Arial"/>
      <w:b/>
      <w:bCs/>
      <w:kern w:val="0"/>
      <w:sz w:val="22"/>
      <w:szCs w:val="22"/>
    </w:rPr>
  </w:style>
  <w:style w:type="paragraph" w:customStyle="1" w:styleId="751">
    <w:name w:val="xl126"/>
    <w:basedOn w:val="1"/>
    <w:autoRedefine/>
    <w:qFormat/>
    <w:uiPriority w:val="99"/>
    <w:pPr>
      <w:widowControl/>
      <w:pBdr>
        <w:left w:val="single" w:color="auto" w:sz="4" w:space="0"/>
        <w:bottom w:val="single" w:color="auto" w:sz="8" w:space="0"/>
      </w:pBdr>
      <w:spacing w:before="100" w:beforeAutospacing="1" w:after="100" w:afterAutospacing="1"/>
      <w:jc w:val="left"/>
    </w:pPr>
    <w:rPr>
      <w:rFonts w:ascii="Arial Unicode MS" w:hAnsi="Arial Unicode MS"/>
      <w:kern w:val="0"/>
      <w:sz w:val="16"/>
      <w:szCs w:val="16"/>
    </w:rPr>
  </w:style>
  <w:style w:type="paragraph" w:customStyle="1" w:styleId="752">
    <w:name w:val="xl36"/>
    <w:basedOn w:val="1"/>
    <w:autoRedefine/>
    <w:qFormat/>
    <w:uiPriority w:val="99"/>
    <w:pPr>
      <w:widowControl/>
      <w:spacing w:before="100" w:beforeAutospacing="1" w:after="100" w:afterAutospacing="1"/>
      <w:jc w:val="left"/>
      <w:textAlignment w:val="bottom"/>
    </w:pPr>
    <w:rPr>
      <w:rFonts w:ascii="Arial" w:hAnsi="Arial" w:cs="Arial"/>
      <w:b/>
      <w:bCs/>
      <w:kern w:val="0"/>
      <w:sz w:val="24"/>
    </w:rPr>
  </w:style>
  <w:style w:type="paragraph" w:customStyle="1" w:styleId="753">
    <w:name w:val="五号字表格"/>
    <w:basedOn w:val="754"/>
    <w:autoRedefine/>
    <w:qFormat/>
    <w:uiPriority w:val="99"/>
    <w:pPr>
      <w:adjustRightInd w:val="0"/>
      <w:textAlignment w:val="baseline"/>
    </w:pPr>
    <w:rPr>
      <w:rFonts w:ascii="宋体"/>
      <w:kern w:val="0"/>
      <w:szCs w:val="20"/>
    </w:rPr>
  </w:style>
  <w:style w:type="paragraph" w:customStyle="1" w:styleId="754">
    <w:name w:val="表格1"/>
    <w:basedOn w:val="1"/>
    <w:autoRedefine/>
    <w:qFormat/>
    <w:uiPriority w:val="99"/>
    <w:pPr>
      <w:jc w:val="center"/>
    </w:pPr>
    <w:rPr>
      <w:szCs w:val="21"/>
    </w:rPr>
  </w:style>
  <w:style w:type="paragraph" w:customStyle="1" w:styleId="755">
    <w:name w:val="Char Char Char Char Char Char Char2"/>
    <w:basedOn w:val="1"/>
    <w:autoRedefine/>
    <w:qFormat/>
    <w:uiPriority w:val="99"/>
    <w:pPr>
      <w:widowControl/>
      <w:spacing w:after="160" w:line="240" w:lineRule="exact"/>
      <w:contextualSpacing/>
      <w:jc w:val="left"/>
    </w:pPr>
    <w:rPr>
      <w:rFonts w:ascii="Arial" w:hAnsi="Arial" w:cs="Verdana"/>
      <w:b/>
      <w:kern w:val="0"/>
      <w:lang w:eastAsia="en-US"/>
    </w:rPr>
  </w:style>
  <w:style w:type="paragraph" w:customStyle="1" w:styleId="756">
    <w:name w:val="1条目"/>
    <w:basedOn w:val="757"/>
    <w:autoRedefine/>
    <w:qFormat/>
    <w:uiPriority w:val="99"/>
    <w:pPr>
      <w:tabs>
        <w:tab w:val="left" w:pos="280"/>
        <w:tab w:val="left" w:pos="1400"/>
      </w:tabs>
      <w:ind w:left="851"/>
    </w:pPr>
    <w:rPr>
      <w:rFonts w:ascii="宋体" w:hAnsi="宋体"/>
      <w:b/>
      <w:sz w:val="30"/>
      <w:szCs w:val="30"/>
    </w:rPr>
  </w:style>
  <w:style w:type="paragraph" w:customStyle="1" w:styleId="757">
    <w:name w:val="标题 2 + 黑体"/>
    <w:basedOn w:val="4"/>
    <w:autoRedefine/>
    <w:qFormat/>
    <w:uiPriority w:val="99"/>
    <w:pPr>
      <w:keepNext w:val="0"/>
      <w:keepLines w:val="0"/>
      <w:tabs>
        <w:tab w:val="left" w:pos="280"/>
        <w:tab w:val="left" w:pos="1400"/>
      </w:tabs>
      <w:adjustRightInd w:val="0"/>
      <w:snapToGrid w:val="0"/>
      <w:spacing w:before="50" w:after="240" w:line="480" w:lineRule="exact"/>
      <w:ind w:left="1233" w:right="100" w:rightChars="100" w:firstLine="567"/>
      <w:jc w:val="left"/>
    </w:pPr>
    <w:rPr>
      <w:rFonts w:ascii="黑体" w:hAnsi="黑体"/>
      <w:b w:val="0"/>
      <w:bCs w:val="0"/>
      <w:sz w:val="28"/>
      <w:szCs w:val="28"/>
    </w:rPr>
  </w:style>
  <w:style w:type="paragraph" w:customStyle="1" w:styleId="758">
    <w:name w:val="表格标题2"/>
    <w:basedOn w:val="159"/>
    <w:autoRedefine/>
    <w:qFormat/>
    <w:uiPriority w:val="99"/>
    <w:pPr>
      <w:adjustRightInd/>
      <w:snapToGrid/>
      <w:spacing w:line="360" w:lineRule="auto"/>
      <w:jc w:val="left"/>
      <w:textAlignment w:val="auto"/>
    </w:pPr>
    <w:rPr>
      <w:rFonts w:eastAsia="宋体"/>
      <w:b/>
      <w:color w:val="000000"/>
      <w:sz w:val="24"/>
      <w:szCs w:val="21"/>
    </w:rPr>
  </w:style>
  <w:style w:type="paragraph" w:customStyle="1" w:styleId="759">
    <w:name w:val="h"/>
    <w:basedOn w:val="1"/>
    <w:autoRedefine/>
    <w:qFormat/>
    <w:uiPriority w:val="99"/>
    <w:pPr>
      <w:spacing w:before="60"/>
      <w:ind w:firstLine="482"/>
    </w:pPr>
    <w:rPr>
      <w:rFonts w:ascii="Arial" w:hAnsi="Arial" w:eastAsia="仿宋_GB2312"/>
      <w:kern w:val="0"/>
      <w:sz w:val="24"/>
      <w:szCs w:val="20"/>
    </w:rPr>
  </w:style>
  <w:style w:type="paragraph" w:customStyle="1" w:styleId="760">
    <w:name w:val="正文缩进3"/>
    <w:basedOn w:val="1"/>
    <w:autoRedefine/>
    <w:qFormat/>
    <w:uiPriority w:val="99"/>
    <w:pPr>
      <w:adjustRightInd w:val="0"/>
      <w:ind w:firstLine="420" w:firstLineChars="200"/>
      <w:textAlignment w:val="baseline"/>
    </w:pPr>
    <w:rPr>
      <w:rFonts w:hAnsi="宋体"/>
      <w:sz w:val="24"/>
      <w:szCs w:val="20"/>
    </w:rPr>
  </w:style>
  <w:style w:type="paragraph" w:customStyle="1" w:styleId="761">
    <w:name w:val="表格03"/>
    <w:basedOn w:val="1"/>
    <w:autoRedefine/>
    <w:qFormat/>
    <w:uiPriority w:val="99"/>
    <w:pPr>
      <w:spacing w:line="400" w:lineRule="exact"/>
      <w:jc w:val="center"/>
    </w:pPr>
    <w:rPr>
      <w:color w:val="000000"/>
      <w:sz w:val="24"/>
      <w:szCs w:val="21"/>
    </w:rPr>
  </w:style>
  <w:style w:type="paragraph" w:customStyle="1" w:styleId="762">
    <w:name w:val="xl33"/>
    <w:basedOn w:val="1"/>
    <w:autoRedefine/>
    <w:qFormat/>
    <w:uiPriority w:val="99"/>
    <w:pPr>
      <w:widowControl/>
      <w:spacing w:before="100" w:beforeAutospacing="1" w:after="100" w:afterAutospacing="1"/>
      <w:jc w:val="left"/>
    </w:pPr>
    <w:rPr>
      <w:rFonts w:ascii="Arial" w:hAnsi="Arial" w:cs="Arial"/>
      <w:kern w:val="0"/>
      <w:sz w:val="22"/>
      <w:szCs w:val="22"/>
    </w:rPr>
  </w:style>
  <w:style w:type="paragraph" w:customStyle="1" w:styleId="763">
    <w:name w:val="高表标"/>
    <w:basedOn w:val="1"/>
    <w:autoRedefine/>
    <w:qFormat/>
    <w:uiPriority w:val="99"/>
    <w:pPr>
      <w:snapToGrid w:val="0"/>
      <w:spacing w:line="300" w:lineRule="auto"/>
      <w:jc w:val="right"/>
    </w:pPr>
    <w:rPr>
      <w:rFonts w:ascii="Arial" w:hAnsi="Arial" w:eastAsia="黑体"/>
      <w:bCs/>
      <w:sz w:val="24"/>
    </w:rPr>
  </w:style>
  <w:style w:type="paragraph" w:customStyle="1" w:styleId="764">
    <w:name w:val="地理段落"/>
    <w:basedOn w:val="1"/>
    <w:autoRedefine/>
    <w:qFormat/>
    <w:uiPriority w:val="99"/>
    <w:pPr>
      <w:adjustRightInd w:val="0"/>
      <w:snapToGrid w:val="0"/>
      <w:spacing w:line="360" w:lineRule="auto"/>
      <w:ind w:firstLine="200" w:firstLineChars="200"/>
    </w:pPr>
    <w:rPr>
      <w:rFonts w:ascii="仿宋_GB2312" w:eastAsia="仿宋_GB2312"/>
      <w:sz w:val="28"/>
      <w:szCs w:val="28"/>
    </w:rPr>
  </w:style>
  <w:style w:type="paragraph" w:customStyle="1" w:styleId="765">
    <w:name w:val="正文标题"/>
    <w:basedOn w:val="1"/>
    <w:autoRedefine/>
    <w:qFormat/>
    <w:uiPriority w:val="99"/>
    <w:pPr>
      <w:spacing w:line="480" w:lineRule="auto"/>
      <w:ind w:firstLine="472" w:firstLineChars="196"/>
    </w:pPr>
    <w:rPr>
      <w:b/>
      <w:sz w:val="24"/>
    </w:rPr>
  </w:style>
  <w:style w:type="paragraph" w:customStyle="1" w:styleId="766">
    <w:name w:val="文本框"/>
    <w:basedOn w:val="1"/>
    <w:autoRedefine/>
    <w:qFormat/>
    <w:uiPriority w:val="99"/>
    <w:pPr>
      <w:adjustRightInd w:val="0"/>
      <w:snapToGrid w:val="0"/>
      <w:spacing w:line="300" w:lineRule="exact"/>
      <w:jc w:val="center"/>
    </w:pPr>
    <w:rPr>
      <w:sz w:val="24"/>
    </w:rPr>
  </w:style>
  <w:style w:type="paragraph" w:customStyle="1" w:styleId="767">
    <w:name w:val="样式 标题 2 + 行距: 1.5 倍行距"/>
    <w:basedOn w:val="4"/>
    <w:autoRedefine/>
    <w:qFormat/>
    <w:uiPriority w:val="99"/>
    <w:pPr>
      <w:snapToGrid w:val="0"/>
      <w:spacing w:before="240" w:after="240" w:line="240" w:lineRule="auto"/>
      <w:ind w:left="1134" w:hanging="992"/>
      <w:jc w:val="left"/>
    </w:pPr>
    <w:rPr>
      <w:rFonts w:ascii="Times New Roman" w:hAnsi="Times New Roman" w:cs="宋体"/>
      <w:sz w:val="28"/>
      <w:szCs w:val="20"/>
    </w:rPr>
  </w:style>
  <w:style w:type="paragraph" w:customStyle="1" w:styleId="768">
    <w:name w:val="xl168"/>
    <w:basedOn w:val="1"/>
    <w:autoRedefine/>
    <w:qFormat/>
    <w:uiPriority w:val="99"/>
    <w:pPr>
      <w:widowControl/>
      <w:pBdr>
        <w:bottom w:val="single" w:color="auto" w:sz="12" w:space="0"/>
        <w:right w:val="single" w:color="auto" w:sz="4" w:space="0"/>
      </w:pBdr>
      <w:spacing w:before="100" w:beforeAutospacing="1" w:after="100" w:afterAutospacing="1"/>
      <w:jc w:val="center"/>
      <w:textAlignment w:val="center"/>
    </w:pPr>
    <w:rPr>
      <w:rFonts w:ascii="Arial Unicode MS" w:hAnsi="Arial Unicode MS"/>
      <w:kern w:val="0"/>
    </w:rPr>
  </w:style>
  <w:style w:type="paragraph" w:customStyle="1" w:styleId="769">
    <w:name w:val="样式 样式 正文文本缩进 + 行距: 固定值 24 磅1 + 首行缩进:  2 字符"/>
    <w:basedOn w:val="1"/>
    <w:autoRedefine/>
    <w:qFormat/>
    <w:uiPriority w:val="99"/>
    <w:pPr>
      <w:spacing w:line="480" w:lineRule="exact"/>
      <w:ind w:firstLine="480" w:firstLineChars="200"/>
    </w:pPr>
    <w:rPr>
      <w:rFonts w:ascii="宋体" w:hAnsi="宋体" w:cs="宋体"/>
      <w:sz w:val="24"/>
      <w:szCs w:val="20"/>
    </w:rPr>
  </w:style>
  <w:style w:type="paragraph" w:customStyle="1" w:styleId="770">
    <w:name w:val="xl108"/>
    <w:basedOn w:val="1"/>
    <w:autoRedefine/>
    <w:qFormat/>
    <w:uiPriority w:val="99"/>
    <w:pPr>
      <w:widowControl/>
      <w:pBdr>
        <w:bottom w:val="single" w:color="auto" w:sz="8"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771">
    <w:name w:val="xl162"/>
    <w:basedOn w:val="1"/>
    <w:autoRedefine/>
    <w:qFormat/>
    <w:uiPriority w:val="99"/>
    <w:pPr>
      <w:widowControl/>
      <w:pBdr>
        <w:bottom w:val="single" w:color="auto" w:sz="12" w:space="0"/>
        <w:right w:val="single" w:color="auto" w:sz="12" w:space="0"/>
      </w:pBdr>
      <w:spacing w:before="100" w:beforeAutospacing="1" w:after="100" w:afterAutospacing="1"/>
      <w:jc w:val="center"/>
      <w:textAlignment w:val="center"/>
    </w:pPr>
    <w:rPr>
      <w:rFonts w:ascii="Arial Unicode MS" w:hAnsi="Arial Unicode MS"/>
      <w:kern w:val="0"/>
    </w:rPr>
  </w:style>
  <w:style w:type="paragraph" w:customStyle="1" w:styleId="772">
    <w:name w:val="注："/>
    <w:next w:val="1"/>
    <w:autoRedefine/>
    <w:qFormat/>
    <w:uiPriority w:val="99"/>
    <w:pPr>
      <w:spacing w:line="300" w:lineRule="exact"/>
    </w:pPr>
    <w:rPr>
      <w:rFonts w:ascii="Times New Roman" w:hAnsi="Times New Roman" w:eastAsia="宋体" w:cs="宋体"/>
      <w:bCs/>
      <w:kern w:val="2"/>
      <w:sz w:val="18"/>
      <w:lang w:val="en-US" w:eastAsia="zh-CN" w:bidi="ar-SA"/>
    </w:rPr>
  </w:style>
  <w:style w:type="paragraph" w:customStyle="1" w:styleId="773">
    <w:name w:val="扉页 黑体"/>
    <w:basedOn w:val="1"/>
    <w:autoRedefine/>
    <w:qFormat/>
    <w:uiPriority w:val="99"/>
    <w:pPr>
      <w:spacing w:before="240" w:after="240" w:line="480" w:lineRule="exact"/>
      <w:ind w:firstLine="640" w:firstLineChars="200"/>
      <w:jc w:val="left"/>
    </w:pPr>
    <w:rPr>
      <w:rFonts w:eastAsia="黑体"/>
      <w:bCs/>
      <w:sz w:val="32"/>
      <w:szCs w:val="20"/>
    </w:rPr>
  </w:style>
  <w:style w:type="paragraph" w:customStyle="1" w:styleId="774">
    <w:name w:val="标准"/>
    <w:basedOn w:val="1"/>
    <w:autoRedefine/>
    <w:qFormat/>
    <w:uiPriority w:val="99"/>
    <w:pPr>
      <w:adjustRightInd w:val="0"/>
      <w:spacing w:line="312" w:lineRule="atLeast"/>
      <w:jc w:val="center"/>
      <w:textAlignment w:val="baseline"/>
    </w:pPr>
    <w:rPr>
      <w:kern w:val="0"/>
      <w:szCs w:val="20"/>
    </w:rPr>
  </w:style>
  <w:style w:type="paragraph" w:customStyle="1" w:styleId="775">
    <w:name w:val="xl88"/>
    <w:basedOn w:val="1"/>
    <w:autoRedefine/>
    <w:qFormat/>
    <w:uiPriority w:val="99"/>
    <w:pPr>
      <w:widowControl/>
      <w:pBdr>
        <w:bottom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776">
    <w:name w:val="TOC 标题2"/>
    <w:basedOn w:val="3"/>
    <w:next w:val="1"/>
    <w:autoRedefine/>
    <w:qFormat/>
    <w:uiPriority w:val="99"/>
    <w:pPr>
      <w:keepLines/>
      <w:widowControl/>
      <w:overflowPunct/>
      <w:snapToGrid/>
      <w:spacing w:before="240" w:after="0"/>
      <w:ind w:left="0" w:firstLine="0"/>
      <w:jc w:val="left"/>
      <w:outlineLvl w:val="9"/>
    </w:pPr>
    <w:rPr>
      <w:rFonts w:ascii="Cambria" w:hAnsi="Cambria" w:eastAsia="宋体"/>
      <w:b w:val="0"/>
      <w:bCs w:val="0"/>
      <w:color w:val="365F91"/>
      <w:kern w:val="0"/>
      <w:sz w:val="32"/>
      <w:szCs w:val="32"/>
    </w:rPr>
  </w:style>
  <w:style w:type="paragraph" w:customStyle="1" w:styleId="777">
    <w:name w:val="样式 样式 样式 标题 3 + 两端对齐 + 段后: 0.1 行 +"/>
    <w:basedOn w:val="1"/>
    <w:autoRedefine/>
    <w:semiHidden/>
    <w:qFormat/>
    <w:uiPriority w:val="99"/>
    <w:pPr>
      <w:keepNext/>
      <w:keepLines/>
      <w:widowControl/>
      <w:tabs>
        <w:tab w:val="left" w:pos="0"/>
        <w:tab w:val="left" w:pos="2700"/>
      </w:tabs>
      <w:spacing w:line="320" w:lineRule="exact"/>
      <w:contextualSpacing/>
      <w:jc w:val="center"/>
    </w:pPr>
    <w:rPr>
      <w:rFonts w:cs="宋体"/>
      <w:bCs/>
      <w:kern w:val="0"/>
      <w:szCs w:val="21"/>
    </w:rPr>
  </w:style>
  <w:style w:type="paragraph" w:customStyle="1" w:styleId="778">
    <w:name w:val="Char Char Char Char"/>
    <w:basedOn w:val="1"/>
    <w:autoRedefine/>
    <w:qFormat/>
    <w:uiPriority w:val="99"/>
    <w:pPr>
      <w:widowControl/>
      <w:spacing w:after="160" w:line="240" w:lineRule="exact"/>
      <w:jc w:val="left"/>
    </w:pPr>
    <w:rPr>
      <w:rFonts w:ascii="Arial" w:hAnsi="Arial" w:cs="Verdana"/>
      <w:b/>
      <w:kern w:val="0"/>
      <w:sz w:val="24"/>
      <w:lang w:eastAsia="en-US"/>
    </w:rPr>
  </w:style>
  <w:style w:type="paragraph" w:customStyle="1" w:styleId="779">
    <w:name w:val="xl181"/>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780">
    <w:name w:val="pian"/>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781">
    <w:name w:val="字元 字元"/>
    <w:basedOn w:val="1"/>
    <w:autoRedefine/>
    <w:qFormat/>
    <w:uiPriority w:val="99"/>
  </w:style>
  <w:style w:type="paragraph" w:customStyle="1" w:styleId="782">
    <w:name w:val="样式 标题 1章标题 11标题 1H1一、 + 行距: 1.5 倍行距4"/>
    <w:basedOn w:val="3"/>
    <w:autoRedefine/>
    <w:semiHidden/>
    <w:qFormat/>
    <w:uiPriority w:val="99"/>
    <w:pPr>
      <w:keepLines/>
      <w:overflowPunct/>
      <w:spacing w:before="340" w:after="330" w:line="360" w:lineRule="auto"/>
      <w:ind w:left="3845" w:hanging="3845"/>
      <w:jc w:val="center"/>
    </w:pPr>
    <w:rPr>
      <w:rFonts w:cs="宋体"/>
      <w:color w:val="auto"/>
      <w:sz w:val="44"/>
      <w:szCs w:val="20"/>
    </w:rPr>
  </w:style>
  <w:style w:type="paragraph" w:customStyle="1" w:styleId="783">
    <w:name w:val="1正文段落"/>
    <w:basedOn w:val="1"/>
    <w:autoRedefine/>
    <w:qFormat/>
    <w:uiPriority w:val="99"/>
    <w:pPr>
      <w:spacing w:line="360" w:lineRule="auto"/>
      <w:ind w:firstLine="480" w:firstLineChars="200"/>
      <w:jc w:val="left"/>
    </w:pPr>
    <w:rPr>
      <w:kern w:val="0"/>
      <w:sz w:val="24"/>
    </w:rPr>
  </w:style>
  <w:style w:type="paragraph" w:customStyle="1" w:styleId="784">
    <w:name w:val="环表"/>
    <w:basedOn w:val="552"/>
    <w:autoRedefine/>
    <w:qFormat/>
    <w:uiPriority w:val="99"/>
    <w:pPr>
      <w:tabs>
        <w:tab w:val="left" w:pos="1464"/>
        <w:tab w:val="left" w:pos="5094"/>
      </w:tabs>
      <w:suppressAutoHyphens w:val="0"/>
      <w:spacing w:before="120" w:after="120" w:line="324" w:lineRule="auto"/>
      <w:ind w:left="7" w:right="29" w:firstLine="539"/>
      <w:jc w:val="center"/>
    </w:pPr>
    <w:rPr>
      <w:rFonts w:hAnsi="Courier New"/>
      <w:sz w:val="21"/>
    </w:rPr>
  </w:style>
  <w:style w:type="paragraph" w:customStyle="1" w:styleId="785">
    <w:name w:val="Char Char Char Char3"/>
    <w:basedOn w:val="1"/>
    <w:autoRedefine/>
    <w:qFormat/>
    <w:uiPriority w:val="99"/>
    <w:pPr>
      <w:widowControl/>
      <w:spacing w:after="160" w:line="240" w:lineRule="exact"/>
      <w:jc w:val="left"/>
    </w:pPr>
    <w:rPr>
      <w:rFonts w:ascii="Arial" w:hAnsi="Arial" w:cs="Verdana"/>
      <w:b/>
      <w:kern w:val="0"/>
      <w:sz w:val="24"/>
      <w:lang w:eastAsia="en-US"/>
    </w:rPr>
  </w:style>
  <w:style w:type="paragraph" w:customStyle="1" w:styleId="786">
    <w:name w:val="样式 标题 2东明_节 + 行距: 1.5 倍行距"/>
    <w:basedOn w:val="4"/>
    <w:autoRedefine/>
    <w:qFormat/>
    <w:uiPriority w:val="99"/>
    <w:pPr>
      <w:keepLines w:val="0"/>
      <w:widowControl/>
      <w:spacing w:before="240" w:after="60" w:line="360" w:lineRule="auto"/>
      <w:jc w:val="left"/>
    </w:pPr>
    <w:rPr>
      <w:rFonts w:ascii="Cambria" w:hAnsi="Cambria" w:eastAsia="宋体" w:cs="宋体"/>
      <w:kern w:val="0"/>
      <w:sz w:val="30"/>
      <w:szCs w:val="20"/>
      <w:lang w:eastAsia="en-US"/>
    </w:rPr>
  </w:style>
  <w:style w:type="paragraph" w:customStyle="1" w:styleId="787">
    <w:name w:val="xl53"/>
    <w:basedOn w:val="1"/>
    <w:autoRedefine/>
    <w:qFormat/>
    <w:uiPriority w:val="99"/>
    <w:pPr>
      <w:widowControl/>
      <w:spacing w:before="100" w:beforeAutospacing="1" w:after="100" w:afterAutospacing="1"/>
      <w:jc w:val="center"/>
    </w:pPr>
    <w:rPr>
      <w:rFonts w:ascii="Arial" w:hAnsi="Arial" w:cs="Arial"/>
      <w:b/>
      <w:bCs/>
      <w:kern w:val="0"/>
      <w:sz w:val="22"/>
      <w:szCs w:val="22"/>
    </w:rPr>
  </w:style>
  <w:style w:type="paragraph" w:customStyle="1" w:styleId="788">
    <w:name w:val="xl146"/>
    <w:basedOn w:val="1"/>
    <w:autoRedefine/>
    <w:qFormat/>
    <w:uiPriority w:val="99"/>
    <w:pPr>
      <w:widowControl/>
      <w:spacing w:before="100" w:beforeAutospacing="1" w:after="100" w:afterAutospacing="1"/>
      <w:jc w:val="left"/>
    </w:pPr>
    <w:rPr>
      <w:rFonts w:ascii="Arial Unicode MS" w:hAnsi="Arial Unicode MS"/>
      <w:kern w:val="0"/>
      <w:sz w:val="16"/>
      <w:szCs w:val="16"/>
    </w:rPr>
  </w:style>
  <w:style w:type="paragraph" w:customStyle="1" w:styleId="789">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790">
    <w:name w:val="xl22"/>
    <w:basedOn w:val="1"/>
    <w:autoRedefine/>
    <w:qFormat/>
    <w:uiPriority w:val="99"/>
    <w:pPr>
      <w:widowControl/>
      <w:pBdr>
        <w:bottom w:val="single" w:color="auto" w:sz="4" w:space="0"/>
        <w:right w:val="single" w:color="auto" w:sz="4" w:space="0"/>
      </w:pBdr>
      <w:spacing w:before="100" w:after="100"/>
      <w:jc w:val="center"/>
    </w:pPr>
    <w:rPr>
      <w:rFonts w:ascii="宋体" w:hAnsi="宋体"/>
      <w:kern w:val="0"/>
      <w:szCs w:val="20"/>
    </w:rPr>
  </w:style>
  <w:style w:type="paragraph" w:customStyle="1" w:styleId="791">
    <w:name w:val="扉页 黑体缩进"/>
    <w:basedOn w:val="1"/>
    <w:autoRedefine/>
    <w:qFormat/>
    <w:uiPriority w:val="99"/>
    <w:pPr>
      <w:spacing w:before="240" w:after="240" w:line="480" w:lineRule="exact"/>
      <w:ind w:firstLine="2240" w:firstLineChars="700"/>
      <w:jc w:val="left"/>
    </w:pPr>
    <w:rPr>
      <w:rFonts w:eastAsia="黑体"/>
      <w:sz w:val="32"/>
      <w:szCs w:val="20"/>
    </w:rPr>
  </w:style>
  <w:style w:type="paragraph" w:customStyle="1" w:styleId="792">
    <w:name w:val="xl15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793">
    <w:name w:val="表目"/>
    <w:basedOn w:val="1"/>
    <w:autoRedefine/>
    <w:qFormat/>
    <w:uiPriority w:val="99"/>
    <w:pPr>
      <w:adjustRightInd w:val="0"/>
      <w:spacing w:line="480" w:lineRule="atLeast"/>
      <w:ind w:left="-105" w:leftChars="-50" w:right="-105" w:rightChars="-50"/>
      <w:jc w:val="center"/>
      <w:textAlignment w:val="baseline"/>
    </w:pPr>
    <w:rPr>
      <w:rFonts w:ascii="Arial" w:hAnsi="Arial" w:eastAsia="仿宋_GB2312" w:cs="Arial"/>
      <w:kern w:val="0"/>
      <w:sz w:val="24"/>
      <w:szCs w:val="20"/>
    </w:rPr>
  </w:style>
  <w:style w:type="paragraph" w:customStyle="1" w:styleId="794">
    <w:name w:val="样式"/>
    <w:basedOn w:val="1"/>
    <w:next w:val="369"/>
    <w:autoRedefine/>
    <w:qFormat/>
    <w:uiPriority w:val="99"/>
    <w:pPr>
      <w:tabs>
        <w:tab w:val="left" w:pos="280"/>
        <w:tab w:val="left" w:pos="620"/>
      </w:tabs>
      <w:adjustRightInd w:val="0"/>
      <w:snapToGrid w:val="0"/>
      <w:spacing w:before="240" w:after="240" w:line="480" w:lineRule="exact"/>
      <w:ind w:left="2098" w:right="392" w:rightChars="140" w:firstLine="454" w:firstLineChars="200"/>
    </w:pPr>
    <w:rPr>
      <w:sz w:val="28"/>
    </w:rPr>
  </w:style>
  <w:style w:type="paragraph" w:customStyle="1" w:styleId="795">
    <w:name w:val="正文可研"/>
    <w:basedOn w:val="1"/>
    <w:autoRedefine/>
    <w:qFormat/>
    <w:uiPriority w:val="99"/>
    <w:pPr>
      <w:autoSpaceDE w:val="0"/>
      <w:autoSpaceDN w:val="0"/>
      <w:adjustRightInd w:val="0"/>
      <w:spacing w:line="360" w:lineRule="auto"/>
      <w:ind w:firstLine="480" w:firstLineChars="200"/>
      <w:textAlignment w:val="baseline"/>
    </w:pPr>
    <w:rPr>
      <w:rFonts w:ascii="宋体" w:hAnsi="Tms Rmn" w:cs="宋体"/>
      <w:kern w:val="0"/>
      <w:sz w:val="24"/>
      <w:szCs w:val="20"/>
    </w:rPr>
  </w:style>
  <w:style w:type="paragraph" w:customStyle="1" w:styleId="796">
    <w:name w:val="xl160"/>
    <w:basedOn w:val="1"/>
    <w:autoRedefine/>
    <w:qFormat/>
    <w:uiPriority w:val="99"/>
    <w:pPr>
      <w:widowControl/>
      <w:spacing w:before="100" w:beforeAutospacing="1" w:after="100" w:afterAutospacing="1"/>
      <w:jc w:val="center"/>
      <w:textAlignment w:val="center"/>
    </w:pPr>
    <w:rPr>
      <w:rFonts w:ascii="Arial Unicode MS" w:hAnsi="Arial Unicode MS"/>
      <w:kern w:val="0"/>
    </w:rPr>
  </w:style>
  <w:style w:type="paragraph" w:customStyle="1" w:styleId="797">
    <w:name w:val="word"/>
    <w:basedOn w:val="1"/>
    <w:autoRedefine/>
    <w:qFormat/>
    <w:uiPriority w:val="99"/>
    <w:pPr>
      <w:spacing w:line="360" w:lineRule="auto"/>
      <w:ind w:firstLine="480" w:firstLineChars="200"/>
    </w:pPr>
    <w:rPr>
      <w:sz w:val="24"/>
    </w:rPr>
  </w:style>
  <w:style w:type="paragraph" w:customStyle="1" w:styleId="798">
    <w:name w:val="二级无标题条"/>
    <w:basedOn w:val="1"/>
    <w:autoRedefine/>
    <w:qFormat/>
    <w:uiPriority w:val="99"/>
  </w:style>
  <w:style w:type="paragraph" w:customStyle="1" w:styleId="799">
    <w:name w:val="GY3"/>
    <w:basedOn w:val="1"/>
    <w:autoRedefine/>
    <w:qFormat/>
    <w:uiPriority w:val="99"/>
    <w:pPr>
      <w:adjustRightInd w:val="0"/>
      <w:snapToGrid w:val="0"/>
      <w:spacing w:line="360" w:lineRule="auto"/>
    </w:pPr>
    <w:rPr>
      <w:rFonts w:ascii="黑体" w:hAnsi="宋体" w:eastAsia="黑体"/>
      <w:sz w:val="28"/>
      <w:szCs w:val="20"/>
    </w:rPr>
  </w:style>
  <w:style w:type="paragraph" w:customStyle="1" w:styleId="800">
    <w:name w:val="Char Char Char Char1"/>
    <w:basedOn w:val="1"/>
    <w:autoRedefine/>
    <w:qFormat/>
    <w:uiPriority w:val="99"/>
  </w:style>
  <w:style w:type="paragraph" w:customStyle="1" w:styleId="801">
    <w:name w:val="xl54"/>
    <w:basedOn w:val="1"/>
    <w:autoRedefine/>
    <w:qFormat/>
    <w:uiPriority w:val="99"/>
    <w:pPr>
      <w:widowControl/>
      <w:pBdr>
        <w:right w:val="single" w:color="auto" w:sz="4" w:space="0"/>
      </w:pBdr>
      <w:spacing w:before="100" w:beforeAutospacing="1" w:after="100" w:afterAutospacing="1"/>
      <w:jc w:val="center"/>
    </w:pPr>
    <w:rPr>
      <w:rFonts w:ascii="Arial" w:hAnsi="Arial" w:cs="Arial"/>
      <w:b/>
      <w:bCs/>
      <w:kern w:val="0"/>
      <w:sz w:val="22"/>
      <w:szCs w:val="22"/>
    </w:rPr>
  </w:style>
  <w:style w:type="paragraph" w:customStyle="1" w:styleId="802">
    <w:name w:val="In Table"/>
    <w:basedOn w:val="1"/>
    <w:autoRedefine/>
    <w:qFormat/>
    <w:uiPriority w:val="99"/>
    <w:pPr>
      <w:keepNext/>
      <w:tabs>
        <w:tab w:val="left" w:pos="3960"/>
        <w:tab w:val="left" w:pos="5280"/>
      </w:tabs>
      <w:snapToGrid w:val="0"/>
      <w:spacing w:beforeLines="40" w:afterLines="40" w:line="240" w:lineRule="atLeast"/>
      <w:contextualSpacing/>
      <w:jc w:val="center"/>
    </w:pPr>
    <w:rPr>
      <w:rFonts w:ascii="Tahoma" w:hAnsi="Tahoma" w:eastAsia="华文中宋" w:cs="Arial"/>
      <w:szCs w:val="20"/>
    </w:rPr>
  </w:style>
  <w:style w:type="paragraph" w:customStyle="1" w:styleId="803">
    <w:name w:val="xl27"/>
    <w:basedOn w:val="1"/>
    <w:autoRedefine/>
    <w:qFormat/>
    <w:uiPriority w:val="99"/>
    <w:pPr>
      <w:widowControl/>
      <w:pBdr>
        <w:bottom w:val="single" w:color="auto" w:sz="12" w:space="0"/>
      </w:pBdr>
      <w:spacing w:before="100" w:after="100"/>
      <w:jc w:val="center"/>
    </w:pPr>
    <w:rPr>
      <w:rFonts w:ascii="宋体" w:hAnsi="宋体"/>
      <w:kern w:val="0"/>
      <w:szCs w:val="20"/>
    </w:rPr>
  </w:style>
  <w:style w:type="paragraph" w:customStyle="1" w:styleId="804">
    <w:name w:val="默认段落字体 Para Char Char Char Char Char Char Char Char Char Char"/>
    <w:basedOn w:val="5"/>
    <w:autoRedefine/>
    <w:qFormat/>
    <w:uiPriority w:val="99"/>
    <w:pPr>
      <w:tabs>
        <w:tab w:val="left" w:pos="360"/>
        <w:tab w:val="left" w:pos="900"/>
      </w:tabs>
      <w:snapToGrid w:val="0"/>
      <w:spacing w:before="120" w:after="120" w:line="360" w:lineRule="auto"/>
      <w:ind w:left="542" w:leftChars="-12" w:firstLine="200" w:firstLineChars="200"/>
      <w:jc w:val="left"/>
    </w:pPr>
    <w:rPr>
      <w:rFonts w:eastAsia="黑体"/>
      <w:b w:val="0"/>
      <w:bCs w:val="0"/>
      <w:sz w:val="24"/>
      <w:szCs w:val="24"/>
    </w:rPr>
  </w:style>
  <w:style w:type="paragraph" w:customStyle="1" w:styleId="805">
    <w:name w:val="xl186"/>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16"/>
      <w:szCs w:val="16"/>
    </w:rPr>
  </w:style>
  <w:style w:type="paragraph" w:customStyle="1" w:styleId="806">
    <w:name w:val="小四表文左齐"/>
    <w:basedOn w:val="1"/>
    <w:autoRedefine/>
    <w:qFormat/>
    <w:uiPriority w:val="99"/>
    <w:pPr>
      <w:jc w:val="center"/>
    </w:pPr>
    <w:rPr>
      <w:rFonts w:ascii="仿宋_GB2312" w:hAnsi="宋体" w:eastAsia="仿宋_GB2312"/>
    </w:rPr>
  </w:style>
  <w:style w:type="paragraph" w:customStyle="1" w:styleId="807">
    <w:name w:val="xl170"/>
    <w:basedOn w:val="1"/>
    <w:autoRedefine/>
    <w:qFormat/>
    <w:uiPriority w:val="99"/>
    <w:pPr>
      <w:widowControl/>
      <w:pBdr>
        <w:left w:val="single" w:color="auto" w:sz="4" w:space="0"/>
        <w:bottom w:val="single" w:color="auto" w:sz="12" w:space="0"/>
      </w:pBdr>
      <w:spacing w:before="100" w:beforeAutospacing="1" w:after="100" w:afterAutospacing="1"/>
      <w:jc w:val="center"/>
      <w:textAlignment w:val="center"/>
    </w:pPr>
    <w:rPr>
      <w:rFonts w:ascii="Arial Unicode MS" w:hAnsi="Arial Unicode MS"/>
      <w:kern w:val="0"/>
    </w:rPr>
  </w:style>
  <w:style w:type="paragraph" w:customStyle="1" w:styleId="808">
    <w:name w:val="xl80"/>
    <w:basedOn w:val="1"/>
    <w:autoRedefine/>
    <w:qFormat/>
    <w:uiPriority w:val="99"/>
    <w:pPr>
      <w:widowControl/>
      <w:pBdr>
        <w:left w:val="single" w:color="auto" w:sz="12" w:space="0"/>
        <w:bottom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809">
    <w:name w:val="Char"/>
    <w:basedOn w:val="1"/>
    <w:autoRedefine/>
    <w:qFormat/>
    <w:uiPriority w:val="99"/>
  </w:style>
  <w:style w:type="paragraph" w:customStyle="1" w:styleId="810">
    <w:name w:val="表居中（中文）"/>
    <w:basedOn w:val="1"/>
    <w:autoRedefine/>
    <w:qFormat/>
    <w:uiPriority w:val="99"/>
    <w:pPr>
      <w:adjustRightInd w:val="0"/>
      <w:spacing w:line="380" w:lineRule="atLeast"/>
      <w:jc w:val="center"/>
      <w:textAlignment w:val="baseline"/>
    </w:pPr>
    <w:rPr>
      <w:rFonts w:eastAsia="楷体_GB2312"/>
      <w:kern w:val="0"/>
      <w:sz w:val="24"/>
      <w:szCs w:val="20"/>
    </w:rPr>
  </w:style>
  <w:style w:type="paragraph" w:customStyle="1" w:styleId="811">
    <w:name w:val="我的样式（正文）"/>
    <w:basedOn w:val="1"/>
    <w:autoRedefine/>
    <w:qFormat/>
    <w:uiPriority w:val="99"/>
    <w:pPr>
      <w:spacing w:line="440" w:lineRule="exact"/>
    </w:pPr>
    <w:rPr>
      <w:rFonts w:ascii="宋体"/>
      <w:sz w:val="28"/>
      <w:szCs w:val="20"/>
    </w:rPr>
  </w:style>
  <w:style w:type="paragraph" w:customStyle="1" w:styleId="812">
    <w:name w:val="图标题"/>
    <w:basedOn w:val="422"/>
    <w:autoRedefine/>
    <w:qFormat/>
    <w:uiPriority w:val="99"/>
    <w:pPr>
      <w:adjustRightInd/>
      <w:snapToGrid/>
      <w:spacing w:before="0" w:after="0" w:line="300" w:lineRule="exact"/>
      <w:jc w:val="both"/>
    </w:pPr>
    <w:rPr>
      <w:rFonts w:ascii="仿宋_GB2312" w:eastAsia="仿宋_GB2312"/>
      <w:kern w:val="0"/>
      <w:szCs w:val="24"/>
    </w:rPr>
  </w:style>
  <w:style w:type="paragraph" w:customStyle="1" w:styleId="813">
    <w:name w:val="xl48"/>
    <w:basedOn w:val="1"/>
    <w:autoRedefine/>
    <w:qFormat/>
    <w:uiPriority w:val="99"/>
    <w:pPr>
      <w:widowControl/>
      <w:spacing w:before="100" w:beforeAutospacing="1" w:after="100" w:afterAutospacing="1"/>
      <w:jc w:val="center"/>
    </w:pPr>
    <w:rPr>
      <w:rFonts w:ascii="Arial" w:hAnsi="Arial" w:cs="Arial"/>
      <w:b/>
      <w:bCs/>
      <w:kern w:val="0"/>
      <w:sz w:val="22"/>
      <w:szCs w:val="22"/>
    </w:rPr>
  </w:style>
  <w:style w:type="paragraph" w:customStyle="1" w:styleId="814">
    <w:name w:val="7表格(治)"/>
    <w:autoRedefine/>
    <w:qFormat/>
    <w:uiPriority w:val="99"/>
    <w:pPr>
      <w:jc w:val="center"/>
    </w:pPr>
    <w:rPr>
      <w:rFonts w:ascii="Calibri" w:hAnsi="Calibri" w:eastAsia="楷体_GB2312" w:cs="Times New Roman"/>
      <w:color w:val="000000"/>
      <w:sz w:val="21"/>
      <w:lang w:val="en-US" w:eastAsia="zh-CN" w:bidi="ar-SA"/>
    </w:rPr>
  </w:style>
  <w:style w:type="paragraph" w:customStyle="1" w:styleId="815">
    <w:name w:val="p6"/>
    <w:basedOn w:val="1"/>
    <w:autoRedefine/>
    <w:qFormat/>
    <w:uiPriority w:val="99"/>
    <w:pPr>
      <w:tabs>
        <w:tab w:val="left" w:pos="4720"/>
      </w:tabs>
      <w:spacing w:line="240" w:lineRule="atLeast"/>
      <w:ind w:left="3280"/>
      <w:jc w:val="left"/>
    </w:pPr>
    <w:rPr>
      <w:rFonts w:ascii="Arial" w:hAnsi="Arial"/>
      <w:kern w:val="0"/>
      <w:sz w:val="24"/>
      <w:szCs w:val="20"/>
      <w:lang w:eastAsia="en-US"/>
    </w:rPr>
  </w:style>
  <w:style w:type="paragraph" w:customStyle="1" w:styleId="816">
    <w:name w:val="w4"/>
    <w:basedOn w:val="1"/>
    <w:autoRedefine/>
    <w:qFormat/>
    <w:uiPriority w:val="99"/>
    <w:pPr>
      <w:widowControl/>
      <w:spacing w:before="100" w:beforeAutospacing="1" w:after="100" w:afterAutospacing="1" w:line="336" w:lineRule="auto"/>
      <w:ind w:firstLine="360"/>
      <w:jc w:val="left"/>
    </w:pPr>
    <w:rPr>
      <w:rFonts w:ascii="Calibri" w:hAnsi="Calibri"/>
      <w:color w:val="8A5E00"/>
      <w:kern w:val="0"/>
      <w:sz w:val="18"/>
      <w:szCs w:val="18"/>
    </w:rPr>
  </w:style>
  <w:style w:type="paragraph" w:customStyle="1" w:styleId="817">
    <w:name w:val="Char31"/>
    <w:basedOn w:val="1"/>
    <w:autoRedefine/>
    <w:qFormat/>
    <w:uiPriority w:val="99"/>
    <w:pPr>
      <w:spacing w:line="360" w:lineRule="auto"/>
      <w:ind w:firstLine="200" w:firstLineChars="200"/>
    </w:pPr>
    <w:rPr>
      <w:rFonts w:ascii="宋体" w:hAnsi="宋体" w:cs="宋体"/>
      <w:sz w:val="24"/>
    </w:rPr>
  </w:style>
  <w:style w:type="paragraph" w:customStyle="1" w:styleId="818">
    <w:name w:val="正文首行缩进1"/>
    <w:basedOn w:val="1"/>
    <w:next w:val="1"/>
    <w:autoRedefine/>
    <w:qFormat/>
    <w:uiPriority w:val="99"/>
    <w:pPr>
      <w:tabs>
        <w:tab w:val="left" w:pos="540"/>
        <w:tab w:val="left" w:pos="1440"/>
        <w:tab w:val="left" w:pos="2448"/>
        <w:tab w:val="left" w:pos="3000"/>
        <w:tab w:val="left" w:pos="3888"/>
        <w:tab w:val="left" w:pos="4800"/>
        <w:tab w:val="left" w:pos="5040"/>
        <w:tab w:val="left" w:pos="5883"/>
        <w:tab w:val="left" w:pos="6300"/>
        <w:tab w:val="left" w:pos="7353"/>
        <w:tab w:val="left" w:pos="8613"/>
      </w:tabs>
      <w:autoSpaceDE w:val="0"/>
      <w:autoSpaceDN w:val="0"/>
      <w:adjustRightInd w:val="0"/>
      <w:snapToGrid w:val="0"/>
      <w:spacing w:line="300" w:lineRule="auto"/>
      <w:ind w:firstLine="561"/>
      <w:textAlignment w:val="baseline"/>
    </w:pPr>
    <w:rPr>
      <w:kern w:val="0"/>
      <w:sz w:val="28"/>
    </w:rPr>
  </w:style>
  <w:style w:type="paragraph" w:customStyle="1" w:styleId="819">
    <w:name w:val="GY6"/>
    <w:basedOn w:val="1"/>
    <w:autoRedefine/>
    <w:qFormat/>
    <w:uiPriority w:val="99"/>
    <w:pPr>
      <w:tabs>
        <w:tab w:val="left" w:pos="840"/>
      </w:tabs>
      <w:adjustRightInd w:val="0"/>
      <w:snapToGrid w:val="0"/>
      <w:spacing w:line="360" w:lineRule="auto"/>
    </w:pPr>
    <w:rPr>
      <w:rFonts w:ascii="宋体" w:hAnsi="宋体"/>
      <w:sz w:val="28"/>
      <w:szCs w:val="20"/>
    </w:rPr>
  </w:style>
  <w:style w:type="paragraph" w:customStyle="1" w:styleId="820">
    <w:name w:val="样式10"/>
    <w:basedOn w:val="3"/>
    <w:autoRedefine/>
    <w:qFormat/>
    <w:uiPriority w:val="99"/>
    <w:pPr>
      <w:keepLines/>
      <w:tabs>
        <w:tab w:val="left" w:pos="390"/>
      </w:tabs>
      <w:overflowPunct/>
      <w:snapToGrid/>
      <w:spacing w:beforeLines="100" w:afterLines="100" w:line="520" w:lineRule="exact"/>
      <w:ind w:left="390" w:firstLine="0"/>
    </w:pPr>
    <w:rPr>
      <w:rFonts w:ascii="Calibri" w:hAnsi="Calibri" w:eastAsia="宋体"/>
      <w:color w:val="FF0000"/>
    </w:rPr>
  </w:style>
  <w:style w:type="paragraph" w:customStyle="1" w:styleId="821">
    <w:name w:val="xl142"/>
    <w:basedOn w:val="1"/>
    <w:autoRedefine/>
    <w:qFormat/>
    <w:uiPriority w:val="99"/>
    <w:pPr>
      <w:widowControl/>
      <w:pBdr>
        <w:left w:val="single" w:color="auto" w:sz="4" w:space="0"/>
        <w:bottom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822">
    <w:name w:val="xl62"/>
    <w:basedOn w:val="1"/>
    <w:autoRedefine/>
    <w:qFormat/>
    <w:uiPriority w:val="99"/>
    <w:pPr>
      <w:widowControl/>
      <w:spacing w:before="100" w:beforeAutospacing="1" w:after="100" w:afterAutospacing="1"/>
      <w:jc w:val="center"/>
    </w:pPr>
    <w:rPr>
      <w:rFonts w:ascii="Arial" w:hAnsi="Arial" w:cs="Arial"/>
      <w:b/>
      <w:bCs/>
      <w:kern w:val="0"/>
      <w:sz w:val="22"/>
      <w:szCs w:val="22"/>
    </w:rPr>
  </w:style>
  <w:style w:type="paragraph" w:customStyle="1" w:styleId="823">
    <w:name w:val="Char Char"/>
    <w:basedOn w:val="1"/>
    <w:autoRedefine/>
    <w:qFormat/>
    <w:uiPriority w:val="99"/>
    <w:pPr>
      <w:widowControl/>
      <w:spacing w:after="160" w:line="240" w:lineRule="exact"/>
      <w:jc w:val="left"/>
    </w:pPr>
    <w:rPr>
      <w:rFonts w:ascii="Arial" w:hAnsi="Arial"/>
      <w:kern w:val="0"/>
      <w:sz w:val="20"/>
      <w:szCs w:val="20"/>
      <w:lang w:eastAsia="en-US"/>
    </w:rPr>
  </w:style>
  <w:style w:type="paragraph" w:customStyle="1" w:styleId="824">
    <w:name w:val="xl58"/>
    <w:basedOn w:val="1"/>
    <w:autoRedefine/>
    <w:qFormat/>
    <w:uiPriority w:val="99"/>
    <w:pPr>
      <w:widowControl/>
      <w:spacing w:before="100" w:beforeAutospacing="1" w:after="100" w:afterAutospacing="1"/>
      <w:jc w:val="left"/>
    </w:pPr>
    <w:rPr>
      <w:rFonts w:ascii="Arial" w:hAnsi="Arial" w:cs="Arial"/>
      <w:b/>
      <w:bCs/>
      <w:kern w:val="0"/>
      <w:sz w:val="22"/>
      <w:szCs w:val="22"/>
    </w:rPr>
  </w:style>
  <w:style w:type="paragraph" w:customStyle="1" w:styleId="825">
    <w:name w:val="样式 段前: 3 磅 段后: 3 磅"/>
    <w:basedOn w:val="1"/>
    <w:autoRedefine/>
    <w:qFormat/>
    <w:uiPriority w:val="99"/>
    <w:pPr>
      <w:adjustRightInd w:val="0"/>
      <w:snapToGrid w:val="0"/>
      <w:spacing w:line="360" w:lineRule="auto"/>
      <w:ind w:firstLine="480" w:firstLineChars="200"/>
    </w:pPr>
    <w:rPr>
      <w:rFonts w:ascii="宋体" w:hAnsi="宋体" w:cs="宋体"/>
      <w:color w:val="000000"/>
      <w:kern w:val="0"/>
      <w:sz w:val="24"/>
    </w:rPr>
  </w:style>
  <w:style w:type="paragraph" w:customStyle="1" w:styleId="826">
    <w:name w:val="Char Char Char Char Char Char Char Char Char Char Char Char1 Char Char Char Char"/>
    <w:basedOn w:val="1"/>
    <w:next w:val="1"/>
    <w:autoRedefine/>
    <w:semiHidden/>
    <w:qFormat/>
    <w:uiPriority w:val="99"/>
    <w:pPr>
      <w:spacing w:line="336" w:lineRule="auto"/>
      <w:ind w:firstLine="200" w:firstLineChars="200"/>
    </w:pPr>
    <w:rPr>
      <w:rFonts w:ascii="宋体" w:hAnsi="宋体" w:eastAsia="汉鼎简书宋" w:cs="宋体"/>
      <w:sz w:val="24"/>
    </w:rPr>
  </w:style>
  <w:style w:type="paragraph" w:customStyle="1" w:styleId="827">
    <w:name w:val="居中正文"/>
    <w:basedOn w:val="84"/>
    <w:autoRedefine/>
    <w:qFormat/>
    <w:uiPriority w:val="99"/>
    <w:pPr>
      <w:adjustRightInd w:val="0"/>
      <w:spacing w:before="120" w:after="0" w:line="360" w:lineRule="auto"/>
      <w:ind w:firstLine="0" w:firstLineChars="0"/>
      <w:jc w:val="center"/>
      <w:textAlignment w:val="baseline"/>
    </w:pPr>
    <w:rPr>
      <w:rFonts w:ascii="宋体"/>
      <w:kern w:val="28"/>
      <w:sz w:val="24"/>
      <w:szCs w:val="20"/>
    </w:rPr>
  </w:style>
  <w:style w:type="paragraph" w:customStyle="1" w:styleId="828">
    <w:name w:val="Char Char Char Char Char Char Char Char Char Char Char Char Char Char Char Char Char Char Char1"/>
    <w:basedOn w:val="1"/>
    <w:autoRedefine/>
    <w:qFormat/>
    <w:uiPriority w:val="99"/>
    <w:pPr>
      <w:widowControl/>
      <w:contextualSpacing/>
      <w:jc w:val="left"/>
    </w:pPr>
    <w:rPr>
      <w:rFonts w:cs="宋体"/>
      <w:kern w:val="0"/>
    </w:rPr>
  </w:style>
  <w:style w:type="paragraph" w:customStyle="1" w:styleId="829">
    <w:name w:val="样式 样式 标题 4 + 宋体 行距: 1.5 倍行距 + 段前: 0.5 行"/>
    <w:basedOn w:val="830"/>
    <w:autoRedefine/>
    <w:qFormat/>
    <w:uiPriority w:val="99"/>
    <w:pPr>
      <w:snapToGrid/>
      <w:spacing w:beforeLines="0"/>
      <w:ind w:left="1984" w:hanging="1984"/>
      <w:jc w:val="both"/>
    </w:pPr>
    <w:rPr>
      <w:rFonts w:ascii="Times New Roman" w:eastAsia="黑体" w:cs="Times New Roman"/>
    </w:rPr>
  </w:style>
  <w:style w:type="paragraph" w:customStyle="1" w:styleId="830">
    <w:name w:val="样式 标题 4 + 宋体 行距: 1.5 倍行距"/>
    <w:basedOn w:val="6"/>
    <w:autoRedefine/>
    <w:qFormat/>
    <w:uiPriority w:val="99"/>
    <w:pPr>
      <w:snapToGrid w:val="0"/>
      <w:spacing w:beforeLines="50" w:after="0" w:line="360" w:lineRule="auto"/>
      <w:ind w:left="1985" w:hanging="1985"/>
      <w:jc w:val="left"/>
    </w:pPr>
    <w:rPr>
      <w:rFonts w:ascii="宋体" w:hAnsi="宋体" w:cs="宋体"/>
      <w:sz w:val="24"/>
      <w:szCs w:val="20"/>
    </w:rPr>
  </w:style>
  <w:style w:type="paragraph" w:customStyle="1" w:styleId="831">
    <w:name w:val="样式 表格正文样式A-MHZ-居中定表长格文本 + 五号"/>
    <w:basedOn w:val="1"/>
    <w:autoRedefine/>
    <w:qFormat/>
    <w:uiPriority w:val="99"/>
    <w:pPr>
      <w:spacing w:line="360" w:lineRule="auto"/>
      <w:jc w:val="center"/>
    </w:pPr>
    <w:rPr>
      <w:rFonts w:cs="宋体"/>
      <w:kern w:val="24"/>
      <w:sz w:val="24"/>
    </w:rPr>
  </w:style>
  <w:style w:type="paragraph" w:customStyle="1" w:styleId="832">
    <w:name w:val="fcolor"/>
    <w:basedOn w:val="1"/>
    <w:autoRedefine/>
    <w:qFormat/>
    <w:uiPriority w:val="99"/>
    <w:pPr>
      <w:widowControl/>
      <w:spacing w:before="100" w:beforeAutospacing="1" w:after="100" w:afterAutospacing="1"/>
      <w:jc w:val="left"/>
    </w:pPr>
    <w:rPr>
      <w:rFonts w:ascii="宋体" w:hAnsi="宋体"/>
      <w:color w:val="000000"/>
      <w:kern w:val="0"/>
      <w:sz w:val="24"/>
    </w:rPr>
  </w:style>
  <w:style w:type="paragraph" w:customStyle="1" w:styleId="833">
    <w:name w:val="char"/>
    <w:basedOn w:val="1"/>
    <w:autoRedefine/>
    <w:qFormat/>
    <w:uiPriority w:val="99"/>
    <w:pPr>
      <w:widowControl/>
      <w:spacing w:after="160"/>
      <w:jc w:val="left"/>
    </w:pPr>
    <w:rPr>
      <w:rFonts w:ascii="宋体" w:hAnsi="宋体" w:cs="宋体"/>
      <w:sz w:val="24"/>
    </w:rPr>
  </w:style>
  <w:style w:type="paragraph" w:customStyle="1" w:styleId="834">
    <w:name w:val="样式 标题 2 + 左侧:  0厘米 首行缩进:  0 厘米 右侧:  1 字符"/>
    <w:basedOn w:val="4"/>
    <w:autoRedefine/>
    <w:qFormat/>
    <w:uiPriority w:val="99"/>
    <w:pPr>
      <w:keepNext w:val="0"/>
      <w:keepLines w:val="0"/>
      <w:tabs>
        <w:tab w:val="left" w:pos="280"/>
        <w:tab w:val="left" w:pos="1400"/>
      </w:tabs>
      <w:adjustRightInd w:val="0"/>
      <w:snapToGrid w:val="0"/>
      <w:spacing w:before="50" w:after="240" w:line="480" w:lineRule="exact"/>
      <w:ind w:left="1233" w:right="280" w:rightChars="100" w:firstLine="567"/>
      <w:jc w:val="left"/>
    </w:pPr>
    <w:rPr>
      <w:rFonts w:ascii="Times New Roman" w:hAnsi="Times New Roman" w:eastAsia="宋体"/>
      <w:b w:val="0"/>
      <w:bCs w:val="0"/>
      <w:sz w:val="28"/>
      <w:szCs w:val="20"/>
    </w:rPr>
  </w:style>
  <w:style w:type="paragraph" w:customStyle="1" w:styleId="835">
    <w:name w:val="样式 样式 样式 首行缩进:  2 字符 + 首行缩进:  2 字符 + 首行缩进:  2 字符"/>
    <w:basedOn w:val="1"/>
    <w:autoRedefine/>
    <w:qFormat/>
    <w:uiPriority w:val="99"/>
    <w:pPr>
      <w:spacing w:line="360" w:lineRule="auto"/>
      <w:ind w:firstLine="480" w:firstLineChars="200"/>
    </w:pPr>
    <w:rPr>
      <w:rFonts w:eastAsia="仿宋_GB2312"/>
      <w:sz w:val="24"/>
      <w:szCs w:val="20"/>
    </w:rPr>
  </w:style>
  <w:style w:type="paragraph" w:customStyle="1" w:styleId="836">
    <w:name w:val="表的格式（小四）"/>
    <w:basedOn w:val="1"/>
    <w:autoRedefine/>
    <w:qFormat/>
    <w:uiPriority w:val="99"/>
    <w:pPr>
      <w:adjustRightInd w:val="0"/>
      <w:spacing w:line="360" w:lineRule="atLeast"/>
      <w:jc w:val="center"/>
    </w:pPr>
    <w:rPr>
      <w:kern w:val="0"/>
      <w:sz w:val="24"/>
      <w:szCs w:val="20"/>
    </w:rPr>
  </w:style>
  <w:style w:type="paragraph" w:customStyle="1" w:styleId="837">
    <w:name w:val="(文字) (文字)"/>
    <w:basedOn w:val="1"/>
    <w:autoRedefine/>
    <w:qFormat/>
    <w:uiPriority w:val="99"/>
  </w:style>
  <w:style w:type="paragraph" w:customStyle="1" w:styleId="838">
    <w:name w:val="文本框文字格式"/>
    <w:basedOn w:val="1"/>
    <w:autoRedefine/>
    <w:qFormat/>
    <w:uiPriority w:val="99"/>
    <w:pPr>
      <w:jc w:val="center"/>
    </w:pPr>
    <w:rPr>
      <w:sz w:val="24"/>
    </w:rPr>
  </w:style>
  <w:style w:type="paragraph" w:customStyle="1" w:styleId="839">
    <w:name w:val="样式 样式 样式 标题 3东明_小节H3条标题1.1.1二级节名h33rd level3l3CTHeading 3 - ... ...1"/>
    <w:basedOn w:val="647"/>
    <w:autoRedefine/>
    <w:qFormat/>
    <w:uiPriority w:val="99"/>
    <w:pPr>
      <w:spacing w:after="0"/>
    </w:pPr>
  </w:style>
  <w:style w:type="paragraph" w:customStyle="1" w:styleId="840">
    <w:name w:val="style12"/>
    <w:basedOn w:val="1"/>
    <w:autoRedefine/>
    <w:qFormat/>
    <w:uiPriority w:val="99"/>
    <w:pPr>
      <w:widowControl/>
      <w:spacing w:before="100" w:beforeAutospacing="1" w:after="100" w:afterAutospacing="1"/>
      <w:jc w:val="left"/>
    </w:pPr>
    <w:rPr>
      <w:rFonts w:ascii="Arial" w:hAnsi="Arial" w:cs="Arial"/>
      <w:color w:val="666666"/>
      <w:kern w:val="0"/>
      <w:sz w:val="18"/>
      <w:szCs w:val="18"/>
    </w:rPr>
  </w:style>
  <w:style w:type="paragraph" w:customStyle="1" w:styleId="841">
    <w:name w:val="Char Char Char1 Char Char Char Char Char Char Char Char Char Char"/>
    <w:basedOn w:val="1"/>
    <w:autoRedefine/>
    <w:qFormat/>
    <w:uiPriority w:val="99"/>
  </w:style>
  <w:style w:type="paragraph" w:customStyle="1" w:styleId="842">
    <w:name w:val="4"/>
    <w:basedOn w:val="1"/>
    <w:autoRedefine/>
    <w:qFormat/>
    <w:uiPriority w:val="99"/>
    <w:rPr>
      <w:sz w:val="28"/>
    </w:rPr>
  </w:style>
  <w:style w:type="paragraph" w:customStyle="1" w:styleId="843">
    <w:name w:val="Char2"/>
    <w:basedOn w:val="1"/>
    <w:autoRedefine/>
    <w:qFormat/>
    <w:uiPriority w:val="99"/>
    <w:pPr>
      <w:spacing w:line="360" w:lineRule="auto"/>
      <w:ind w:firstLine="200" w:firstLineChars="200"/>
    </w:pPr>
    <w:rPr>
      <w:rFonts w:ascii="宋体" w:hAnsi="宋体" w:cs="宋体"/>
      <w:sz w:val="24"/>
    </w:rPr>
  </w:style>
  <w:style w:type="paragraph" w:customStyle="1" w:styleId="844">
    <w:name w:val="CM75"/>
    <w:basedOn w:val="1"/>
    <w:next w:val="1"/>
    <w:autoRedefine/>
    <w:qFormat/>
    <w:uiPriority w:val="99"/>
    <w:pPr>
      <w:autoSpaceDE w:val="0"/>
      <w:autoSpaceDN w:val="0"/>
      <w:adjustRightInd w:val="0"/>
      <w:spacing w:after="60"/>
      <w:jc w:val="left"/>
    </w:pPr>
    <w:rPr>
      <w:rFonts w:ascii="Sim Sun+ 2" w:eastAsia="Sim Sun+ 2" w:cs="Sim Sun+ 2"/>
      <w:kern w:val="0"/>
      <w:sz w:val="24"/>
    </w:rPr>
  </w:style>
  <w:style w:type="paragraph" w:customStyle="1" w:styleId="845">
    <w:name w:val="项目编号"/>
    <w:basedOn w:val="1"/>
    <w:next w:val="1"/>
    <w:autoRedefine/>
    <w:qFormat/>
    <w:uiPriority w:val="99"/>
    <w:pPr>
      <w:spacing w:before="120" w:after="120" w:line="360" w:lineRule="auto"/>
    </w:pPr>
    <w:rPr>
      <w:sz w:val="24"/>
      <w:szCs w:val="20"/>
    </w:rPr>
  </w:style>
  <w:style w:type="paragraph" w:customStyle="1" w:styleId="846">
    <w:name w:val="font6"/>
    <w:basedOn w:val="1"/>
    <w:autoRedefine/>
    <w:qFormat/>
    <w:uiPriority w:val="99"/>
    <w:pPr>
      <w:widowControl/>
      <w:spacing w:before="100" w:beforeAutospacing="1" w:after="100" w:afterAutospacing="1"/>
      <w:jc w:val="left"/>
    </w:pPr>
    <w:rPr>
      <w:rFonts w:ascii="宋体" w:hAnsi="宋体"/>
      <w:b/>
      <w:bCs/>
      <w:kern w:val="0"/>
      <w:sz w:val="24"/>
    </w:rPr>
  </w:style>
  <w:style w:type="paragraph" w:customStyle="1" w:styleId="847">
    <w:name w:val="法规"/>
    <w:basedOn w:val="1"/>
    <w:autoRedefine/>
    <w:qFormat/>
    <w:uiPriority w:val="99"/>
    <w:pPr>
      <w:tabs>
        <w:tab w:val="left" w:pos="400"/>
      </w:tabs>
      <w:spacing w:line="440" w:lineRule="exact"/>
      <w:ind w:firstLine="400"/>
    </w:pPr>
    <w:rPr>
      <w:sz w:val="25"/>
      <w:szCs w:val="20"/>
    </w:rPr>
  </w:style>
  <w:style w:type="paragraph" w:customStyle="1" w:styleId="848">
    <w:name w:val="标题6"/>
    <w:basedOn w:val="1"/>
    <w:next w:val="84"/>
    <w:autoRedefine/>
    <w:qFormat/>
    <w:uiPriority w:val="99"/>
    <w:pPr>
      <w:keepNext/>
      <w:spacing w:line="360" w:lineRule="auto"/>
      <w:ind w:firstLine="567"/>
      <w:jc w:val="left"/>
      <w:outlineLvl w:val="5"/>
    </w:pPr>
    <w:rPr>
      <w:sz w:val="28"/>
      <w:szCs w:val="21"/>
    </w:rPr>
  </w:style>
  <w:style w:type="paragraph" w:customStyle="1" w:styleId="849">
    <w:name w:val="xl66"/>
    <w:basedOn w:val="1"/>
    <w:autoRedefine/>
    <w:qFormat/>
    <w:uiPriority w:val="99"/>
    <w:pPr>
      <w:widowControl/>
      <w:spacing w:before="100" w:beforeAutospacing="1" w:after="100" w:afterAutospacing="1"/>
      <w:jc w:val="center"/>
      <w:textAlignment w:val="bottom"/>
    </w:pPr>
    <w:rPr>
      <w:rFonts w:ascii="宋体" w:hAnsi="宋体"/>
      <w:b/>
      <w:bCs/>
      <w:color w:val="0000FF"/>
      <w:kern w:val="0"/>
      <w:sz w:val="22"/>
      <w:szCs w:val="22"/>
    </w:rPr>
  </w:style>
  <w:style w:type="paragraph" w:customStyle="1" w:styleId="850">
    <w:name w:val="甲乙酮标题4"/>
    <w:basedOn w:val="6"/>
    <w:autoRedefine/>
    <w:qFormat/>
    <w:uiPriority w:val="99"/>
    <w:pPr>
      <w:tabs>
        <w:tab w:val="left" w:pos="1680"/>
      </w:tabs>
      <w:spacing w:before="100" w:after="100" w:line="377" w:lineRule="auto"/>
      <w:ind w:left="1680"/>
    </w:pPr>
    <w:rPr>
      <w:rFonts w:ascii="Times New Roman" w:hAnsi="Times New Roman"/>
      <w:sz w:val="24"/>
      <w:szCs w:val="24"/>
    </w:rPr>
  </w:style>
  <w:style w:type="paragraph" w:customStyle="1" w:styleId="851">
    <w:name w:val="xl78"/>
    <w:basedOn w:val="1"/>
    <w:autoRedefine/>
    <w:qFormat/>
    <w:uiPriority w:val="99"/>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852">
    <w:name w:val="样式13"/>
    <w:basedOn w:val="1"/>
    <w:next w:val="29"/>
    <w:autoRedefine/>
    <w:qFormat/>
    <w:uiPriority w:val="99"/>
    <w:pPr>
      <w:adjustRightInd w:val="0"/>
      <w:spacing w:line="500" w:lineRule="exact"/>
      <w:ind w:firstLine="200" w:firstLineChars="200"/>
      <w:textAlignment w:val="baseline"/>
    </w:pPr>
    <w:rPr>
      <w:rFonts w:ascii="仿宋_GB2312" w:hAnsi="宋体" w:eastAsia="仿宋_GB2312"/>
      <w:color w:val="FF0000"/>
      <w:sz w:val="28"/>
      <w:szCs w:val="28"/>
    </w:rPr>
  </w:style>
  <w:style w:type="paragraph" w:customStyle="1" w:styleId="853">
    <w:name w:val="修订1"/>
    <w:autoRedefine/>
    <w:semiHidden/>
    <w:qFormat/>
    <w:uiPriority w:val="99"/>
    <w:rPr>
      <w:rFonts w:ascii="Times New Roman" w:hAnsi="Times New Roman" w:eastAsia="宋体" w:cs="Times New Roman"/>
      <w:kern w:val="2"/>
      <w:sz w:val="24"/>
      <w:szCs w:val="21"/>
      <w:lang w:val="en-US" w:eastAsia="zh-CN" w:bidi="ar-SA"/>
    </w:rPr>
  </w:style>
  <w:style w:type="paragraph" w:customStyle="1" w:styleId="854">
    <w:name w:val="1"/>
    <w:basedOn w:val="1"/>
    <w:next w:val="34"/>
    <w:autoRedefine/>
    <w:qFormat/>
    <w:uiPriority w:val="99"/>
    <w:pPr>
      <w:ind w:firstLine="480" w:firstLineChars="200"/>
    </w:pPr>
    <w:rPr>
      <w:sz w:val="24"/>
    </w:rPr>
  </w:style>
  <w:style w:type="paragraph" w:customStyle="1" w:styleId="855">
    <w:name w:val="xl73"/>
    <w:basedOn w:val="1"/>
    <w:autoRedefine/>
    <w:qFormat/>
    <w:uiPriority w:val="99"/>
    <w:pPr>
      <w:widowControl/>
      <w:spacing w:before="100" w:beforeAutospacing="1" w:after="100" w:afterAutospacing="1"/>
      <w:jc w:val="center"/>
      <w:textAlignment w:val="bottom"/>
    </w:pPr>
    <w:rPr>
      <w:rFonts w:ascii="宋体" w:hAnsi="宋体"/>
      <w:b/>
      <w:bCs/>
      <w:kern w:val="0"/>
      <w:sz w:val="22"/>
      <w:szCs w:val="22"/>
    </w:rPr>
  </w:style>
  <w:style w:type="paragraph" w:customStyle="1" w:styleId="856">
    <w:name w:val="首行缩进"/>
    <w:basedOn w:val="1"/>
    <w:autoRedefine/>
    <w:qFormat/>
    <w:uiPriority w:val="99"/>
    <w:pPr>
      <w:spacing w:line="360" w:lineRule="auto"/>
      <w:ind w:firstLine="480" w:firstLineChars="200"/>
    </w:pPr>
    <w:rPr>
      <w:sz w:val="24"/>
    </w:rPr>
  </w:style>
  <w:style w:type="paragraph" w:customStyle="1" w:styleId="857">
    <w:name w:val="xl166"/>
    <w:basedOn w:val="1"/>
    <w:autoRedefine/>
    <w:qFormat/>
    <w:uiPriority w:val="99"/>
    <w:pPr>
      <w:widowControl/>
      <w:pBdr>
        <w:left w:val="single" w:color="auto" w:sz="12" w:space="0"/>
        <w:bottom w:val="single" w:color="auto" w:sz="12" w:space="0"/>
      </w:pBdr>
      <w:spacing w:before="100" w:beforeAutospacing="1" w:after="100" w:afterAutospacing="1"/>
      <w:jc w:val="center"/>
      <w:textAlignment w:val="center"/>
    </w:pPr>
    <w:rPr>
      <w:rFonts w:ascii="Arial Unicode MS" w:hAnsi="Arial Unicode MS"/>
      <w:kern w:val="0"/>
    </w:rPr>
  </w:style>
  <w:style w:type="paragraph" w:customStyle="1" w:styleId="858">
    <w:name w:val="表样式3"/>
    <w:basedOn w:val="1"/>
    <w:autoRedefine/>
    <w:qFormat/>
    <w:uiPriority w:val="99"/>
    <w:pPr>
      <w:spacing w:beforeLines="50" w:afterLines="50"/>
      <w:jc w:val="center"/>
    </w:pPr>
    <w:rPr>
      <w:rFonts w:ascii="宋体" w:hAnsi="宋体" w:eastAsia="黑体"/>
      <w:color w:val="000000"/>
      <w:szCs w:val="18"/>
    </w:rPr>
  </w:style>
  <w:style w:type="paragraph" w:customStyle="1" w:styleId="859">
    <w:name w:val="Char5"/>
    <w:basedOn w:val="1"/>
    <w:autoRedefine/>
    <w:qFormat/>
    <w:uiPriority w:val="99"/>
  </w:style>
  <w:style w:type="paragraph" w:customStyle="1" w:styleId="860">
    <w:name w:val="表格中"/>
    <w:basedOn w:val="1"/>
    <w:autoRedefine/>
    <w:qFormat/>
    <w:uiPriority w:val="99"/>
    <w:rPr>
      <w:rFonts w:ascii="宋体"/>
      <w:szCs w:val="21"/>
    </w:rPr>
  </w:style>
  <w:style w:type="paragraph" w:customStyle="1" w:styleId="861">
    <w:name w:val="普通文字 Char Char"/>
    <w:basedOn w:val="1"/>
    <w:next w:val="80"/>
    <w:autoRedefine/>
    <w:qFormat/>
    <w:uiPriority w:val="99"/>
    <w:rPr>
      <w:sz w:val="24"/>
    </w:rPr>
  </w:style>
  <w:style w:type="paragraph" w:customStyle="1" w:styleId="862">
    <w:name w:val="样式 标题 3 + 宋体 四号1"/>
    <w:basedOn w:val="5"/>
    <w:autoRedefine/>
    <w:qFormat/>
    <w:uiPriority w:val="99"/>
    <w:pPr>
      <w:tabs>
        <w:tab w:val="left" w:pos="1260"/>
      </w:tabs>
      <w:spacing w:line="360" w:lineRule="auto"/>
      <w:ind w:left="1260" w:hanging="420"/>
    </w:pPr>
    <w:rPr>
      <w:rFonts w:ascii="宋体" w:hAnsi="宋体" w:eastAsia="黑体" w:cs="宋体"/>
      <w:kern w:val="0"/>
      <w:sz w:val="28"/>
      <w:szCs w:val="20"/>
    </w:rPr>
  </w:style>
  <w:style w:type="paragraph" w:customStyle="1" w:styleId="863">
    <w:name w:val="图"/>
    <w:basedOn w:val="474"/>
    <w:autoRedefine/>
    <w:qFormat/>
    <w:uiPriority w:val="99"/>
    <w:pPr>
      <w:spacing w:line="240" w:lineRule="auto"/>
      <w:ind w:firstLine="0" w:firstLineChars="0"/>
      <w:jc w:val="center"/>
    </w:pPr>
  </w:style>
  <w:style w:type="paragraph" w:customStyle="1" w:styleId="864">
    <w:name w:val="样式2.2.5"/>
    <w:basedOn w:val="1"/>
    <w:autoRedefine/>
    <w:qFormat/>
    <w:uiPriority w:val="99"/>
    <w:pPr>
      <w:spacing w:beforeLines="50" w:line="360" w:lineRule="auto"/>
      <w:outlineLvl w:val="3"/>
    </w:pPr>
    <w:rPr>
      <w:b/>
      <w:sz w:val="24"/>
    </w:rPr>
  </w:style>
  <w:style w:type="paragraph" w:customStyle="1" w:styleId="865">
    <w:name w:val="样式 楷体_GB2312 居中"/>
    <w:basedOn w:val="1"/>
    <w:autoRedefine/>
    <w:qFormat/>
    <w:uiPriority w:val="99"/>
    <w:pPr>
      <w:spacing w:line="360" w:lineRule="auto"/>
      <w:jc w:val="center"/>
    </w:pPr>
    <w:rPr>
      <w:rFonts w:ascii="楷体_GB2312" w:eastAsia="楷体_GB2312"/>
      <w:szCs w:val="20"/>
      <w:lang w:bidi="ar-OM"/>
    </w:rPr>
  </w:style>
  <w:style w:type="paragraph" w:customStyle="1" w:styleId="866">
    <w:name w:val="样式 样式 左侧:  2 字符 + 首行缩进:  2 字符 Char"/>
    <w:basedOn w:val="1"/>
    <w:autoRedefine/>
    <w:qFormat/>
    <w:uiPriority w:val="99"/>
    <w:pPr>
      <w:tabs>
        <w:tab w:val="left" w:pos="540"/>
      </w:tabs>
      <w:spacing w:line="360" w:lineRule="auto"/>
      <w:ind w:firstLine="478" w:firstLineChars="199"/>
    </w:pPr>
    <w:rPr>
      <w:rFonts w:ascii="宋体" w:hAnsi="宋体"/>
      <w:bCs/>
      <w:sz w:val="24"/>
    </w:rPr>
  </w:style>
  <w:style w:type="paragraph" w:customStyle="1" w:styleId="867">
    <w:name w:val="标2"/>
    <w:basedOn w:val="4"/>
    <w:next w:val="291"/>
    <w:autoRedefine/>
    <w:qFormat/>
    <w:uiPriority w:val="99"/>
    <w:pPr>
      <w:tabs>
        <w:tab w:val="left" w:pos="0"/>
      </w:tabs>
      <w:spacing w:before="0" w:after="0" w:line="240" w:lineRule="auto"/>
      <w:ind w:left="576" w:hanging="576"/>
      <w:contextualSpacing/>
      <w:jc w:val="left"/>
    </w:pPr>
    <w:rPr>
      <w:rFonts w:ascii="黑体" w:hAnsi="黑体" w:cs="宋体"/>
      <w:bCs w:val="0"/>
      <w:sz w:val="30"/>
      <w:szCs w:val="20"/>
    </w:rPr>
  </w:style>
  <w:style w:type="paragraph" w:customStyle="1" w:styleId="868">
    <w:name w:val="正文表标题"/>
    <w:next w:val="1"/>
    <w:autoRedefine/>
    <w:qFormat/>
    <w:uiPriority w:val="99"/>
    <w:pPr>
      <w:numPr>
        <w:ilvl w:val="0"/>
        <w:numId w:val="8"/>
      </w:numPr>
      <w:spacing w:beforeLines="50" w:afterLines="50"/>
      <w:jc w:val="center"/>
    </w:pPr>
    <w:rPr>
      <w:rFonts w:ascii="黑体" w:hAnsi="Times New Roman" w:eastAsia="黑体" w:cs="Times New Roman"/>
      <w:sz w:val="21"/>
      <w:lang w:val="en-US" w:eastAsia="zh-CN" w:bidi="ar-SA"/>
    </w:rPr>
  </w:style>
  <w:style w:type="paragraph" w:customStyle="1" w:styleId="869">
    <w:name w:val="段"/>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70">
    <w:name w:val="样式 标题 1章标题 1H11.1标题 111标题 1 + 行距: 固定值 30 磅"/>
    <w:basedOn w:val="3"/>
    <w:autoRedefine/>
    <w:qFormat/>
    <w:uiPriority w:val="99"/>
    <w:pPr>
      <w:keepNext w:val="0"/>
      <w:pageBreakBefore/>
      <w:tabs>
        <w:tab w:val="left" w:pos="390"/>
      </w:tabs>
      <w:overflowPunct/>
      <w:snapToGrid/>
      <w:spacing w:after="120" w:line="600" w:lineRule="exact"/>
      <w:ind w:left="390" w:firstLine="0"/>
      <w:jc w:val="center"/>
    </w:pPr>
    <w:rPr>
      <w:rFonts w:ascii="黑体" w:hAnsi="Calibri" w:cs="宋体"/>
      <w:color w:val="auto"/>
      <w:sz w:val="44"/>
      <w:szCs w:val="20"/>
    </w:rPr>
  </w:style>
  <w:style w:type="paragraph" w:customStyle="1" w:styleId="871">
    <w:name w:val="xl173"/>
    <w:basedOn w:val="1"/>
    <w:autoRedefine/>
    <w:qFormat/>
    <w:uiPriority w:val="99"/>
    <w:pPr>
      <w:widowControl/>
      <w:spacing w:before="100" w:beforeAutospacing="1" w:after="100" w:afterAutospacing="1"/>
      <w:jc w:val="center"/>
      <w:textAlignment w:val="center"/>
    </w:pPr>
    <w:rPr>
      <w:rFonts w:ascii="Arial Unicode MS" w:hAnsi="Arial Unicode MS"/>
      <w:kern w:val="0"/>
    </w:rPr>
  </w:style>
  <w:style w:type="paragraph" w:customStyle="1" w:styleId="872">
    <w:name w:val="xl98"/>
    <w:basedOn w:val="1"/>
    <w:autoRedefine/>
    <w:qFormat/>
    <w:uiPriority w:val="99"/>
    <w:pPr>
      <w:widowControl/>
      <w:pBdr>
        <w:right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873">
    <w:name w:val="Char Char Char Char Char Char Char Char Char1 Char Char Char Char Char Char Char Char1 Char Char Char"/>
    <w:basedOn w:val="1"/>
    <w:autoRedefine/>
    <w:qFormat/>
    <w:uiPriority w:val="99"/>
    <w:pPr>
      <w:snapToGrid w:val="0"/>
      <w:spacing w:line="360" w:lineRule="auto"/>
      <w:ind w:firstLine="200" w:firstLineChars="200"/>
    </w:pPr>
    <w:rPr>
      <w:rFonts w:eastAsia="仿宋_GB2312"/>
      <w:sz w:val="24"/>
    </w:rPr>
  </w:style>
  <w:style w:type="paragraph" w:customStyle="1" w:styleId="874">
    <w:name w:val="正文2"/>
    <w:autoRedefine/>
    <w:qFormat/>
    <w:uiPriority w:val="99"/>
    <w:pPr>
      <w:widowControl w:val="0"/>
      <w:tabs>
        <w:tab w:val="left" w:pos="567"/>
      </w:tabs>
      <w:adjustRightInd w:val="0"/>
      <w:spacing w:line="360" w:lineRule="atLeast"/>
      <w:jc w:val="both"/>
      <w:textAlignment w:val="baseline"/>
    </w:pPr>
    <w:rPr>
      <w:rFonts w:ascii="Times New Roman" w:hAnsi="Courier" w:eastAsia="PMingLiU" w:cs="Times New Roman"/>
      <w:sz w:val="24"/>
      <w:lang w:val="en-US" w:eastAsia="zh-TW" w:bidi="ar-SA"/>
    </w:rPr>
  </w:style>
  <w:style w:type="paragraph" w:customStyle="1" w:styleId="875">
    <w:name w:val="前言、引言标题"/>
    <w:next w:val="1"/>
    <w:autoRedefine/>
    <w:qFormat/>
    <w:uiPriority w:val="99"/>
    <w:pPr>
      <w:shd w:val="clear" w:color="FFFFFF" w:fill="FFFFFF"/>
      <w:tabs>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876">
    <w:name w:val="正文首行缩进2"/>
    <w:basedOn w:val="1"/>
    <w:autoRedefine/>
    <w:qFormat/>
    <w:uiPriority w:val="99"/>
    <w:pPr>
      <w:snapToGrid w:val="0"/>
      <w:spacing w:line="500" w:lineRule="exact"/>
      <w:ind w:firstLine="480" w:firstLineChars="200"/>
    </w:pPr>
    <w:rPr>
      <w:sz w:val="18"/>
      <w:szCs w:val="20"/>
    </w:rPr>
  </w:style>
  <w:style w:type="paragraph" w:customStyle="1" w:styleId="877">
    <w:name w:val="流程文字"/>
    <w:basedOn w:val="1"/>
    <w:autoRedefine/>
    <w:qFormat/>
    <w:uiPriority w:val="99"/>
    <w:pPr>
      <w:tabs>
        <w:tab w:val="left" w:pos="6480"/>
      </w:tabs>
      <w:topLinePunct/>
      <w:adjustRightInd w:val="0"/>
      <w:snapToGrid w:val="0"/>
      <w:jc w:val="center"/>
    </w:pPr>
    <w:rPr>
      <w:rFonts w:eastAsia="仿宋_GB2312"/>
      <w:szCs w:val="20"/>
    </w:rPr>
  </w:style>
  <w:style w:type="paragraph" w:customStyle="1" w:styleId="878">
    <w:name w:val="xl132"/>
    <w:basedOn w:val="1"/>
    <w:autoRedefine/>
    <w:qFormat/>
    <w:uiPriority w:val="99"/>
    <w:pPr>
      <w:widowControl/>
      <w:pBdr>
        <w:top w:val="single" w:color="auto" w:sz="12" w:space="0"/>
        <w:left w:val="single" w:color="auto" w:sz="4" w:space="0"/>
      </w:pBdr>
      <w:spacing w:before="100" w:beforeAutospacing="1" w:after="100" w:afterAutospacing="1"/>
      <w:jc w:val="left"/>
    </w:pPr>
    <w:rPr>
      <w:rFonts w:ascii="Arial Unicode MS" w:hAnsi="Arial Unicode MS"/>
      <w:kern w:val="0"/>
      <w:sz w:val="16"/>
      <w:szCs w:val="16"/>
    </w:rPr>
  </w:style>
  <w:style w:type="paragraph" w:customStyle="1" w:styleId="879">
    <w:name w:val="xl47"/>
    <w:basedOn w:val="1"/>
    <w:autoRedefine/>
    <w:qFormat/>
    <w:uiPriority w:val="99"/>
    <w:pPr>
      <w:widowControl/>
      <w:spacing w:before="100" w:beforeAutospacing="1" w:after="100" w:afterAutospacing="1"/>
      <w:jc w:val="left"/>
    </w:pPr>
    <w:rPr>
      <w:rFonts w:ascii="Arial" w:hAnsi="Arial" w:cs="Arial"/>
      <w:b/>
      <w:bCs/>
      <w:i/>
      <w:iCs/>
      <w:kern w:val="0"/>
      <w:sz w:val="22"/>
      <w:szCs w:val="22"/>
    </w:rPr>
  </w:style>
  <w:style w:type="paragraph" w:customStyle="1" w:styleId="880">
    <w:name w:val="xl159"/>
    <w:basedOn w:val="1"/>
    <w:autoRedefine/>
    <w:qFormat/>
    <w:uiPriority w:val="99"/>
    <w:pPr>
      <w:widowControl/>
      <w:pBdr>
        <w:right w:val="single" w:color="auto" w:sz="4" w:space="0"/>
      </w:pBdr>
      <w:spacing w:before="100" w:beforeAutospacing="1" w:after="100" w:afterAutospacing="1"/>
      <w:jc w:val="left"/>
    </w:pPr>
    <w:rPr>
      <w:rFonts w:ascii="Arial Unicode MS" w:hAnsi="Arial Unicode MS"/>
      <w:kern w:val="0"/>
    </w:rPr>
  </w:style>
  <w:style w:type="paragraph" w:customStyle="1" w:styleId="881">
    <w:name w:val="xl105"/>
    <w:basedOn w:val="1"/>
    <w:autoRedefine/>
    <w:qFormat/>
    <w:uiPriority w:val="99"/>
    <w:pPr>
      <w:widowControl/>
      <w:spacing w:before="100" w:beforeAutospacing="1" w:after="100" w:afterAutospacing="1"/>
      <w:jc w:val="center"/>
      <w:textAlignment w:val="center"/>
    </w:pPr>
    <w:rPr>
      <w:rFonts w:ascii="Arial Unicode MS" w:hAnsi="Arial Unicode MS"/>
      <w:kern w:val="0"/>
    </w:rPr>
  </w:style>
  <w:style w:type="paragraph" w:customStyle="1" w:styleId="882">
    <w:name w:val="三级标题 大王 20100426"/>
    <w:basedOn w:val="1"/>
    <w:autoRedefine/>
    <w:qFormat/>
    <w:uiPriority w:val="99"/>
    <w:pPr>
      <w:numPr>
        <w:ilvl w:val="3"/>
        <w:numId w:val="4"/>
      </w:numPr>
      <w:spacing w:beforeLines="20" w:afterLines="50"/>
      <w:ind w:left="0" w:firstLine="0"/>
      <w:outlineLvl w:val="2"/>
    </w:pPr>
    <w:rPr>
      <w:rFonts w:eastAsia="黑体"/>
      <w:sz w:val="28"/>
      <w:szCs w:val="28"/>
    </w:rPr>
  </w:style>
  <w:style w:type="paragraph" w:customStyle="1" w:styleId="883">
    <w:name w:val="xl169"/>
    <w:basedOn w:val="1"/>
    <w:autoRedefine/>
    <w:qFormat/>
    <w:uiPriority w:val="99"/>
    <w:pPr>
      <w:widowControl/>
      <w:pBdr>
        <w:right w:val="single" w:color="auto" w:sz="4" w:space="0"/>
      </w:pBdr>
      <w:spacing w:before="100" w:beforeAutospacing="1" w:after="100" w:afterAutospacing="1"/>
      <w:jc w:val="center"/>
      <w:textAlignment w:val="center"/>
    </w:pPr>
    <w:rPr>
      <w:rFonts w:ascii="Arial Unicode MS" w:hAnsi="Arial Unicode MS"/>
      <w:kern w:val="0"/>
    </w:rPr>
  </w:style>
  <w:style w:type="paragraph" w:customStyle="1" w:styleId="884">
    <w:name w:val="扉页 黑体-"/>
    <w:basedOn w:val="1"/>
    <w:autoRedefine/>
    <w:qFormat/>
    <w:uiPriority w:val="99"/>
    <w:pPr>
      <w:spacing w:before="240" w:after="240" w:line="480" w:lineRule="exact"/>
      <w:ind w:firstLine="600" w:firstLineChars="200"/>
      <w:jc w:val="left"/>
    </w:pPr>
    <w:rPr>
      <w:rFonts w:eastAsia="黑体"/>
      <w:sz w:val="30"/>
      <w:szCs w:val="20"/>
    </w:rPr>
  </w:style>
  <w:style w:type="paragraph" w:customStyle="1" w:styleId="885">
    <w:name w:val="xl106"/>
    <w:basedOn w:val="1"/>
    <w:autoRedefine/>
    <w:qFormat/>
    <w:uiPriority w:val="99"/>
    <w:pPr>
      <w:widowControl/>
      <w:pBdr>
        <w:left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886">
    <w:name w:val="表蕊"/>
    <w:basedOn w:val="1"/>
    <w:autoRedefine/>
    <w:qFormat/>
    <w:uiPriority w:val="99"/>
    <w:pPr>
      <w:adjustRightInd w:val="0"/>
      <w:spacing w:line="280" w:lineRule="atLeast"/>
      <w:jc w:val="left"/>
      <w:textAlignment w:val="baseline"/>
    </w:pPr>
    <w:rPr>
      <w:rFonts w:eastAsia="楷体_GB2312"/>
      <w:color w:val="000000"/>
      <w:spacing w:val="-10"/>
      <w:kern w:val="0"/>
      <w:szCs w:val="21"/>
    </w:rPr>
  </w:style>
  <w:style w:type="paragraph" w:customStyle="1" w:styleId="887">
    <w:name w:val="1表格"/>
    <w:basedOn w:val="1"/>
    <w:autoRedefine/>
    <w:qFormat/>
    <w:uiPriority w:val="99"/>
    <w:pPr>
      <w:adjustRightInd w:val="0"/>
      <w:snapToGrid w:val="0"/>
      <w:jc w:val="center"/>
      <w:textAlignment w:val="baseline"/>
    </w:pPr>
    <w:rPr>
      <w:rFonts w:ascii="宋体" w:hAnsi="宋体" w:cs="宋体"/>
      <w:spacing w:val="4"/>
      <w:sz w:val="24"/>
    </w:rPr>
  </w:style>
  <w:style w:type="paragraph" w:customStyle="1" w:styleId="888">
    <w:name w:val="xl30"/>
    <w:basedOn w:val="1"/>
    <w:autoRedefine/>
    <w:qFormat/>
    <w:uiPriority w:val="99"/>
    <w:pPr>
      <w:widowControl/>
      <w:pBdr>
        <w:bottom w:val="single" w:color="auto" w:sz="4" w:space="0"/>
        <w:right w:val="single" w:color="auto" w:sz="4" w:space="0"/>
      </w:pBdr>
      <w:spacing w:before="100" w:beforeAutospacing="1" w:after="100" w:afterAutospacing="1"/>
    </w:pPr>
    <w:rPr>
      <w:rFonts w:ascii="宋体" w:hAnsi="宋体"/>
      <w:kern w:val="0"/>
      <w:szCs w:val="21"/>
    </w:rPr>
  </w:style>
  <w:style w:type="paragraph" w:customStyle="1" w:styleId="889">
    <w:name w:val="xl149"/>
    <w:basedOn w:val="1"/>
    <w:autoRedefine/>
    <w:qFormat/>
    <w:uiPriority w:val="99"/>
    <w:pPr>
      <w:widowControl/>
      <w:pBdr>
        <w:bottom w:val="single" w:color="auto" w:sz="8" w:space="0"/>
        <w:right w:val="single" w:color="auto" w:sz="4" w:space="0"/>
      </w:pBdr>
      <w:spacing w:before="100" w:beforeAutospacing="1" w:after="100" w:afterAutospacing="1"/>
      <w:jc w:val="left"/>
    </w:pPr>
    <w:rPr>
      <w:rFonts w:ascii="Arial Unicode MS" w:hAnsi="Arial Unicode MS"/>
      <w:kern w:val="0"/>
    </w:rPr>
  </w:style>
  <w:style w:type="paragraph" w:customStyle="1" w:styleId="890">
    <w:name w:val="4号两端对齐"/>
    <w:autoRedefine/>
    <w:qFormat/>
    <w:uiPriority w:val="99"/>
    <w:pPr>
      <w:widowControl w:val="0"/>
      <w:adjustRightInd w:val="0"/>
      <w:snapToGrid w:val="0"/>
      <w:jc w:val="both"/>
    </w:pPr>
    <w:rPr>
      <w:rFonts w:ascii="宋体" w:hAnsi="Times New Roman" w:eastAsia="宋体" w:cs="Times New Roman"/>
      <w:sz w:val="28"/>
      <w:lang w:val="en-US" w:eastAsia="zh-CN" w:bidi="ar-SA"/>
    </w:rPr>
  </w:style>
  <w:style w:type="paragraph" w:customStyle="1" w:styleId="891">
    <w:name w:val="综述"/>
    <w:autoRedefine/>
    <w:qFormat/>
    <w:uiPriority w:val="99"/>
    <w:pPr>
      <w:spacing w:beforeLines="50" w:line="440" w:lineRule="exact"/>
      <w:ind w:firstLine="200" w:firstLineChars="200"/>
    </w:pPr>
    <w:rPr>
      <w:rFonts w:ascii="Times New Roman" w:hAnsi="Times New Roman" w:eastAsia="宋体" w:cs="MS Mincho"/>
      <w:b/>
      <w:kern w:val="2"/>
      <w:sz w:val="24"/>
      <w:szCs w:val="24"/>
      <w:lang w:val="en-US" w:eastAsia="zh-CN" w:bidi="ar-SA"/>
    </w:rPr>
  </w:style>
  <w:style w:type="paragraph" w:customStyle="1" w:styleId="892">
    <w:name w:val="xl134"/>
    <w:basedOn w:val="1"/>
    <w:autoRedefine/>
    <w:qFormat/>
    <w:uiPriority w:val="99"/>
    <w:pPr>
      <w:widowControl/>
      <w:spacing w:before="100" w:beforeAutospacing="1" w:after="100" w:afterAutospacing="1"/>
      <w:jc w:val="left"/>
    </w:pPr>
    <w:rPr>
      <w:rFonts w:ascii="Arial Unicode MS" w:hAnsi="Arial Unicode MS"/>
      <w:kern w:val="0"/>
      <w:sz w:val="20"/>
      <w:szCs w:val="20"/>
    </w:rPr>
  </w:style>
  <w:style w:type="paragraph" w:customStyle="1" w:styleId="893">
    <w:name w:val="xl151"/>
    <w:basedOn w:val="1"/>
    <w:autoRedefine/>
    <w:qFormat/>
    <w:uiPriority w:val="99"/>
    <w:pPr>
      <w:widowControl/>
      <w:spacing w:before="100" w:beforeAutospacing="1" w:after="100" w:afterAutospacing="1"/>
      <w:jc w:val="left"/>
    </w:pPr>
    <w:rPr>
      <w:kern w:val="0"/>
      <w:sz w:val="16"/>
      <w:szCs w:val="16"/>
    </w:rPr>
  </w:style>
  <w:style w:type="paragraph" w:customStyle="1" w:styleId="894">
    <w:name w:val="甲乙酮标题2"/>
    <w:basedOn w:val="4"/>
    <w:autoRedefine/>
    <w:qFormat/>
    <w:uiPriority w:val="99"/>
    <w:pPr>
      <w:tabs>
        <w:tab w:val="left" w:pos="840"/>
      </w:tabs>
      <w:ind w:left="840"/>
    </w:pPr>
    <w:rPr>
      <w:rFonts w:ascii="Times New Roman" w:hAnsi="Times New Roman" w:eastAsia="宋体"/>
      <w:kern w:val="0"/>
    </w:rPr>
  </w:style>
  <w:style w:type="paragraph" w:customStyle="1" w:styleId="895">
    <w:name w:val="样式38"/>
    <w:basedOn w:val="3"/>
    <w:autoRedefine/>
    <w:qFormat/>
    <w:uiPriority w:val="99"/>
    <w:pPr>
      <w:tabs>
        <w:tab w:val="left" w:pos="720"/>
      </w:tabs>
      <w:overflowPunct/>
      <w:snapToGrid/>
      <w:spacing w:beforeLines="100" w:afterLines="100" w:line="360" w:lineRule="auto"/>
      <w:ind w:left="0" w:firstLine="0"/>
      <w:jc w:val="center"/>
    </w:pPr>
    <w:rPr>
      <w:rFonts w:ascii="黑体" w:hAnsi="Calibri"/>
      <w:b w:val="0"/>
      <w:bCs w:val="0"/>
      <w:color w:val="auto"/>
      <w:kern w:val="2"/>
      <w:sz w:val="32"/>
      <w:szCs w:val="32"/>
    </w:rPr>
  </w:style>
  <w:style w:type="paragraph" w:customStyle="1" w:styleId="896">
    <w:name w:val="样式28"/>
    <w:basedOn w:val="897"/>
    <w:autoRedefine/>
    <w:qFormat/>
    <w:uiPriority w:val="99"/>
    <w:pPr>
      <w:spacing w:beforeLines="50" w:afterLines="50"/>
      <w:ind w:firstLine="0" w:firstLineChars="0"/>
      <w:jc w:val="center"/>
    </w:pPr>
    <w:rPr>
      <w:rFonts w:ascii="宋体" w:eastAsia="宋体"/>
      <w:b/>
      <w:color w:val="000000"/>
      <w:szCs w:val="28"/>
    </w:rPr>
  </w:style>
  <w:style w:type="paragraph" w:customStyle="1" w:styleId="897">
    <w:name w:val="样式17"/>
    <w:basedOn w:val="1"/>
    <w:autoRedefine/>
    <w:qFormat/>
    <w:uiPriority w:val="99"/>
    <w:pPr>
      <w:ind w:firstLine="560" w:firstLineChars="200"/>
    </w:pPr>
    <w:rPr>
      <w:rFonts w:ascii="黑体" w:hAnsi="宋体" w:eastAsia="黑体"/>
      <w:sz w:val="28"/>
      <w:szCs w:val="20"/>
    </w:rPr>
  </w:style>
  <w:style w:type="paragraph" w:customStyle="1" w:styleId="898">
    <w:name w:val="东明_表格"/>
    <w:basedOn w:val="899"/>
    <w:autoRedefine/>
    <w:qFormat/>
    <w:uiPriority w:val="99"/>
    <w:pPr>
      <w:spacing w:before="100" w:beforeAutospacing="1" w:after="100" w:afterAutospacing="1" w:line="240" w:lineRule="auto"/>
    </w:pPr>
    <w:rPr>
      <w:rFonts w:ascii="黑体" w:hAnsi="黑体" w:eastAsia="黑体"/>
      <w:szCs w:val="24"/>
    </w:rPr>
  </w:style>
  <w:style w:type="paragraph" w:customStyle="1" w:styleId="899">
    <w:name w:val="表格正文"/>
    <w:basedOn w:val="1"/>
    <w:autoRedefine/>
    <w:qFormat/>
    <w:uiPriority w:val="99"/>
    <w:pPr>
      <w:spacing w:line="360" w:lineRule="exact"/>
      <w:jc w:val="center"/>
    </w:pPr>
    <w:rPr>
      <w:szCs w:val="20"/>
    </w:rPr>
  </w:style>
  <w:style w:type="paragraph" w:customStyle="1" w:styleId="900">
    <w:name w:val="文本居中"/>
    <w:basedOn w:val="1"/>
    <w:autoRedefine/>
    <w:qFormat/>
    <w:uiPriority w:val="99"/>
    <w:pPr>
      <w:adjustRightInd w:val="0"/>
      <w:spacing w:line="360" w:lineRule="auto"/>
      <w:jc w:val="center"/>
    </w:pPr>
    <w:rPr>
      <w:sz w:val="28"/>
    </w:rPr>
  </w:style>
  <w:style w:type="paragraph" w:customStyle="1" w:styleId="901">
    <w:name w:val="Char Char Char Char Char Char Char Char Char Char1 Char Char Char Char Char Char"/>
    <w:basedOn w:val="1"/>
    <w:autoRedefine/>
    <w:qFormat/>
    <w:uiPriority w:val="99"/>
    <w:pPr>
      <w:widowControl/>
      <w:contextualSpacing/>
      <w:jc w:val="left"/>
    </w:pPr>
    <w:rPr>
      <w:rFonts w:cs="宋体"/>
      <w:kern w:val="0"/>
    </w:rPr>
  </w:style>
  <w:style w:type="paragraph" w:customStyle="1" w:styleId="902">
    <w:name w:val="xl103"/>
    <w:basedOn w:val="1"/>
    <w:autoRedefine/>
    <w:qFormat/>
    <w:uiPriority w:val="99"/>
    <w:pPr>
      <w:widowControl/>
      <w:pBdr>
        <w:left w:val="single" w:color="auto" w:sz="4" w:space="0"/>
        <w:right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03">
    <w:name w:val="yz"/>
    <w:basedOn w:val="32"/>
    <w:autoRedefine/>
    <w:qFormat/>
    <w:uiPriority w:val="99"/>
    <w:pPr>
      <w:widowControl w:val="0"/>
      <w:tabs>
        <w:tab w:val="left" w:pos="900"/>
      </w:tabs>
      <w:adjustRightInd w:val="0"/>
      <w:snapToGrid/>
      <w:spacing w:before="0" w:after="0" w:line="240" w:lineRule="auto"/>
      <w:ind w:right="0" w:firstLine="200" w:firstLineChars="200"/>
      <w:textAlignment w:val="baseline"/>
    </w:pPr>
    <w:rPr>
      <w:rFonts w:ascii="宋体" w:hAnsi="宋体"/>
      <w:sz w:val="24"/>
      <w:szCs w:val="24"/>
    </w:rPr>
  </w:style>
  <w:style w:type="paragraph" w:customStyle="1" w:styleId="904">
    <w:name w:val="标准符号 行距1倍"/>
    <w:basedOn w:val="1"/>
    <w:autoRedefine/>
    <w:qFormat/>
    <w:uiPriority w:val="99"/>
    <w:pPr>
      <w:adjustRightInd w:val="0"/>
      <w:snapToGrid w:val="0"/>
      <w:spacing w:beforeLines="50"/>
      <w:jc w:val="center"/>
      <w:textAlignment w:val="center"/>
    </w:pPr>
    <w:rPr>
      <w:rFonts w:ascii="黑体" w:eastAsia="黑体" w:cs="宋体"/>
      <w:color w:val="000000"/>
      <w:kern w:val="0"/>
      <w:sz w:val="24"/>
    </w:rPr>
  </w:style>
  <w:style w:type="paragraph" w:customStyle="1" w:styleId="905">
    <w:name w:val="Char1 Char Char Char"/>
    <w:basedOn w:val="1"/>
    <w:autoRedefine/>
    <w:qFormat/>
    <w:uiPriority w:val="99"/>
    <w:pPr>
      <w:spacing w:line="360" w:lineRule="auto"/>
      <w:ind w:firstLine="200" w:firstLineChars="200"/>
    </w:pPr>
    <w:rPr>
      <w:rFonts w:ascii="宋体" w:hAnsi="宋体" w:cs="宋体"/>
      <w:sz w:val="24"/>
    </w:rPr>
  </w:style>
  <w:style w:type="paragraph" w:customStyle="1" w:styleId="906">
    <w:name w:val="小节标题"/>
    <w:basedOn w:val="1"/>
    <w:autoRedefine/>
    <w:qFormat/>
    <w:uiPriority w:val="99"/>
    <w:pPr>
      <w:widowControl/>
      <w:spacing w:before="175" w:after="102" w:line="351" w:lineRule="atLeast"/>
      <w:contextualSpacing/>
      <w:textAlignment w:val="baseline"/>
    </w:pPr>
    <w:rPr>
      <w:rFonts w:eastAsia="黑体"/>
      <w:color w:val="000000"/>
      <w:kern w:val="0"/>
      <w:szCs w:val="20"/>
      <w:u w:color="000000"/>
    </w:rPr>
  </w:style>
  <w:style w:type="paragraph" w:customStyle="1" w:styleId="907">
    <w:name w:val="正文 + 宋体"/>
    <w:basedOn w:val="1"/>
    <w:autoRedefine/>
    <w:qFormat/>
    <w:uiPriority w:val="99"/>
    <w:pPr>
      <w:tabs>
        <w:tab w:val="left" w:pos="6120"/>
      </w:tabs>
      <w:adjustRightInd w:val="0"/>
      <w:spacing w:line="500" w:lineRule="exact"/>
      <w:ind w:firstLine="420" w:firstLineChars="150"/>
      <w:jc w:val="left"/>
    </w:pPr>
    <w:rPr>
      <w:rFonts w:ascii="宋体" w:hAnsi="宋体"/>
      <w:sz w:val="28"/>
      <w:szCs w:val="28"/>
    </w:rPr>
  </w:style>
  <w:style w:type="paragraph" w:customStyle="1" w:styleId="908">
    <w:name w:val="xl165"/>
    <w:basedOn w:val="1"/>
    <w:autoRedefine/>
    <w:qFormat/>
    <w:uiPriority w:val="99"/>
    <w:pPr>
      <w:widowControl/>
      <w:pBdr>
        <w:top w:val="single" w:color="auto" w:sz="12" w:space="0"/>
        <w:right w:val="single" w:color="auto" w:sz="4" w:space="0"/>
      </w:pBdr>
      <w:spacing w:before="100" w:beforeAutospacing="1" w:after="100" w:afterAutospacing="1"/>
      <w:jc w:val="center"/>
      <w:textAlignment w:val="center"/>
    </w:pPr>
    <w:rPr>
      <w:rFonts w:ascii="Arial Unicode MS" w:hAnsi="Arial Unicode MS"/>
      <w:kern w:val="0"/>
    </w:rPr>
  </w:style>
  <w:style w:type="paragraph" w:customStyle="1" w:styleId="909">
    <w:name w:val="表字1"/>
    <w:basedOn w:val="1"/>
    <w:autoRedefine/>
    <w:qFormat/>
    <w:uiPriority w:val="99"/>
    <w:pPr>
      <w:adjustRightInd w:val="0"/>
      <w:spacing w:line="360" w:lineRule="auto"/>
      <w:jc w:val="center"/>
      <w:textAlignment w:val="baseline"/>
    </w:pPr>
    <w:rPr>
      <w:rFonts w:ascii="宋体"/>
      <w:kern w:val="0"/>
      <w:szCs w:val="20"/>
    </w:rPr>
  </w:style>
  <w:style w:type="paragraph" w:customStyle="1" w:styleId="910">
    <w:name w:val="Char Char Char Char Char Char Char Char Char Char Char Char1 Char Char Char Char1"/>
    <w:basedOn w:val="1"/>
    <w:autoRedefine/>
    <w:qFormat/>
    <w:uiPriority w:val="99"/>
    <w:pPr>
      <w:widowControl/>
      <w:contextualSpacing/>
      <w:jc w:val="left"/>
    </w:pPr>
    <w:rPr>
      <w:rFonts w:cs="宋体"/>
      <w:kern w:val="0"/>
    </w:rPr>
  </w:style>
  <w:style w:type="paragraph" w:customStyle="1" w:styleId="911">
    <w:name w:val="1 Char Char Char Char Char Char Char"/>
    <w:basedOn w:val="1"/>
    <w:autoRedefine/>
    <w:qFormat/>
    <w:uiPriority w:val="99"/>
    <w:pPr>
      <w:spacing w:line="360" w:lineRule="auto"/>
      <w:ind w:firstLine="200" w:firstLineChars="200"/>
    </w:pPr>
    <w:rPr>
      <w:rFonts w:ascii="宋体" w:hAnsi="宋体" w:cs="宋体"/>
      <w:sz w:val="24"/>
    </w:rPr>
  </w:style>
  <w:style w:type="paragraph" w:customStyle="1" w:styleId="912">
    <w:name w:val="样式 正文001 + 首行缩进:  2 字符1"/>
    <w:basedOn w:val="1"/>
    <w:autoRedefine/>
    <w:qFormat/>
    <w:uiPriority w:val="99"/>
    <w:pPr>
      <w:spacing w:before="60" w:line="460" w:lineRule="exact"/>
      <w:ind w:firstLine="480" w:firstLineChars="200"/>
    </w:pPr>
    <w:rPr>
      <w:sz w:val="24"/>
      <w:szCs w:val="20"/>
    </w:rPr>
  </w:style>
  <w:style w:type="paragraph" w:customStyle="1" w:styleId="913">
    <w:name w:val="样式 标题 1章标题 11标题 1H1一、 + 行距: 1.5 倍行距"/>
    <w:basedOn w:val="3"/>
    <w:autoRedefine/>
    <w:qFormat/>
    <w:uiPriority w:val="99"/>
    <w:pPr>
      <w:keepLines/>
      <w:overflowPunct/>
      <w:spacing w:before="340" w:after="330" w:line="360" w:lineRule="auto"/>
      <w:ind w:left="3845" w:hanging="3845"/>
      <w:jc w:val="center"/>
    </w:pPr>
    <w:rPr>
      <w:rFonts w:cs="宋体"/>
      <w:color w:val="auto"/>
      <w:sz w:val="44"/>
      <w:szCs w:val="20"/>
    </w:rPr>
  </w:style>
  <w:style w:type="paragraph" w:customStyle="1" w:styleId="914">
    <w:name w:val="工艺正文"/>
    <w:basedOn w:val="1"/>
    <w:autoRedefine/>
    <w:qFormat/>
    <w:uiPriority w:val="99"/>
    <w:pPr>
      <w:adjustRightInd w:val="0"/>
      <w:snapToGrid w:val="0"/>
      <w:spacing w:line="360" w:lineRule="auto"/>
      <w:ind w:firstLine="580"/>
    </w:pPr>
    <w:rPr>
      <w:rFonts w:ascii="宋体"/>
      <w:sz w:val="28"/>
      <w:szCs w:val="20"/>
    </w:rPr>
  </w:style>
  <w:style w:type="paragraph" w:customStyle="1" w:styleId="915">
    <w:name w:val="xl175"/>
    <w:basedOn w:val="1"/>
    <w:autoRedefine/>
    <w:qFormat/>
    <w:uiPriority w:val="99"/>
    <w:pPr>
      <w:widowControl/>
      <w:pBdr>
        <w:left w:val="single" w:color="auto" w:sz="12" w:space="0"/>
        <w:right w:val="single" w:color="auto" w:sz="4" w:space="0"/>
      </w:pBdr>
      <w:spacing w:before="100" w:beforeAutospacing="1" w:after="100" w:afterAutospacing="1"/>
      <w:jc w:val="left"/>
    </w:pPr>
    <w:rPr>
      <w:rFonts w:ascii="Arial Unicode MS" w:hAnsi="Arial Unicode MS"/>
      <w:kern w:val="0"/>
    </w:rPr>
  </w:style>
  <w:style w:type="paragraph" w:customStyle="1" w:styleId="916">
    <w:name w:val="xl140"/>
    <w:basedOn w:val="1"/>
    <w:autoRedefine/>
    <w:qFormat/>
    <w:uiPriority w:val="99"/>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917">
    <w:name w:val="z-窗体底端1"/>
    <w:basedOn w:val="1"/>
    <w:next w:val="1"/>
    <w:autoRedefine/>
    <w:qFormat/>
    <w:uiPriority w:val="99"/>
    <w:pPr>
      <w:widowControl/>
      <w:pBdr>
        <w:top w:val="single" w:color="auto" w:sz="6" w:space="1"/>
      </w:pBdr>
      <w:jc w:val="center"/>
    </w:pPr>
    <w:rPr>
      <w:rFonts w:ascii="Arial" w:hAnsi="Arial" w:cs="Arial"/>
      <w:vanish/>
      <w:kern w:val="0"/>
      <w:sz w:val="16"/>
      <w:szCs w:val="16"/>
    </w:rPr>
  </w:style>
  <w:style w:type="paragraph" w:customStyle="1" w:styleId="918">
    <w:name w:val="正文 黑体 Char"/>
    <w:basedOn w:val="715"/>
    <w:next w:val="715"/>
    <w:autoRedefine/>
    <w:qFormat/>
    <w:uiPriority w:val="99"/>
    <w:rPr>
      <w:rFonts w:eastAsia="黑体"/>
    </w:rPr>
  </w:style>
  <w:style w:type="paragraph" w:customStyle="1" w:styleId="919">
    <w:name w:val="表中"/>
    <w:autoRedefine/>
    <w:qFormat/>
    <w:uiPriority w:val="99"/>
    <w:pPr>
      <w:adjustRightInd w:val="0"/>
      <w:snapToGrid w:val="0"/>
      <w:jc w:val="right"/>
    </w:pPr>
    <w:rPr>
      <w:rFonts w:ascii="Times New Roman" w:hAnsi="Times New Roman" w:eastAsia="宋体" w:cs="Times New Roman"/>
      <w:kern w:val="44"/>
      <w:sz w:val="18"/>
      <w:lang w:val="en-US" w:eastAsia="zh-CN" w:bidi="ar-SA"/>
    </w:rPr>
  </w:style>
  <w:style w:type="paragraph" w:customStyle="1" w:styleId="920">
    <w:name w:val="Char Char1"/>
    <w:basedOn w:val="1"/>
    <w:autoRedefine/>
    <w:qFormat/>
    <w:uiPriority w:val="99"/>
    <w:pPr>
      <w:spacing w:line="360" w:lineRule="auto"/>
      <w:ind w:firstLine="200" w:firstLineChars="200"/>
      <w:jc w:val="left"/>
    </w:pPr>
    <w:rPr>
      <w:rFonts w:ascii="宋体" w:hAnsi="宋体" w:cs="宋体"/>
      <w:sz w:val="24"/>
    </w:rPr>
  </w:style>
  <w:style w:type="paragraph" w:customStyle="1" w:styleId="921">
    <w:name w:val="xl79"/>
    <w:basedOn w:val="1"/>
    <w:autoRedefine/>
    <w:qFormat/>
    <w:uiPriority w:val="99"/>
    <w:pPr>
      <w:widowControl/>
      <w:pBdr>
        <w:bottom w:val="single" w:color="auto" w:sz="12" w:space="0"/>
      </w:pBdr>
      <w:spacing w:before="100" w:beforeAutospacing="1" w:after="100" w:afterAutospacing="1"/>
      <w:jc w:val="left"/>
      <w:textAlignment w:val="center"/>
    </w:pPr>
    <w:rPr>
      <w:kern w:val="0"/>
      <w:sz w:val="12"/>
      <w:szCs w:val="12"/>
    </w:rPr>
  </w:style>
  <w:style w:type="paragraph" w:customStyle="1" w:styleId="922">
    <w:name w:val="xl145"/>
    <w:basedOn w:val="1"/>
    <w:autoRedefine/>
    <w:qFormat/>
    <w:uiPriority w:val="99"/>
    <w:pPr>
      <w:widowControl/>
      <w:spacing w:before="100" w:beforeAutospacing="1" w:after="100" w:afterAutospacing="1"/>
      <w:jc w:val="left"/>
    </w:pPr>
    <w:rPr>
      <w:rFonts w:ascii="Arial Unicode MS" w:hAnsi="Arial Unicode MS"/>
      <w:kern w:val="0"/>
      <w:sz w:val="16"/>
      <w:szCs w:val="16"/>
    </w:rPr>
  </w:style>
  <w:style w:type="paragraph" w:customStyle="1" w:styleId="923">
    <w:name w:val="xl163"/>
    <w:basedOn w:val="1"/>
    <w:autoRedefine/>
    <w:qFormat/>
    <w:uiPriority w:val="99"/>
    <w:pPr>
      <w:widowControl/>
      <w:pBdr>
        <w:left w:val="single" w:color="auto" w:sz="12" w:space="0"/>
      </w:pBdr>
      <w:spacing w:before="100" w:beforeAutospacing="1" w:after="100" w:afterAutospacing="1"/>
      <w:jc w:val="center"/>
      <w:textAlignment w:val="center"/>
    </w:pPr>
    <w:rPr>
      <w:rFonts w:ascii="Arial Unicode MS" w:hAnsi="Arial Unicode MS"/>
      <w:kern w:val="0"/>
    </w:rPr>
  </w:style>
  <w:style w:type="paragraph" w:customStyle="1" w:styleId="924">
    <w:name w:val="图号"/>
    <w:basedOn w:val="1"/>
    <w:autoRedefine/>
    <w:qFormat/>
    <w:uiPriority w:val="99"/>
    <w:pPr>
      <w:tabs>
        <w:tab w:val="left" w:pos="8160"/>
      </w:tabs>
      <w:adjustRightInd w:val="0"/>
      <w:spacing w:before="120" w:after="120" w:line="320" w:lineRule="exact"/>
      <w:jc w:val="center"/>
      <w:textAlignment w:val="baseline"/>
    </w:pPr>
    <w:rPr>
      <w:rFonts w:ascii="黑体" w:hAnsi="宋体" w:eastAsia="黑体"/>
      <w:spacing w:val="6"/>
      <w:sz w:val="24"/>
    </w:rPr>
  </w:style>
  <w:style w:type="paragraph" w:customStyle="1" w:styleId="925">
    <w:name w:val="样式 标题 2节H2（一）Underrubrik1prop2Heading 2 HiddenHeading 2 C..."/>
    <w:basedOn w:val="4"/>
    <w:autoRedefine/>
    <w:qFormat/>
    <w:uiPriority w:val="99"/>
    <w:pPr>
      <w:tabs>
        <w:tab w:val="left" w:pos="840"/>
      </w:tabs>
      <w:spacing w:before="240" w:after="240" w:line="480" w:lineRule="exact"/>
      <w:ind w:left="840"/>
    </w:pPr>
    <w:rPr>
      <w:rFonts w:cs="宋体"/>
      <w:b w:val="0"/>
      <w:kern w:val="0"/>
      <w:szCs w:val="20"/>
    </w:rPr>
  </w:style>
  <w:style w:type="paragraph" w:customStyle="1" w:styleId="926">
    <w:name w:val="unnamed1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927">
    <w:name w:val="Char2 Char Char Char Char Char Char Char Char Char"/>
    <w:basedOn w:val="1"/>
    <w:autoRedefine/>
    <w:qFormat/>
    <w:uiPriority w:val="99"/>
    <w:rPr>
      <w:sz w:val="24"/>
    </w:rPr>
  </w:style>
  <w:style w:type="paragraph" w:customStyle="1" w:styleId="928">
    <w:name w:val="工业统一题目"/>
    <w:basedOn w:val="1"/>
    <w:autoRedefine/>
    <w:qFormat/>
    <w:uiPriority w:val="99"/>
    <w:pPr>
      <w:adjustRightInd w:val="0"/>
      <w:snapToGrid w:val="0"/>
      <w:spacing w:line="360" w:lineRule="auto"/>
      <w:jc w:val="left"/>
    </w:pPr>
    <w:rPr>
      <w:rFonts w:ascii="宋体"/>
      <w:b/>
      <w:sz w:val="28"/>
      <w:szCs w:val="20"/>
    </w:rPr>
  </w:style>
  <w:style w:type="paragraph" w:customStyle="1" w:styleId="929">
    <w:name w:val="Table Paragraph"/>
    <w:basedOn w:val="1"/>
    <w:autoRedefine/>
    <w:qFormat/>
    <w:uiPriority w:val="0"/>
    <w:pPr>
      <w:widowControl/>
      <w:adjustRightInd w:val="0"/>
      <w:snapToGrid w:val="0"/>
      <w:spacing w:after="200"/>
      <w:jc w:val="left"/>
    </w:pPr>
    <w:rPr>
      <w:rFonts w:ascii="Tahoma" w:hAnsi="Tahoma" w:eastAsia="微软雅黑"/>
      <w:kern w:val="0"/>
      <w:sz w:val="22"/>
      <w:szCs w:val="22"/>
    </w:rPr>
  </w:style>
  <w:style w:type="paragraph" w:customStyle="1" w:styleId="930">
    <w:name w:val="款"/>
    <w:basedOn w:val="1"/>
    <w:autoRedefine/>
    <w:qFormat/>
    <w:uiPriority w:val="99"/>
    <w:pPr>
      <w:spacing w:line="360" w:lineRule="auto"/>
    </w:pPr>
    <w:rPr>
      <w:szCs w:val="20"/>
    </w:rPr>
  </w:style>
  <w:style w:type="paragraph" w:customStyle="1" w:styleId="931">
    <w:name w:val="备注"/>
    <w:basedOn w:val="474"/>
    <w:autoRedefine/>
    <w:qFormat/>
    <w:uiPriority w:val="99"/>
    <w:pPr>
      <w:spacing w:line="360" w:lineRule="exact"/>
    </w:pPr>
    <w:rPr>
      <w:sz w:val="21"/>
    </w:rPr>
  </w:style>
  <w:style w:type="paragraph" w:customStyle="1" w:styleId="932">
    <w:name w:val="font0"/>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933">
    <w:name w:val="+正文 Char Char"/>
    <w:basedOn w:val="1"/>
    <w:autoRedefine/>
    <w:qFormat/>
    <w:uiPriority w:val="99"/>
    <w:pPr>
      <w:spacing w:line="360" w:lineRule="auto"/>
      <w:ind w:firstLine="200" w:firstLineChars="200"/>
    </w:pPr>
    <w:rPr>
      <w:sz w:val="24"/>
      <w:szCs w:val="28"/>
    </w:rPr>
  </w:style>
  <w:style w:type="paragraph" w:customStyle="1" w:styleId="934">
    <w:name w:val="font13"/>
    <w:basedOn w:val="1"/>
    <w:autoRedefine/>
    <w:qFormat/>
    <w:uiPriority w:val="99"/>
    <w:pPr>
      <w:widowControl/>
      <w:spacing w:before="100" w:beforeAutospacing="1" w:after="100" w:afterAutospacing="1"/>
      <w:jc w:val="left"/>
    </w:pPr>
    <w:rPr>
      <w:rFonts w:ascii="Arial" w:hAnsi="Arial" w:cs="Arial"/>
      <w:b/>
      <w:bCs/>
      <w:i/>
      <w:iCs/>
      <w:kern w:val="0"/>
      <w:sz w:val="22"/>
      <w:szCs w:val="22"/>
    </w:rPr>
  </w:style>
  <w:style w:type="paragraph" w:customStyle="1" w:styleId="935">
    <w:name w:val="xl172"/>
    <w:basedOn w:val="1"/>
    <w:autoRedefine/>
    <w:qFormat/>
    <w:uiPriority w:val="99"/>
    <w:pPr>
      <w:widowControl/>
      <w:pBdr>
        <w:top w:val="single" w:color="auto" w:sz="12" w:space="0"/>
        <w:left w:val="single" w:color="auto" w:sz="12" w:space="0"/>
        <w:right w:val="single" w:color="auto" w:sz="4" w:space="0"/>
      </w:pBdr>
      <w:spacing w:before="100" w:beforeAutospacing="1" w:after="100" w:afterAutospacing="1"/>
      <w:jc w:val="center"/>
      <w:textAlignment w:val="center"/>
    </w:pPr>
    <w:rPr>
      <w:rFonts w:ascii="Arial Unicode MS" w:hAnsi="Arial Unicode MS"/>
      <w:kern w:val="0"/>
    </w:rPr>
  </w:style>
  <w:style w:type="paragraph" w:customStyle="1" w:styleId="936">
    <w:name w:val="表格0"/>
    <w:next w:val="1"/>
    <w:autoRedefine/>
    <w:qFormat/>
    <w:uiPriority w:val="99"/>
    <w:pPr>
      <w:adjustRightInd w:val="0"/>
      <w:snapToGrid w:val="0"/>
      <w:jc w:val="center"/>
    </w:pPr>
    <w:rPr>
      <w:rFonts w:ascii="Times New Roman" w:hAnsi="Times New Roman" w:eastAsia="宋体" w:cs="Times New Roman"/>
      <w:sz w:val="21"/>
      <w:lang w:val="en-US" w:eastAsia="zh-CN" w:bidi="ar-SA"/>
    </w:rPr>
  </w:style>
  <w:style w:type="paragraph" w:customStyle="1" w:styleId="937">
    <w:name w:val="目录2"/>
    <w:basedOn w:val="73"/>
    <w:next w:val="46"/>
    <w:autoRedefine/>
    <w:qFormat/>
    <w:uiPriority w:val="99"/>
    <w:pPr>
      <w:keepNext/>
      <w:widowControl/>
      <w:tabs>
        <w:tab w:val="right" w:leader="dot" w:pos="8160"/>
        <w:tab w:val="right" w:leader="dot" w:pos="8640"/>
        <w:tab w:val="right" w:leader="dot" w:pos="8820"/>
      </w:tabs>
      <w:spacing w:beforeLines="50" w:afterLines="50" w:line="480" w:lineRule="exact"/>
      <w:ind w:left="567"/>
      <w:jc w:val="both"/>
    </w:pPr>
    <w:rPr>
      <w:rFonts w:ascii="Calibri" w:hAnsi="Calibri"/>
      <w:kern w:val="0"/>
      <w:sz w:val="28"/>
      <w:szCs w:val="24"/>
    </w:rPr>
  </w:style>
  <w:style w:type="paragraph" w:customStyle="1" w:styleId="938">
    <w:name w:val="新正文样式"/>
    <w:basedOn w:val="1"/>
    <w:autoRedefine/>
    <w:qFormat/>
    <w:uiPriority w:val="99"/>
    <w:pPr>
      <w:tabs>
        <w:tab w:val="left" w:pos="567"/>
      </w:tabs>
      <w:spacing w:line="360" w:lineRule="auto"/>
      <w:ind w:firstLine="567"/>
    </w:pPr>
    <w:rPr>
      <w:spacing w:val="20"/>
      <w:sz w:val="24"/>
      <w:szCs w:val="20"/>
    </w:rPr>
  </w:style>
  <w:style w:type="paragraph" w:customStyle="1" w:styleId="939">
    <w:name w:val="Char Char Char Char Char Char Char Char Char Char1"/>
    <w:basedOn w:val="1"/>
    <w:autoRedefine/>
    <w:qFormat/>
    <w:uiPriority w:val="99"/>
    <w:pPr>
      <w:widowControl/>
      <w:contextualSpacing/>
      <w:jc w:val="left"/>
    </w:pPr>
    <w:rPr>
      <w:rFonts w:cs="宋体"/>
      <w:kern w:val="0"/>
    </w:rPr>
  </w:style>
  <w:style w:type="paragraph" w:customStyle="1" w:styleId="940">
    <w:name w:val="正文001"/>
    <w:basedOn w:val="1"/>
    <w:autoRedefine/>
    <w:qFormat/>
    <w:uiPriority w:val="99"/>
    <w:pPr>
      <w:spacing w:before="60" w:line="460" w:lineRule="exact"/>
      <w:ind w:firstLine="200" w:firstLineChars="200"/>
    </w:pPr>
    <w:rPr>
      <w:sz w:val="24"/>
      <w:szCs w:val="20"/>
    </w:rPr>
  </w:style>
  <w:style w:type="paragraph" w:customStyle="1" w:styleId="941">
    <w:name w:val="正文图标题"/>
    <w:next w:val="1"/>
    <w:autoRedefine/>
    <w:qFormat/>
    <w:uiPriority w:val="99"/>
    <w:pPr>
      <w:numPr>
        <w:ilvl w:val="0"/>
        <w:numId w:val="9"/>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942">
    <w:name w:val="xl111"/>
    <w:basedOn w:val="1"/>
    <w:autoRedefine/>
    <w:qFormat/>
    <w:uiPriority w:val="99"/>
    <w:pPr>
      <w:widowControl/>
      <w:pBdr>
        <w:top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943">
    <w:name w:val="xl35"/>
    <w:basedOn w:val="1"/>
    <w:autoRedefine/>
    <w:qFormat/>
    <w:uiPriority w:val="99"/>
    <w:pPr>
      <w:widowControl/>
      <w:spacing w:before="100" w:beforeAutospacing="1" w:after="100" w:afterAutospacing="1"/>
      <w:jc w:val="center"/>
    </w:pPr>
    <w:rPr>
      <w:rFonts w:ascii="Arial" w:hAnsi="Arial" w:cs="Arial"/>
      <w:b/>
      <w:bCs/>
      <w:kern w:val="0"/>
      <w:sz w:val="22"/>
      <w:szCs w:val="22"/>
    </w:rPr>
  </w:style>
  <w:style w:type="paragraph" w:customStyle="1" w:styleId="944">
    <w:name w:val="xl128"/>
    <w:basedOn w:val="1"/>
    <w:autoRedefine/>
    <w:qFormat/>
    <w:uiPriority w:val="99"/>
    <w:pPr>
      <w:widowControl/>
      <w:pBdr>
        <w:bottom w:val="single" w:color="auto" w:sz="8"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45">
    <w:name w:val="样式 标题 3 + (西文) Times New Roman (中文) 宋体 小四 加粗"/>
    <w:basedOn w:val="5"/>
    <w:autoRedefine/>
    <w:qFormat/>
    <w:uiPriority w:val="99"/>
    <w:pPr>
      <w:tabs>
        <w:tab w:val="left" w:pos="1021"/>
      </w:tabs>
      <w:spacing w:before="156" w:afterLines="50" w:line="360" w:lineRule="auto"/>
      <w:ind w:left="1021" w:hanging="1021"/>
    </w:pPr>
    <w:rPr>
      <w:rFonts w:ascii="宋体" w:hAnsi="宋体"/>
      <w:b w:val="0"/>
      <w:sz w:val="28"/>
      <w:szCs w:val="28"/>
    </w:rPr>
  </w:style>
  <w:style w:type="paragraph" w:customStyle="1" w:styleId="946">
    <w:name w:val="xl158"/>
    <w:basedOn w:val="1"/>
    <w:autoRedefine/>
    <w:qFormat/>
    <w:uiPriority w:val="99"/>
    <w:pPr>
      <w:widowControl/>
      <w:pBdr>
        <w:bottom w:val="single" w:color="auto" w:sz="8" w:space="0"/>
        <w:right w:val="single" w:color="auto" w:sz="4" w:space="0"/>
      </w:pBdr>
      <w:spacing w:before="100" w:beforeAutospacing="1" w:after="100" w:afterAutospacing="1"/>
      <w:jc w:val="left"/>
    </w:pPr>
    <w:rPr>
      <w:rFonts w:ascii="Arial Unicode MS" w:hAnsi="Arial Unicode MS"/>
      <w:kern w:val="0"/>
      <w:sz w:val="16"/>
      <w:szCs w:val="16"/>
    </w:rPr>
  </w:style>
  <w:style w:type="paragraph" w:customStyle="1" w:styleId="947">
    <w:name w:val="表样式2"/>
    <w:basedOn w:val="1"/>
    <w:autoRedefine/>
    <w:qFormat/>
    <w:uiPriority w:val="99"/>
    <w:pPr>
      <w:jc w:val="center"/>
    </w:pPr>
    <w:rPr>
      <w:kern w:val="0"/>
      <w:szCs w:val="21"/>
    </w:rPr>
  </w:style>
  <w:style w:type="paragraph" w:customStyle="1" w:styleId="948">
    <w:name w:val="xl100"/>
    <w:basedOn w:val="1"/>
    <w:autoRedefine/>
    <w:qFormat/>
    <w:uiPriority w:val="99"/>
    <w:pPr>
      <w:widowControl/>
      <w:spacing w:before="100" w:beforeAutospacing="1" w:after="100" w:afterAutospacing="1"/>
      <w:jc w:val="left"/>
    </w:pPr>
    <w:rPr>
      <w:rFonts w:ascii="Arial Unicode MS" w:hAnsi="Arial Unicode MS"/>
      <w:kern w:val="0"/>
      <w:sz w:val="12"/>
      <w:szCs w:val="12"/>
    </w:rPr>
  </w:style>
  <w:style w:type="paragraph" w:customStyle="1" w:styleId="949">
    <w:name w:val="Char Char Char Char Char Char Char Char Char Char Char Char Char"/>
    <w:basedOn w:val="1"/>
    <w:autoRedefine/>
    <w:qFormat/>
    <w:uiPriority w:val="99"/>
    <w:pPr>
      <w:widowControl/>
      <w:spacing w:after="160" w:line="240" w:lineRule="exact"/>
      <w:jc w:val="left"/>
    </w:pPr>
  </w:style>
  <w:style w:type="paragraph" w:customStyle="1" w:styleId="950">
    <w:name w:val="font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951">
    <w:name w:val="font14"/>
    <w:basedOn w:val="1"/>
    <w:autoRedefine/>
    <w:qFormat/>
    <w:uiPriority w:val="99"/>
    <w:pPr>
      <w:widowControl/>
      <w:spacing w:before="100" w:beforeAutospacing="1" w:after="100" w:afterAutospacing="1"/>
      <w:jc w:val="left"/>
    </w:pPr>
    <w:rPr>
      <w:rFonts w:ascii="宋体" w:hAnsi="宋体"/>
      <w:b/>
      <w:bCs/>
      <w:i/>
      <w:iCs/>
      <w:kern w:val="0"/>
      <w:sz w:val="22"/>
      <w:szCs w:val="22"/>
    </w:rPr>
  </w:style>
  <w:style w:type="paragraph" w:customStyle="1" w:styleId="952">
    <w:name w:val="xl89"/>
    <w:basedOn w:val="1"/>
    <w:autoRedefine/>
    <w:qFormat/>
    <w:uiPriority w:val="99"/>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953">
    <w:name w:val="Char Char8 Char"/>
    <w:basedOn w:val="5"/>
    <w:autoRedefine/>
    <w:semiHidden/>
    <w:qFormat/>
    <w:uiPriority w:val="99"/>
    <w:pPr>
      <w:tabs>
        <w:tab w:val="left" w:pos="360"/>
        <w:tab w:val="left" w:pos="900"/>
      </w:tabs>
      <w:spacing w:before="0" w:after="120" w:line="360" w:lineRule="auto"/>
      <w:ind w:left="542" w:leftChars="-12" w:firstLine="200" w:firstLineChars="200"/>
    </w:pPr>
    <w:rPr>
      <w:rFonts w:ascii="宋体" w:hAnsi="宋体" w:cs="宋体"/>
      <w:b w:val="0"/>
      <w:bCs w:val="0"/>
      <w:sz w:val="24"/>
      <w:szCs w:val="24"/>
    </w:rPr>
  </w:style>
  <w:style w:type="paragraph" w:customStyle="1" w:styleId="954">
    <w:name w:val="xl29"/>
    <w:basedOn w:val="1"/>
    <w:autoRedefine/>
    <w:qFormat/>
    <w:uiPriority w:val="99"/>
    <w:pPr>
      <w:widowControl/>
      <w:spacing w:before="100" w:beforeAutospacing="1" w:after="100" w:afterAutospacing="1"/>
      <w:jc w:val="left"/>
      <w:textAlignment w:val="bottom"/>
    </w:pPr>
    <w:rPr>
      <w:rFonts w:ascii="Arial" w:hAnsi="Arial" w:cs="Arial"/>
      <w:b/>
      <w:bCs/>
      <w:kern w:val="0"/>
      <w:sz w:val="22"/>
      <w:szCs w:val="22"/>
    </w:rPr>
  </w:style>
  <w:style w:type="paragraph" w:customStyle="1" w:styleId="955">
    <w:name w:val="封面"/>
    <w:basedOn w:val="1"/>
    <w:autoRedefine/>
    <w:qFormat/>
    <w:uiPriority w:val="99"/>
    <w:pPr>
      <w:adjustRightInd w:val="0"/>
      <w:spacing w:before="60" w:line="360" w:lineRule="auto"/>
      <w:ind w:firstLine="482"/>
      <w:jc w:val="center"/>
      <w:textAlignment w:val="baseline"/>
    </w:pPr>
    <w:rPr>
      <w:rFonts w:ascii="Arial" w:hAnsi="Arial" w:eastAsia="仿宋_GB2312"/>
      <w:b/>
      <w:kern w:val="0"/>
      <w:sz w:val="30"/>
      <w:szCs w:val="20"/>
    </w:rPr>
  </w:style>
  <w:style w:type="paragraph" w:customStyle="1" w:styleId="956">
    <w:name w:val="Char21"/>
    <w:basedOn w:val="1"/>
    <w:autoRedefine/>
    <w:qFormat/>
    <w:uiPriority w:val="99"/>
    <w:pPr>
      <w:spacing w:line="360" w:lineRule="auto"/>
      <w:ind w:firstLine="200" w:firstLineChars="200"/>
    </w:pPr>
    <w:rPr>
      <w:rFonts w:ascii="宋体" w:hAnsi="宋体" w:cs="宋体"/>
      <w:sz w:val="24"/>
    </w:rPr>
  </w:style>
  <w:style w:type="paragraph" w:customStyle="1" w:styleId="957">
    <w:name w:val="简单回函地址"/>
    <w:basedOn w:val="1"/>
    <w:autoRedefine/>
    <w:qFormat/>
    <w:uiPriority w:val="99"/>
  </w:style>
  <w:style w:type="paragraph" w:customStyle="1" w:styleId="958">
    <w:name w:val="页眉左"/>
    <w:basedOn w:val="56"/>
    <w:autoRedefine/>
    <w:qFormat/>
    <w:uiPriority w:val="99"/>
    <w:pPr>
      <w:pBdr>
        <w:bottom w:val="none" w:color="auto" w:sz="0" w:space="0"/>
      </w:pBdr>
      <w:adjustRightInd w:val="0"/>
      <w:snapToGrid/>
      <w:spacing w:before="60" w:after="60" w:line="240" w:lineRule="atLeast"/>
      <w:jc w:val="left"/>
      <w:textAlignment w:val="baseline"/>
    </w:pPr>
    <w:rPr>
      <w:sz w:val="22"/>
      <w:lang w:val="en-GB"/>
    </w:rPr>
  </w:style>
  <w:style w:type="paragraph" w:customStyle="1" w:styleId="959">
    <w:name w:val="Char12"/>
    <w:basedOn w:val="1"/>
    <w:autoRedefine/>
    <w:qFormat/>
    <w:uiPriority w:val="99"/>
  </w:style>
  <w:style w:type="paragraph" w:customStyle="1" w:styleId="960">
    <w:name w:val="样式 标题 3 + 段前: 0.5 行 段后: 0.2 行"/>
    <w:basedOn w:val="5"/>
    <w:autoRedefine/>
    <w:qFormat/>
    <w:uiPriority w:val="99"/>
    <w:pPr>
      <w:spacing w:beforeLines="30" w:after="0" w:line="600" w:lineRule="exact"/>
      <w:ind w:firstLine="480" w:firstLineChars="200"/>
    </w:pPr>
    <w:rPr>
      <w:rFonts w:eastAsia="黑体" w:cs="宋体"/>
      <w:b w:val="0"/>
      <w:sz w:val="26"/>
      <w:szCs w:val="20"/>
    </w:rPr>
  </w:style>
  <w:style w:type="paragraph" w:customStyle="1" w:styleId="961">
    <w:name w:val="目录"/>
    <w:basedOn w:val="4"/>
    <w:next w:val="1"/>
    <w:autoRedefine/>
    <w:qFormat/>
    <w:uiPriority w:val="99"/>
    <w:pPr>
      <w:keepLines w:val="0"/>
      <w:widowControl/>
      <w:tabs>
        <w:tab w:val="left" w:pos="0"/>
        <w:tab w:val="left" w:pos="8280"/>
      </w:tabs>
      <w:spacing w:before="480" w:after="60" w:line="480" w:lineRule="exact"/>
      <w:ind w:right="50" w:rightChars="50"/>
      <w:jc w:val="left"/>
    </w:pPr>
    <w:rPr>
      <w:b w:val="0"/>
      <w:iCs/>
      <w:kern w:val="44"/>
      <w:szCs w:val="28"/>
      <w:lang w:eastAsia="en-US"/>
    </w:rPr>
  </w:style>
  <w:style w:type="paragraph" w:customStyle="1" w:styleId="962">
    <w:name w:val="默认段落字体 Para Char Char Char Char Char Char Char"/>
    <w:basedOn w:val="1"/>
    <w:autoRedefine/>
    <w:qFormat/>
    <w:uiPriority w:val="99"/>
    <w:pPr>
      <w:adjustRightInd w:val="0"/>
      <w:spacing w:line="360" w:lineRule="auto"/>
      <w:textAlignment w:val="baseline"/>
    </w:pPr>
    <w:rPr>
      <w:kern w:val="0"/>
      <w:sz w:val="24"/>
      <w:szCs w:val="20"/>
    </w:rPr>
  </w:style>
  <w:style w:type="paragraph" w:customStyle="1" w:styleId="963">
    <w:name w:val="表格段落1"/>
    <w:basedOn w:val="1"/>
    <w:autoRedefine/>
    <w:qFormat/>
    <w:uiPriority w:val="99"/>
    <w:pPr>
      <w:adjustRightInd w:val="0"/>
      <w:snapToGrid w:val="0"/>
      <w:spacing w:line="320" w:lineRule="exact"/>
      <w:jc w:val="center"/>
    </w:pPr>
  </w:style>
  <w:style w:type="paragraph" w:customStyle="1" w:styleId="964">
    <w:name w:val="小五表文"/>
    <w:autoRedefine/>
    <w:qFormat/>
    <w:uiPriority w:val="99"/>
    <w:pPr>
      <w:jc w:val="center"/>
    </w:pPr>
    <w:rPr>
      <w:rFonts w:ascii="Times New Roman" w:hAnsi="Times New Roman" w:eastAsia="仿宋_GB2312" w:cs="Times New Roman"/>
      <w:sz w:val="18"/>
      <w:lang w:val="en-US" w:eastAsia="zh-CN" w:bidi="ar-SA"/>
    </w:rPr>
  </w:style>
  <w:style w:type="paragraph" w:customStyle="1" w:styleId="965">
    <w:name w:val="xl83"/>
    <w:basedOn w:val="1"/>
    <w:autoRedefine/>
    <w:qFormat/>
    <w:uiPriority w:val="99"/>
    <w:pPr>
      <w:widowControl/>
      <w:pBdr>
        <w:top w:val="single" w:color="auto" w:sz="12" w:space="0"/>
        <w:left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66">
    <w:name w:val="style23"/>
    <w:basedOn w:val="1"/>
    <w:autoRedefine/>
    <w:qFormat/>
    <w:uiPriority w:val="99"/>
    <w:pPr>
      <w:widowControl/>
      <w:spacing w:before="100" w:beforeAutospacing="1" w:after="100" w:afterAutospacing="1"/>
      <w:jc w:val="left"/>
    </w:pPr>
    <w:rPr>
      <w:rFonts w:ascii="宋体" w:hAnsi="宋体"/>
      <w:b/>
      <w:bCs/>
      <w:color w:val="990000"/>
      <w:kern w:val="0"/>
      <w:szCs w:val="21"/>
    </w:rPr>
  </w:style>
  <w:style w:type="paragraph" w:customStyle="1" w:styleId="967">
    <w:name w:val="xl194"/>
    <w:basedOn w:val="1"/>
    <w:autoRedefine/>
    <w:qFormat/>
    <w:uiPriority w:val="99"/>
    <w:pPr>
      <w:widowControl/>
      <w:spacing w:before="100" w:beforeAutospacing="1" w:after="100" w:afterAutospacing="1"/>
      <w:jc w:val="center"/>
    </w:pPr>
    <w:rPr>
      <w:kern w:val="0"/>
      <w:sz w:val="16"/>
      <w:szCs w:val="16"/>
    </w:rPr>
  </w:style>
  <w:style w:type="paragraph" w:customStyle="1" w:styleId="968">
    <w:name w:val="Char Char Char Char Char Char1 Char Char Char Char Char Char Char"/>
    <w:basedOn w:val="1"/>
    <w:autoRedefine/>
    <w:qFormat/>
    <w:uiPriority w:val="99"/>
  </w:style>
  <w:style w:type="paragraph" w:customStyle="1" w:styleId="969">
    <w:name w:val="xl138"/>
    <w:basedOn w:val="1"/>
    <w:autoRedefine/>
    <w:qFormat/>
    <w:uiPriority w:val="99"/>
    <w:pPr>
      <w:widowControl/>
      <w:pBdr>
        <w:left w:val="single" w:color="auto" w:sz="4" w:space="0"/>
        <w:bottom w:val="single" w:color="auto" w:sz="8" w:space="0"/>
      </w:pBdr>
      <w:spacing w:before="100" w:beforeAutospacing="1" w:after="100" w:afterAutospacing="1"/>
      <w:jc w:val="center"/>
      <w:textAlignment w:val="center"/>
    </w:pPr>
    <w:rPr>
      <w:kern w:val="0"/>
      <w:sz w:val="12"/>
      <w:szCs w:val="12"/>
    </w:rPr>
  </w:style>
  <w:style w:type="paragraph" w:customStyle="1" w:styleId="970">
    <w:name w:val="dash6b63-6587"/>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971">
    <w:name w:val="Char Char Char Char Char Char Char Char Char Char Char Char Char Char Char Char1"/>
    <w:basedOn w:val="1"/>
    <w:autoRedefine/>
    <w:qFormat/>
    <w:uiPriority w:val="99"/>
  </w:style>
  <w:style w:type="paragraph" w:customStyle="1" w:styleId="972">
    <w:name w:val="xl137"/>
    <w:basedOn w:val="1"/>
    <w:autoRedefine/>
    <w:qFormat/>
    <w:uiPriority w:val="99"/>
    <w:pPr>
      <w:widowControl/>
      <w:pBdr>
        <w:bottom w:val="single" w:color="auto" w:sz="8" w:space="0"/>
      </w:pBdr>
      <w:spacing w:before="100" w:beforeAutospacing="1" w:after="100" w:afterAutospacing="1"/>
      <w:jc w:val="left"/>
    </w:pPr>
    <w:rPr>
      <w:rFonts w:ascii="Arial Unicode MS" w:hAnsi="Arial Unicode MS"/>
      <w:kern w:val="0"/>
      <w:sz w:val="12"/>
      <w:szCs w:val="12"/>
    </w:rPr>
  </w:style>
  <w:style w:type="paragraph" w:customStyle="1" w:styleId="973">
    <w:name w:val="title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974">
    <w:name w:val="表中居中文字"/>
    <w:basedOn w:val="1"/>
    <w:autoRedefine/>
    <w:qFormat/>
    <w:uiPriority w:val="99"/>
    <w:pPr>
      <w:numPr>
        <w:ilvl w:val="3"/>
        <w:numId w:val="10"/>
      </w:numPr>
      <w:tabs>
        <w:tab w:val="clear" w:pos="2249"/>
      </w:tabs>
      <w:ind w:left="0" w:firstLine="0"/>
    </w:pPr>
    <w:rPr>
      <w:rFonts w:ascii="宋体" w:hAnsi="宋体" w:cs="Arial"/>
      <w:bCs/>
      <w:color w:val="FF0000"/>
      <w:sz w:val="24"/>
      <w:szCs w:val="18"/>
    </w:rPr>
  </w:style>
  <w:style w:type="paragraph" w:customStyle="1" w:styleId="975">
    <w:name w:val="高段文"/>
    <w:basedOn w:val="1"/>
    <w:autoRedefine/>
    <w:qFormat/>
    <w:uiPriority w:val="99"/>
    <w:pPr>
      <w:spacing w:line="300" w:lineRule="auto"/>
      <w:ind w:firstLine="200" w:firstLineChars="200"/>
    </w:pPr>
    <w:rPr>
      <w:rFonts w:ascii="Arial" w:hAnsi="Arial" w:eastAsia="楷体_GB2312"/>
      <w:sz w:val="28"/>
      <w:szCs w:val="28"/>
    </w:rPr>
  </w:style>
  <w:style w:type="paragraph" w:customStyle="1" w:styleId="976">
    <w:name w:val="6"/>
    <w:basedOn w:val="1"/>
    <w:next w:val="75"/>
    <w:autoRedefine/>
    <w:qFormat/>
    <w:uiPriority w:val="99"/>
    <w:pPr>
      <w:spacing w:after="120" w:line="480" w:lineRule="auto"/>
    </w:pPr>
  </w:style>
  <w:style w:type="paragraph" w:customStyle="1" w:styleId="977">
    <w:name w:val="EIA正文"/>
    <w:basedOn w:val="1"/>
    <w:autoRedefine/>
    <w:qFormat/>
    <w:uiPriority w:val="99"/>
    <w:pPr>
      <w:ind w:firstLine="200" w:firstLineChars="200"/>
    </w:pPr>
    <w:rPr>
      <w:color w:val="000000"/>
      <w:sz w:val="24"/>
      <w:szCs w:val="20"/>
    </w:rPr>
  </w:style>
  <w:style w:type="paragraph" w:customStyle="1" w:styleId="978">
    <w:name w:val="Plain Text1"/>
    <w:basedOn w:val="1"/>
    <w:autoRedefine/>
    <w:qFormat/>
    <w:uiPriority w:val="99"/>
    <w:pPr>
      <w:widowControl/>
      <w:autoSpaceDE w:val="0"/>
      <w:autoSpaceDN w:val="0"/>
      <w:adjustRightInd w:val="0"/>
      <w:contextualSpacing/>
      <w:jc w:val="left"/>
    </w:pPr>
    <w:rPr>
      <w:rFonts w:cs="宋体"/>
      <w:kern w:val="0"/>
      <w:szCs w:val="20"/>
    </w:rPr>
  </w:style>
  <w:style w:type="paragraph" w:customStyle="1" w:styleId="979">
    <w:name w:val="xl188"/>
    <w:basedOn w:val="1"/>
    <w:autoRedefine/>
    <w:qFormat/>
    <w:uiPriority w:val="99"/>
    <w:pPr>
      <w:widowControl/>
      <w:spacing w:before="100" w:beforeAutospacing="1" w:after="100" w:afterAutospacing="1"/>
      <w:jc w:val="left"/>
      <w:textAlignment w:val="center"/>
    </w:pPr>
    <w:rPr>
      <w:kern w:val="0"/>
      <w:sz w:val="12"/>
      <w:szCs w:val="12"/>
    </w:rPr>
  </w:style>
  <w:style w:type="paragraph" w:customStyle="1" w:styleId="980">
    <w:name w:val="xl183"/>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981">
    <w:name w:val="xl197"/>
    <w:basedOn w:val="1"/>
    <w:autoRedefine/>
    <w:qFormat/>
    <w:uiPriority w:val="99"/>
    <w:pPr>
      <w:widowControl/>
      <w:pBdr>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kern w:val="0"/>
    </w:rPr>
  </w:style>
  <w:style w:type="paragraph" w:customStyle="1" w:styleId="982">
    <w:name w:val="样式 四号 首行缩进:  2 字符"/>
    <w:basedOn w:val="1"/>
    <w:autoRedefine/>
    <w:qFormat/>
    <w:uiPriority w:val="99"/>
    <w:pPr>
      <w:spacing w:line="480" w:lineRule="atLeast"/>
      <w:ind w:firstLine="200" w:firstLineChars="200"/>
    </w:pPr>
    <w:rPr>
      <w:sz w:val="24"/>
    </w:rPr>
  </w:style>
  <w:style w:type="paragraph" w:customStyle="1" w:styleId="983">
    <w:name w:val="Char3"/>
    <w:basedOn w:val="1"/>
    <w:autoRedefine/>
    <w:qFormat/>
    <w:uiPriority w:val="99"/>
    <w:pPr>
      <w:spacing w:before="60" w:line="360" w:lineRule="auto"/>
      <w:ind w:firstLine="200" w:firstLineChars="200"/>
    </w:pPr>
    <w:rPr>
      <w:rFonts w:eastAsia="黑体"/>
      <w:sz w:val="30"/>
    </w:rPr>
  </w:style>
  <w:style w:type="paragraph" w:customStyle="1" w:styleId="984">
    <w:name w:val="xl97"/>
    <w:basedOn w:val="1"/>
    <w:autoRedefine/>
    <w:qFormat/>
    <w:uiPriority w:val="99"/>
    <w:pPr>
      <w:widowControl/>
      <w:pBdr>
        <w:top w:val="single" w:color="auto" w:sz="12" w:space="0"/>
        <w:right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985">
    <w:name w:val="00000000000000"/>
    <w:basedOn w:val="1"/>
    <w:autoRedefine/>
    <w:qFormat/>
    <w:uiPriority w:val="99"/>
    <w:pPr>
      <w:adjustRightInd w:val="0"/>
      <w:snapToGrid w:val="0"/>
      <w:spacing w:line="360" w:lineRule="auto"/>
      <w:ind w:firstLine="480" w:firstLineChars="200"/>
    </w:pPr>
    <w:rPr>
      <w:rFonts w:ascii="宋体" w:hAnsi="宋体"/>
      <w:bCs/>
      <w:kern w:val="18"/>
      <w:sz w:val="24"/>
      <w:szCs w:val="21"/>
    </w:rPr>
  </w:style>
  <w:style w:type="paragraph" w:customStyle="1" w:styleId="986">
    <w:name w:val="五号 居中"/>
    <w:basedOn w:val="1"/>
    <w:autoRedefine/>
    <w:qFormat/>
    <w:uiPriority w:val="99"/>
    <w:pPr>
      <w:snapToGrid w:val="0"/>
      <w:spacing w:line="500" w:lineRule="exact"/>
      <w:jc w:val="center"/>
    </w:pPr>
    <w:rPr>
      <w:rFonts w:cs="宋体"/>
      <w:kern w:val="0"/>
      <w:szCs w:val="20"/>
    </w:rPr>
  </w:style>
  <w:style w:type="paragraph" w:customStyle="1" w:styleId="987">
    <w:name w:val="xl114"/>
    <w:basedOn w:val="1"/>
    <w:qFormat/>
    <w:uiPriority w:val="99"/>
    <w:pPr>
      <w:widowControl/>
      <w:pBdr>
        <w:left w:val="single" w:color="auto" w:sz="8" w:space="0"/>
      </w:pBdr>
      <w:spacing w:before="100" w:beforeAutospacing="1" w:after="100" w:afterAutospacing="1"/>
      <w:jc w:val="left"/>
    </w:pPr>
    <w:rPr>
      <w:rFonts w:ascii="Arial Unicode MS" w:hAnsi="Arial Unicode MS"/>
      <w:kern w:val="0"/>
      <w:sz w:val="16"/>
      <w:szCs w:val="16"/>
    </w:rPr>
  </w:style>
  <w:style w:type="paragraph" w:customStyle="1" w:styleId="988">
    <w:name w:val="封面 黑体"/>
    <w:basedOn w:val="1"/>
    <w:autoRedefine/>
    <w:qFormat/>
    <w:uiPriority w:val="99"/>
    <w:pPr>
      <w:spacing w:before="240" w:after="240" w:line="480" w:lineRule="exact"/>
      <w:jc w:val="center"/>
    </w:pPr>
    <w:rPr>
      <w:b/>
      <w:sz w:val="30"/>
    </w:rPr>
  </w:style>
  <w:style w:type="paragraph" w:customStyle="1" w:styleId="989">
    <w:name w:val="xl93"/>
    <w:basedOn w:val="1"/>
    <w:autoRedefine/>
    <w:qFormat/>
    <w:uiPriority w:val="99"/>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990">
    <w:name w:val="样式 标题 21.1标题 21.1标题2标题 2 Char1节_Heading 2标2 + 段前: 0.5 行..."/>
    <w:basedOn w:val="4"/>
    <w:autoRedefine/>
    <w:qFormat/>
    <w:uiPriority w:val="99"/>
    <w:pPr>
      <w:keepNext w:val="0"/>
      <w:adjustRightInd w:val="0"/>
      <w:snapToGrid w:val="0"/>
      <w:spacing w:beforeLines="50" w:afterLines="50" w:line="240" w:lineRule="auto"/>
      <w:ind w:left="576" w:hanging="576"/>
      <w:contextualSpacing/>
      <w:jc w:val="left"/>
    </w:pPr>
    <w:rPr>
      <w:rFonts w:ascii="宋体" w:hAnsi="宋体" w:eastAsia="宋体" w:cs="宋体"/>
      <w:bCs w:val="0"/>
      <w:color w:val="000000"/>
      <w:sz w:val="24"/>
      <w:szCs w:val="20"/>
    </w:rPr>
  </w:style>
  <w:style w:type="paragraph" w:customStyle="1" w:styleId="991">
    <w:name w:val="样式 样式 首行缩进:  2 字符1 + 首行缩进:  2 字符"/>
    <w:basedOn w:val="1"/>
    <w:autoRedefine/>
    <w:qFormat/>
    <w:uiPriority w:val="99"/>
    <w:pPr>
      <w:adjustRightInd w:val="0"/>
      <w:spacing w:line="360" w:lineRule="auto"/>
      <w:ind w:firstLine="519" w:firstLineChars="200"/>
    </w:pPr>
    <w:rPr>
      <w:rFonts w:cs="宋体"/>
      <w:kern w:val="0"/>
      <w:sz w:val="28"/>
      <w:szCs w:val="28"/>
    </w:rPr>
  </w:style>
  <w:style w:type="paragraph" w:customStyle="1" w:styleId="992">
    <w:name w:val="Char Char1 Char"/>
    <w:basedOn w:val="1"/>
    <w:autoRedefine/>
    <w:qFormat/>
    <w:uiPriority w:val="99"/>
    <w:pPr>
      <w:spacing w:line="360" w:lineRule="auto"/>
      <w:ind w:firstLine="200" w:firstLineChars="200"/>
    </w:pPr>
  </w:style>
  <w:style w:type="paragraph" w:customStyle="1" w:styleId="993">
    <w:name w:val="xl65"/>
    <w:basedOn w:val="1"/>
    <w:autoRedefine/>
    <w:qFormat/>
    <w:uiPriority w:val="99"/>
    <w:pPr>
      <w:widowControl/>
      <w:spacing w:before="100" w:beforeAutospacing="1" w:after="100" w:afterAutospacing="1"/>
      <w:jc w:val="center"/>
    </w:pPr>
    <w:rPr>
      <w:rFonts w:ascii="Arial" w:hAnsi="Arial" w:cs="Arial"/>
      <w:b/>
      <w:bCs/>
      <w:kern w:val="0"/>
      <w:sz w:val="22"/>
      <w:szCs w:val="22"/>
    </w:rPr>
  </w:style>
  <w:style w:type="paragraph" w:customStyle="1" w:styleId="994">
    <w:name w:val="xl147"/>
    <w:basedOn w:val="1"/>
    <w:autoRedefine/>
    <w:qFormat/>
    <w:uiPriority w:val="99"/>
    <w:pPr>
      <w:widowControl/>
      <w:spacing w:before="100" w:beforeAutospacing="1" w:after="100" w:afterAutospacing="1"/>
      <w:jc w:val="center"/>
    </w:pPr>
    <w:rPr>
      <w:rFonts w:ascii="Arial Unicode MS" w:hAnsi="Arial Unicode MS"/>
      <w:kern w:val="0"/>
    </w:rPr>
  </w:style>
  <w:style w:type="paragraph" w:customStyle="1" w:styleId="995">
    <w:name w:val="图框"/>
    <w:basedOn w:val="1"/>
    <w:autoRedefine/>
    <w:qFormat/>
    <w:uiPriority w:val="99"/>
    <w:pPr>
      <w:jc w:val="center"/>
    </w:pPr>
    <w:rPr>
      <w:szCs w:val="15"/>
    </w:rPr>
  </w:style>
  <w:style w:type="paragraph" w:customStyle="1" w:styleId="996">
    <w:name w:val="xl63"/>
    <w:basedOn w:val="1"/>
    <w:qFormat/>
    <w:uiPriority w:val="99"/>
    <w:pPr>
      <w:widowControl/>
      <w:spacing w:before="100" w:after="100"/>
      <w:jc w:val="center"/>
      <w:textAlignment w:val="center"/>
    </w:pPr>
    <w:rPr>
      <w:rFonts w:ascii="黑体" w:hAnsi="宋体" w:eastAsia="黑体"/>
      <w:kern w:val="0"/>
      <w:sz w:val="24"/>
      <w:szCs w:val="20"/>
    </w:rPr>
  </w:style>
  <w:style w:type="paragraph" w:styleId="997">
    <w:name w:val="List Paragraph"/>
    <w:basedOn w:val="1"/>
    <w:autoRedefine/>
    <w:qFormat/>
    <w:uiPriority w:val="99"/>
    <w:pPr>
      <w:ind w:firstLine="420" w:firstLineChars="200"/>
    </w:pPr>
    <w:rPr>
      <w:szCs w:val="20"/>
    </w:rPr>
  </w:style>
  <w:style w:type="paragraph" w:customStyle="1" w:styleId="998">
    <w:name w:val="xl101"/>
    <w:basedOn w:val="1"/>
    <w:autoRedefine/>
    <w:qFormat/>
    <w:uiPriority w:val="99"/>
    <w:pPr>
      <w:widowControl/>
      <w:pBdr>
        <w:left w:val="single" w:color="auto" w:sz="4" w:space="0"/>
        <w:righ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999">
    <w:name w:val="纯文本 + Times New Roman"/>
    <w:basedOn w:val="9"/>
    <w:autoRedefine/>
    <w:qFormat/>
    <w:uiPriority w:val="99"/>
    <w:pPr>
      <w:pBdr>
        <w:bottom w:val="single" w:color="auto" w:sz="6" w:space="1"/>
      </w:pBdr>
      <w:jc w:val="center"/>
    </w:pPr>
    <w:rPr>
      <w:rFonts w:ascii="Times New Roman" w:hAnsi="Times New Roman"/>
    </w:rPr>
  </w:style>
  <w:style w:type="paragraph" w:customStyle="1" w:styleId="1000">
    <w:name w:val="font12"/>
    <w:basedOn w:val="1"/>
    <w:autoRedefine/>
    <w:qFormat/>
    <w:uiPriority w:val="99"/>
    <w:pPr>
      <w:widowControl/>
      <w:spacing w:before="100" w:beforeAutospacing="1" w:after="100" w:afterAutospacing="1"/>
      <w:jc w:val="left"/>
    </w:pPr>
    <w:rPr>
      <w:rFonts w:ascii="Arial" w:hAnsi="Arial" w:cs="Arial"/>
      <w:b/>
      <w:bCs/>
      <w:i/>
      <w:iCs/>
      <w:kern w:val="0"/>
      <w:sz w:val="22"/>
      <w:szCs w:val="22"/>
    </w:rPr>
  </w:style>
  <w:style w:type="paragraph" w:customStyle="1" w:styleId="1001">
    <w:name w:val="xl40"/>
    <w:basedOn w:val="1"/>
    <w:autoRedefine/>
    <w:qFormat/>
    <w:uiPriority w:val="99"/>
    <w:pPr>
      <w:widowControl/>
      <w:pBdr>
        <w:right w:val="single" w:color="auto" w:sz="4" w:space="0"/>
      </w:pBdr>
      <w:spacing w:before="100" w:beforeAutospacing="1" w:after="100" w:afterAutospacing="1"/>
      <w:jc w:val="center"/>
    </w:pPr>
    <w:rPr>
      <w:rFonts w:ascii="Arial" w:hAnsi="Arial" w:cs="Arial"/>
      <w:b/>
      <w:bCs/>
      <w:kern w:val="0"/>
      <w:sz w:val="22"/>
      <w:szCs w:val="22"/>
    </w:rPr>
  </w:style>
  <w:style w:type="paragraph" w:customStyle="1" w:styleId="1002">
    <w:name w:val="main"/>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customStyle="1" w:styleId="1003">
    <w:name w:val="默认段落字体 Para Char Char Char Char Char Char Char Char Char Char Char Char Char"/>
    <w:basedOn w:val="1"/>
    <w:autoRedefine/>
    <w:qFormat/>
    <w:uiPriority w:val="99"/>
  </w:style>
  <w:style w:type="paragraph" w:customStyle="1" w:styleId="1004">
    <w:name w:val="图注"/>
    <w:basedOn w:val="1"/>
    <w:next w:val="1"/>
    <w:autoRedefine/>
    <w:qFormat/>
    <w:uiPriority w:val="99"/>
    <w:pPr>
      <w:spacing w:before="120" w:line="320" w:lineRule="atLeast"/>
      <w:ind w:left="7" w:leftChars="-27" w:hanging="72" w:hangingChars="30"/>
      <w:jc w:val="center"/>
    </w:pPr>
    <w:rPr>
      <w:rFonts w:ascii="宋体" w:hAnsi="宋体"/>
      <w:bCs/>
      <w:color w:val="000000"/>
      <w:kern w:val="0"/>
      <w:sz w:val="24"/>
    </w:rPr>
  </w:style>
  <w:style w:type="paragraph" w:customStyle="1" w:styleId="1005">
    <w:name w:val="表格文字-居中"/>
    <w:basedOn w:val="1"/>
    <w:next w:val="1"/>
    <w:autoRedefine/>
    <w:qFormat/>
    <w:uiPriority w:val="99"/>
    <w:pPr>
      <w:jc w:val="center"/>
    </w:pPr>
    <w:rPr>
      <w:rFonts w:ascii="宋体"/>
      <w:sz w:val="24"/>
    </w:rPr>
  </w:style>
  <w:style w:type="paragraph" w:customStyle="1" w:styleId="1006">
    <w:name w:val="报告标题2"/>
    <w:basedOn w:val="4"/>
    <w:autoRedefine/>
    <w:qFormat/>
    <w:uiPriority w:val="99"/>
    <w:pPr>
      <w:tabs>
        <w:tab w:val="left" w:pos="840"/>
      </w:tabs>
      <w:spacing w:line="360" w:lineRule="auto"/>
      <w:ind w:left="840"/>
    </w:pPr>
    <w:rPr>
      <w:rFonts w:ascii="Times New Roman" w:hAnsi="Times New Roman" w:eastAsia="宋体"/>
      <w:kern w:val="0"/>
    </w:rPr>
  </w:style>
  <w:style w:type="paragraph" w:customStyle="1" w:styleId="1007">
    <w:name w:val="xl72"/>
    <w:basedOn w:val="1"/>
    <w:autoRedefine/>
    <w:qFormat/>
    <w:uiPriority w:val="99"/>
    <w:pPr>
      <w:widowControl/>
      <w:spacing w:before="100" w:beforeAutospacing="1" w:after="100" w:afterAutospacing="1"/>
      <w:jc w:val="left"/>
    </w:pPr>
    <w:rPr>
      <w:rFonts w:ascii="宋体" w:hAnsi="宋体"/>
      <w:b/>
      <w:bCs/>
      <w:kern w:val="0"/>
      <w:sz w:val="24"/>
    </w:rPr>
  </w:style>
  <w:style w:type="paragraph" w:customStyle="1" w:styleId="1008">
    <w:name w:val="样式 四号 首行缩进:  2 字符 段前: 5 磅 段后: 5 磅 行距: 单倍行距"/>
    <w:basedOn w:val="1"/>
    <w:autoRedefine/>
    <w:qFormat/>
    <w:uiPriority w:val="99"/>
    <w:pPr>
      <w:spacing w:before="100" w:beforeAutospacing="1" w:after="100" w:afterAutospacing="1"/>
      <w:ind w:firstLine="200" w:firstLineChars="200"/>
    </w:pPr>
    <w:rPr>
      <w:rFonts w:cs="宋体"/>
      <w:sz w:val="28"/>
      <w:szCs w:val="20"/>
    </w:rPr>
  </w:style>
  <w:style w:type="paragraph" w:customStyle="1" w:styleId="1009">
    <w:name w:val="xl70"/>
    <w:basedOn w:val="1"/>
    <w:autoRedefine/>
    <w:qFormat/>
    <w:uiPriority w:val="99"/>
    <w:pPr>
      <w:widowControl/>
      <w:spacing w:before="100" w:beforeAutospacing="1" w:after="100" w:afterAutospacing="1"/>
      <w:jc w:val="left"/>
    </w:pPr>
    <w:rPr>
      <w:rFonts w:ascii="宋体" w:hAnsi="宋体"/>
      <w:b/>
      <w:bCs/>
      <w:kern w:val="0"/>
      <w:sz w:val="22"/>
      <w:szCs w:val="22"/>
    </w:rPr>
  </w:style>
  <w:style w:type="paragraph" w:customStyle="1" w:styleId="1010">
    <w:name w:val="样式36"/>
    <w:basedOn w:val="1011"/>
    <w:autoRedefine/>
    <w:qFormat/>
    <w:uiPriority w:val="99"/>
    <w:pPr>
      <w:tabs>
        <w:tab w:val="left" w:pos="540"/>
        <w:tab w:val="left" w:pos="5250"/>
      </w:tabs>
      <w:ind w:firstLine="554" w:firstLineChars="198"/>
    </w:pPr>
    <w:rPr>
      <w:bCs w:val="0"/>
      <w:szCs w:val="28"/>
    </w:rPr>
  </w:style>
  <w:style w:type="paragraph" w:customStyle="1" w:styleId="1011">
    <w:name w:val="样式29"/>
    <w:basedOn w:val="1"/>
    <w:autoRedefine/>
    <w:qFormat/>
    <w:uiPriority w:val="99"/>
    <w:pPr>
      <w:tabs>
        <w:tab w:val="left" w:pos="540"/>
      </w:tabs>
      <w:ind w:firstLine="560" w:firstLineChars="200"/>
    </w:pPr>
    <w:rPr>
      <w:rFonts w:ascii="宋体" w:hAnsi="宋体"/>
      <w:bCs/>
      <w:color w:val="000000"/>
      <w:sz w:val="28"/>
    </w:rPr>
  </w:style>
  <w:style w:type="paragraph" w:customStyle="1" w:styleId="1012">
    <w:name w:val="样式 调研标题2 + 非加粗"/>
    <w:basedOn w:val="1"/>
    <w:autoRedefine/>
    <w:qFormat/>
    <w:uiPriority w:val="99"/>
    <w:pPr>
      <w:keepNext/>
      <w:keepLines/>
      <w:snapToGrid w:val="0"/>
      <w:spacing w:before="240" w:after="120" w:line="360" w:lineRule="exact"/>
      <w:outlineLvl w:val="1"/>
    </w:pPr>
    <w:rPr>
      <w:rFonts w:ascii="Arial" w:hAnsi="Arial" w:cs="宋体"/>
      <w:b/>
      <w:bCs/>
      <w:color w:val="000000"/>
      <w:sz w:val="28"/>
      <w:szCs w:val="32"/>
    </w:rPr>
  </w:style>
  <w:style w:type="paragraph" w:customStyle="1" w:styleId="1013">
    <w:name w:val="1.1.1.1"/>
    <w:basedOn w:val="1"/>
    <w:autoRedefine/>
    <w:qFormat/>
    <w:uiPriority w:val="99"/>
    <w:pPr>
      <w:spacing w:line="600" w:lineRule="exact"/>
      <w:outlineLvl w:val="0"/>
    </w:pPr>
    <w:rPr>
      <w:rFonts w:ascii="黑体" w:eastAsia="黑体"/>
      <w:sz w:val="24"/>
    </w:rPr>
  </w:style>
  <w:style w:type="paragraph" w:customStyle="1" w:styleId="1014">
    <w:name w:val="xl15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1015">
    <w:name w:val="封面标准号1"/>
    <w:autoRedefine/>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16">
    <w:name w:val="Char6"/>
    <w:basedOn w:val="1"/>
    <w:autoRedefine/>
    <w:qFormat/>
    <w:uiPriority w:val="99"/>
  </w:style>
  <w:style w:type="paragraph" w:customStyle="1" w:styleId="1017">
    <w:name w:val="环表头"/>
    <w:basedOn w:val="1"/>
    <w:autoRedefine/>
    <w:qFormat/>
    <w:uiPriority w:val="99"/>
    <w:pPr>
      <w:widowControl/>
      <w:tabs>
        <w:tab w:val="left" w:pos="0"/>
      </w:tabs>
      <w:adjustRightInd w:val="0"/>
      <w:spacing w:beforeLines="50" w:afterLines="50" w:line="400" w:lineRule="exact"/>
      <w:ind w:right="-266"/>
      <w:jc w:val="center"/>
      <w:textAlignment w:val="baseline"/>
    </w:pPr>
    <w:rPr>
      <w:rFonts w:ascii="宋体" w:hAnsi="宋体"/>
      <w:b/>
      <w:kern w:val="0"/>
      <w:sz w:val="24"/>
    </w:rPr>
  </w:style>
  <w:style w:type="paragraph" w:customStyle="1" w:styleId="1018">
    <w:name w:val="Char Char Char Char Char Char Char Char Char Char Char Char Char2"/>
    <w:basedOn w:val="1"/>
    <w:autoRedefine/>
    <w:qFormat/>
    <w:uiPriority w:val="99"/>
    <w:pPr>
      <w:spacing w:line="360" w:lineRule="auto"/>
      <w:ind w:firstLine="200" w:firstLineChars="200"/>
    </w:pPr>
    <w:rPr>
      <w:rFonts w:ascii="宋体" w:hAnsi="宋体" w:cs="宋体"/>
      <w:sz w:val="24"/>
    </w:rPr>
  </w:style>
  <w:style w:type="paragraph" w:customStyle="1" w:styleId="1019">
    <w:name w:val="样式 标题 1 + 首行缩进:  2.5 字符"/>
    <w:basedOn w:val="3"/>
    <w:autoRedefine/>
    <w:qFormat/>
    <w:uiPriority w:val="99"/>
    <w:pPr>
      <w:keepNext w:val="0"/>
      <w:tabs>
        <w:tab w:val="left" w:pos="390"/>
      </w:tabs>
      <w:overflowPunct/>
      <w:snapToGrid/>
      <w:spacing w:before="100" w:after="100" w:line="240" w:lineRule="auto"/>
      <w:ind w:left="390" w:hanging="390" w:firstLineChars="200"/>
    </w:pPr>
    <w:rPr>
      <w:rFonts w:ascii="Calibri" w:hAnsi="Calibri" w:eastAsia="楷体_GB2312"/>
      <w:color w:val="auto"/>
      <w:sz w:val="28"/>
      <w:szCs w:val="28"/>
    </w:rPr>
  </w:style>
  <w:style w:type="paragraph" w:customStyle="1" w:styleId="1020">
    <w:name w:val="xl94"/>
    <w:basedOn w:val="1"/>
    <w:autoRedefine/>
    <w:qFormat/>
    <w:uiPriority w:val="99"/>
    <w:pPr>
      <w:widowControl/>
      <w:pBdr>
        <w:left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1021">
    <w:name w:val="封面正文"/>
    <w:autoRedefine/>
    <w:qFormat/>
    <w:uiPriority w:val="99"/>
    <w:pPr>
      <w:jc w:val="both"/>
    </w:pPr>
    <w:rPr>
      <w:rFonts w:ascii="Times New Roman" w:hAnsi="Times New Roman" w:eastAsia="宋体" w:cs="Times New Roman"/>
      <w:lang w:val="en-US" w:eastAsia="zh-CN" w:bidi="ar-SA"/>
    </w:rPr>
  </w:style>
  <w:style w:type="paragraph" w:customStyle="1" w:styleId="1022">
    <w:name w:val="样式 样式 样式 标题 3东明_小节H3条标题1.1.1二级节名h33rd level3l3CTHeading 3 - ... ..."/>
    <w:basedOn w:val="647"/>
    <w:autoRedefine/>
    <w:qFormat/>
    <w:uiPriority w:val="99"/>
    <w:pPr>
      <w:spacing w:after="0"/>
    </w:pPr>
  </w:style>
  <w:style w:type="paragraph" w:customStyle="1" w:styleId="1023">
    <w:name w:val="徐正文"/>
    <w:basedOn w:val="1"/>
    <w:autoRedefine/>
    <w:qFormat/>
    <w:uiPriority w:val="99"/>
    <w:pPr>
      <w:adjustRightInd w:val="0"/>
      <w:snapToGrid w:val="0"/>
      <w:spacing w:line="500" w:lineRule="atLeast"/>
      <w:ind w:firstLine="200" w:firstLineChars="200"/>
    </w:pPr>
    <w:rPr>
      <w:rFonts w:ascii="宋体" w:hAnsi="宋体"/>
      <w:bCs/>
      <w:sz w:val="24"/>
    </w:rPr>
  </w:style>
  <w:style w:type="paragraph" w:customStyle="1" w:styleId="1024">
    <w:name w:val="样式110"/>
    <w:basedOn w:val="1025"/>
    <w:autoRedefine/>
    <w:qFormat/>
    <w:uiPriority w:val="99"/>
    <w:pPr>
      <w:adjustRightInd w:val="0"/>
    </w:pPr>
  </w:style>
  <w:style w:type="paragraph" w:customStyle="1" w:styleId="1025">
    <w:name w:val="图框文字"/>
    <w:basedOn w:val="1"/>
    <w:autoRedefine/>
    <w:qFormat/>
    <w:uiPriority w:val="99"/>
    <w:pPr>
      <w:jc w:val="center"/>
      <w:textAlignment w:val="center"/>
    </w:pPr>
  </w:style>
  <w:style w:type="paragraph" w:customStyle="1" w:styleId="1026">
    <w:name w:val="xl189"/>
    <w:basedOn w:val="1"/>
    <w:autoRedefine/>
    <w:qFormat/>
    <w:uiPriority w:val="99"/>
    <w:pPr>
      <w:widowControl/>
      <w:pBdr>
        <w:bottom w:val="single" w:color="auto" w:sz="12" w:space="0"/>
        <w:right w:val="single" w:color="auto" w:sz="4" w:space="0"/>
      </w:pBdr>
      <w:spacing w:before="100" w:beforeAutospacing="1" w:after="100" w:afterAutospacing="1"/>
      <w:jc w:val="center"/>
      <w:textAlignment w:val="center"/>
    </w:pPr>
    <w:rPr>
      <w:rFonts w:ascii="Arial Unicode MS" w:hAnsi="Arial Unicode MS"/>
      <w:kern w:val="0"/>
    </w:rPr>
  </w:style>
  <w:style w:type="paragraph" w:customStyle="1" w:styleId="1027">
    <w:name w:val="font8"/>
    <w:basedOn w:val="1"/>
    <w:autoRedefine/>
    <w:qFormat/>
    <w:uiPriority w:val="99"/>
    <w:pPr>
      <w:widowControl/>
      <w:spacing w:before="100" w:beforeAutospacing="1" w:after="100" w:afterAutospacing="1"/>
      <w:jc w:val="left"/>
    </w:pPr>
    <w:rPr>
      <w:rFonts w:ascii="Arial" w:hAnsi="Arial" w:cs="Arial"/>
      <w:b/>
      <w:bCs/>
      <w:kern w:val="0"/>
      <w:sz w:val="24"/>
    </w:rPr>
  </w:style>
  <w:style w:type="paragraph" w:customStyle="1" w:styleId="1028">
    <w:name w:val="Char1 Char Char Char Char Char Char"/>
    <w:basedOn w:val="1"/>
    <w:autoRedefine/>
    <w:qFormat/>
    <w:uiPriority w:val="99"/>
    <w:pPr>
      <w:widowControl/>
      <w:contextualSpacing/>
      <w:jc w:val="left"/>
    </w:pPr>
    <w:rPr>
      <w:rFonts w:cs="宋体"/>
      <w:kern w:val="0"/>
    </w:rPr>
  </w:style>
  <w:style w:type="paragraph" w:customStyle="1" w:styleId="1029">
    <w:name w:val="表格文字-左对齐"/>
    <w:basedOn w:val="1"/>
    <w:next w:val="1"/>
    <w:autoRedefine/>
    <w:qFormat/>
    <w:uiPriority w:val="99"/>
    <w:rPr>
      <w:rFonts w:ascii="宋体"/>
      <w:sz w:val="24"/>
    </w:rPr>
  </w:style>
  <w:style w:type="paragraph" w:customStyle="1" w:styleId="1030">
    <w:name w:val="目录1"/>
    <w:basedOn w:val="60"/>
    <w:autoRedefine/>
    <w:qFormat/>
    <w:uiPriority w:val="99"/>
    <w:pPr>
      <w:keepNext/>
      <w:widowControl/>
      <w:tabs>
        <w:tab w:val="right" w:leader="dot" w:pos="8160"/>
        <w:tab w:val="right" w:leader="dot" w:pos="8280"/>
        <w:tab w:val="right" w:leader="dot" w:pos="8820"/>
      </w:tabs>
      <w:snapToGrid/>
      <w:spacing w:beforeLines="50" w:afterLines="50" w:line="480" w:lineRule="exact"/>
    </w:pPr>
    <w:rPr>
      <w:rFonts w:ascii="宋体" w:hAnsi="宋体"/>
      <w:b w:val="0"/>
      <w:kern w:val="0"/>
      <w:sz w:val="30"/>
      <w:szCs w:val="24"/>
      <w:lang w:val="zh-CN"/>
    </w:rPr>
  </w:style>
  <w:style w:type="paragraph" w:customStyle="1" w:styleId="1031">
    <w:name w:val="默认段落字体 Para Char"/>
    <w:basedOn w:val="1"/>
    <w:next w:val="1"/>
    <w:autoRedefine/>
    <w:qFormat/>
    <w:uiPriority w:val="99"/>
    <w:pPr>
      <w:spacing w:line="360" w:lineRule="auto"/>
      <w:ind w:firstLine="200" w:firstLineChars="200"/>
    </w:pPr>
    <w:rPr>
      <w:rFonts w:ascii="宋体" w:hAnsi="宋体" w:cs="宋体"/>
      <w:sz w:val="24"/>
    </w:rPr>
  </w:style>
  <w:style w:type="paragraph" w:customStyle="1" w:styleId="1032">
    <w:name w:val="菏泽-标题 3"/>
    <w:basedOn w:val="1"/>
    <w:next w:val="1"/>
    <w:autoRedefine/>
    <w:qFormat/>
    <w:uiPriority w:val="99"/>
    <w:pPr>
      <w:keepNext/>
      <w:keepLines/>
      <w:overflowPunct w:val="0"/>
      <w:snapToGrid w:val="0"/>
      <w:spacing w:line="440" w:lineRule="exact"/>
      <w:ind w:firstLine="359" w:firstLineChars="128"/>
      <w:outlineLvl w:val="2"/>
    </w:pPr>
    <w:rPr>
      <w:rFonts w:ascii="华文细黑" w:hAnsi="华文细黑" w:eastAsia="华文细黑"/>
      <w:b/>
      <w:sz w:val="28"/>
      <w:szCs w:val="28"/>
    </w:rPr>
  </w:style>
  <w:style w:type="paragraph" w:customStyle="1" w:styleId="1033">
    <w:name w:val="heading"/>
    <w:basedOn w:val="1"/>
    <w:next w:val="1"/>
    <w:autoRedefine/>
    <w:qFormat/>
    <w:uiPriority w:val="99"/>
    <w:pPr>
      <w:keepNext/>
      <w:keepLines/>
      <w:tabs>
        <w:tab w:val="left" w:pos="576"/>
      </w:tabs>
      <w:spacing w:line="360" w:lineRule="auto"/>
      <w:ind w:left="576"/>
      <w:outlineLvl w:val="1"/>
    </w:pPr>
    <w:rPr>
      <w:rFonts w:ascii="宋体" w:hAnsi="Arial Black" w:cs="宋体"/>
      <w:sz w:val="24"/>
    </w:rPr>
  </w:style>
  <w:style w:type="paragraph" w:customStyle="1" w:styleId="1034">
    <w:name w:val="页脚2"/>
    <w:basedOn w:val="54"/>
    <w:autoRedefine/>
    <w:qFormat/>
    <w:uiPriority w:val="99"/>
    <w:pPr>
      <w:pBdr>
        <w:top w:val="single" w:color="auto" w:sz="4" w:space="1"/>
      </w:pBdr>
      <w:wordWrap w:val="0"/>
      <w:snapToGrid/>
      <w:ind w:right="190"/>
      <w:jc w:val="right"/>
    </w:pPr>
    <w:rPr>
      <w:rFonts w:ascii="宋体" w:hAnsi="宋体"/>
      <w:kern w:val="2"/>
      <w:szCs w:val="18"/>
    </w:rPr>
  </w:style>
  <w:style w:type="paragraph" w:customStyle="1" w:styleId="1035">
    <w:name w:val="甲乙酮2"/>
    <w:basedOn w:val="391"/>
    <w:next w:val="1"/>
    <w:autoRedefine/>
    <w:qFormat/>
    <w:uiPriority w:val="99"/>
  </w:style>
  <w:style w:type="paragraph" w:customStyle="1" w:styleId="1036">
    <w:name w:val="表格式"/>
    <w:basedOn w:val="67"/>
    <w:autoRedefine/>
    <w:qFormat/>
    <w:uiPriority w:val="99"/>
    <w:pPr>
      <w:snapToGrid/>
      <w:spacing w:line="340" w:lineRule="exact"/>
      <w:jc w:val="center"/>
    </w:pPr>
    <w:rPr>
      <w:rFonts w:ascii="Courier New" w:hAnsi="Courier New"/>
    </w:rPr>
  </w:style>
  <w:style w:type="paragraph" w:customStyle="1" w:styleId="1037">
    <w:name w:val="xl68"/>
    <w:basedOn w:val="1"/>
    <w:autoRedefine/>
    <w:qFormat/>
    <w:uiPriority w:val="99"/>
    <w:pPr>
      <w:widowControl/>
      <w:spacing w:before="100" w:beforeAutospacing="1" w:after="100" w:afterAutospacing="1"/>
      <w:jc w:val="left"/>
    </w:pPr>
    <w:rPr>
      <w:rFonts w:ascii="宋体" w:hAnsi="宋体"/>
      <w:b/>
      <w:bCs/>
      <w:kern w:val="0"/>
      <w:sz w:val="22"/>
      <w:szCs w:val="22"/>
    </w:rPr>
  </w:style>
  <w:style w:type="paragraph" w:customStyle="1" w:styleId="1038">
    <w:name w:val="xl119"/>
    <w:basedOn w:val="1"/>
    <w:autoRedefine/>
    <w:qFormat/>
    <w:uiPriority w:val="99"/>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1039">
    <w:name w:val="xl136"/>
    <w:basedOn w:val="1"/>
    <w:autoRedefine/>
    <w:qFormat/>
    <w:uiPriority w:val="99"/>
    <w:pPr>
      <w:widowControl/>
      <w:spacing w:before="100" w:beforeAutospacing="1" w:after="100" w:afterAutospacing="1"/>
      <w:jc w:val="left"/>
    </w:pPr>
    <w:rPr>
      <w:rFonts w:ascii="Arial Unicode MS" w:hAnsi="Arial Unicode MS"/>
      <w:kern w:val="0"/>
      <w:sz w:val="12"/>
      <w:szCs w:val="12"/>
    </w:rPr>
  </w:style>
  <w:style w:type="paragraph" w:customStyle="1" w:styleId="1040">
    <w:name w:val="xl39"/>
    <w:basedOn w:val="1"/>
    <w:autoRedefine/>
    <w:qFormat/>
    <w:uiPriority w:val="99"/>
    <w:pPr>
      <w:widowControl/>
      <w:spacing w:before="100" w:beforeAutospacing="1" w:after="100" w:afterAutospacing="1"/>
      <w:jc w:val="center"/>
    </w:pPr>
    <w:rPr>
      <w:rFonts w:ascii="Arial" w:hAnsi="Arial" w:cs="Arial"/>
      <w:b/>
      <w:bCs/>
      <w:kern w:val="0"/>
      <w:sz w:val="22"/>
      <w:szCs w:val="22"/>
    </w:rPr>
  </w:style>
  <w:style w:type="paragraph" w:customStyle="1" w:styleId="1041">
    <w:name w:val="节标题"/>
    <w:basedOn w:val="1"/>
    <w:next w:val="1"/>
    <w:autoRedefine/>
    <w:qFormat/>
    <w:uiPriority w:val="99"/>
    <w:pPr>
      <w:widowControl/>
      <w:spacing w:line="578" w:lineRule="atLeast"/>
      <w:jc w:val="center"/>
      <w:textAlignment w:val="baseline"/>
    </w:pPr>
    <w:rPr>
      <w:color w:val="000000"/>
      <w:kern w:val="0"/>
      <w:sz w:val="28"/>
      <w:szCs w:val="20"/>
      <w:u w:color="000000"/>
    </w:rPr>
  </w:style>
  <w:style w:type="paragraph" w:customStyle="1" w:styleId="1042">
    <w:name w:val="bh1"/>
    <w:basedOn w:val="1"/>
    <w:autoRedefine/>
    <w:qFormat/>
    <w:uiPriority w:val="99"/>
    <w:pPr>
      <w:widowControl/>
      <w:jc w:val="left"/>
    </w:pPr>
    <w:rPr>
      <w:rFonts w:ascii="宋体" w:hAnsi="宋体" w:cs="宋体"/>
      <w:kern w:val="0"/>
      <w:sz w:val="24"/>
    </w:rPr>
  </w:style>
  <w:style w:type="paragraph" w:customStyle="1" w:styleId="1043">
    <w:name w:val="中文报告书样式"/>
    <w:basedOn w:val="1"/>
    <w:autoRedefine/>
    <w:qFormat/>
    <w:uiPriority w:val="99"/>
    <w:pPr>
      <w:adjustRightInd w:val="0"/>
      <w:spacing w:line="480" w:lineRule="atLeast"/>
      <w:ind w:firstLine="482"/>
      <w:textAlignment w:val="baseline"/>
    </w:pPr>
    <w:rPr>
      <w:kern w:val="24"/>
      <w:sz w:val="24"/>
      <w:szCs w:val="20"/>
    </w:rPr>
  </w:style>
  <w:style w:type="paragraph" w:customStyle="1" w:styleId="1044">
    <w:name w:val="xl121"/>
    <w:basedOn w:val="1"/>
    <w:autoRedefine/>
    <w:qFormat/>
    <w:uiPriority w:val="99"/>
    <w:pPr>
      <w:widowControl/>
      <w:spacing w:before="100" w:beforeAutospacing="1" w:after="100" w:afterAutospacing="1"/>
      <w:jc w:val="left"/>
    </w:pPr>
    <w:rPr>
      <w:rFonts w:ascii="Arial Unicode MS" w:hAnsi="Arial Unicode MS"/>
      <w:kern w:val="0"/>
      <w:sz w:val="16"/>
      <w:szCs w:val="16"/>
    </w:rPr>
  </w:style>
  <w:style w:type="paragraph" w:customStyle="1" w:styleId="1045">
    <w:name w:val="样式 上标"/>
    <w:basedOn w:val="715"/>
    <w:next w:val="715"/>
    <w:autoRedefine/>
    <w:qFormat/>
    <w:uiPriority w:val="99"/>
    <w:pPr>
      <w:spacing w:before="0" w:after="0" w:line="320" w:lineRule="exact"/>
      <w:ind w:firstLine="200"/>
    </w:pPr>
    <w:rPr>
      <w:caps/>
      <w:szCs w:val="36"/>
    </w:rPr>
  </w:style>
  <w:style w:type="paragraph" w:customStyle="1" w:styleId="1046">
    <w:name w:val="表内5S"/>
    <w:basedOn w:val="1"/>
    <w:autoRedefine/>
    <w:qFormat/>
    <w:uiPriority w:val="99"/>
    <w:pPr>
      <w:spacing w:line="300" w:lineRule="atLeast"/>
      <w:jc w:val="center"/>
    </w:pPr>
    <w:rPr>
      <w:rFonts w:eastAsia="方正宋三简体"/>
      <w:szCs w:val="20"/>
    </w:rPr>
  </w:style>
  <w:style w:type="paragraph" w:customStyle="1" w:styleId="1047">
    <w:name w:val="表格内容格式"/>
    <w:basedOn w:val="1"/>
    <w:autoRedefine/>
    <w:qFormat/>
    <w:uiPriority w:val="99"/>
    <w:pPr>
      <w:adjustRightInd w:val="0"/>
      <w:spacing w:line="240" w:lineRule="atLeast"/>
      <w:jc w:val="center"/>
      <w:textAlignment w:val="baseline"/>
    </w:pPr>
    <w:rPr>
      <w:color w:val="000000"/>
      <w:kern w:val="0"/>
      <w:szCs w:val="20"/>
    </w:rPr>
  </w:style>
  <w:style w:type="paragraph" w:customStyle="1" w:styleId="1048">
    <w:name w:val="标题四"/>
    <w:basedOn w:val="5"/>
    <w:autoRedefine/>
    <w:qFormat/>
    <w:uiPriority w:val="99"/>
    <w:pPr>
      <w:tabs>
        <w:tab w:val="left" w:pos="0"/>
        <w:tab w:val="left" w:pos="1260"/>
      </w:tabs>
      <w:spacing w:before="0" w:after="0" w:line="240" w:lineRule="auto"/>
      <w:ind w:left="1260" w:hanging="420"/>
      <w:contextualSpacing/>
    </w:pPr>
    <w:rPr>
      <w:rFonts w:ascii="黑体" w:eastAsia="黑体"/>
      <w:sz w:val="28"/>
      <w:szCs w:val="28"/>
    </w:rPr>
  </w:style>
  <w:style w:type="paragraph" w:customStyle="1" w:styleId="1049">
    <w:name w:val="正文文字"/>
    <w:basedOn w:val="34"/>
    <w:autoRedefine/>
    <w:qFormat/>
    <w:uiPriority w:val="99"/>
    <w:pPr>
      <w:widowControl/>
      <w:spacing w:after="0" w:line="360" w:lineRule="auto"/>
      <w:ind w:left="0" w:leftChars="0" w:firstLine="200" w:firstLineChars="200"/>
      <w:jc w:val="left"/>
    </w:pPr>
    <w:rPr>
      <w:rFonts w:ascii="Calibri" w:hAnsi="Calibri" w:eastAsia="仿宋_GB2312"/>
      <w:color w:val="000000"/>
      <w:szCs w:val="24"/>
      <w:lang w:eastAsia="en-US"/>
    </w:rPr>
  </w:style>
  <w:style w:type="paragraph" w:customStyle="1" w:styleId="1050">
    <w:name w:val="Char1"/>
    <w:basedOn w:val="1"/>
    <w:qFormat/>
    <w:uiPriority w:val="99"/>
    <w:pPr>
      <w:spacing w:line="240" w:lineRule="exact"/>
      <w:ind w:firstLine="200" w:firstLineChars="200"/>
    </w:pPr>
    <w:rPr>
      <w:sz w:val="28"/>
      <w:szCs w:val="28"/>
    </w:rPr>
  </w:style>
  <w:style w:type="paragraph" w:customStyle="1" w:styleId="1051">
    <w:name w:val="正文 首行缩进:  2 字符 Char Char"/>
    <w:basedOn w:val="1"/>
    <w:autoRedefine/>
    <w:qFormat/>
    <w:uiPriority w:val="99"/>
    <w:pPr>
      <w:spacing w:before="240" w:after="240" w:line="480" w:lineRule="exact"/>
      <w:ind w:firstLine="560" w:firstLineChars="200"/>
    </w:pPr>
    <w:rPr>
      <w:sz w:val="28"/>
      <w:szCs w:val="20"/>
    </w:rPr>
  </w:style>
  <w:style w:type="paragraph" w:customStyle="1" w:styleId="1052">
    <w:name w:val="Char Char Char Char Char Char Char Char Char Char Char Char Char1"/>
    <w:basedOn w:val="1"/>
    <w:autoRedefine/>
    <w:qFormat/>
    <w:uiPriority w:val="99"/>
    <w:pPr>
      <w:jc w:val="center"/>
    </w:pPr>
    <w:rPr>
      <w:rFonts w:ascii="宋体"/>
    </w:rPr>
  </w:style>
  <w:style w:type="paragraph" w:customStyle="1" w:styleId="1053">
    <w:name w:val="样式27"/>
    <w:basedOn w:val="3"/>
    <w:autoRedefine/>
    <w:qFormat/>
    <w:uiPriority w:val="99"/>
    <w:pPr>
      <w:keepNext w:val="0"/>
      <w:tabs>
        <w:tab w:val="left" w:pos="390"/>
      </w:tabs>
      <w:overflowPunct/>
      <w:snapToGrid/>
      <w:spacing w:beforeLines="100" w:afterLines="100" w:line="360" w:lineRule="auto"/>
      <w:ind w:left="390" w:firstLine="0"/>
      <w:jc w:val="center"/>
      <w:outlineLvl w:val="9"/>
    </w:pPr>
    <w:rPr>
      <w:rFonts w:ascii="黑体" w:hAnsi="Calibri" w:cs="Arial Unicode MS"/>
      <w:b w:val="0"/>
      <w:bCs w:val="0"/>
      <w:color w:val="auto"/>
      <w:kern w:val="2"/>
      <w:sz w:val="32"/>
      <w:szCs w:val="32"/>
    </w:rPr>
  </w:style>
  <w:style w:type="paragraph" w:customStyle="1" w:styleId="1054">
    <w:name w:val="ST20_32"/>
    <w:basedOn w:val="54"/>
    <w:autoRedefine/>
    <w:qFormat/>
    <w:uiPriority w:val="99"/>
    <w:pPr>
      <w:contextualSpacing/>
    </w:pPr>
    <w:rPr>
      <w:kern w:val="2"/>
      <w:sz w:val="21"/>
      <w:szCs w:val="21"/>
    </w:rPr>
  </w:style>
  <w:style w:type="paragraph" w:customStyle="1" w:styleId="1055">
    <w:name w:val="xl34"/>
    <w:basedOn w:val="1"/>
    <w:autoRedefine/>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1056">
    <w:name w:val="Char Char3 Char Char"/>
    <w:basedOn w:val="1"/>
    <w:autoRedefine/>
    <w:qFormat/>
    <w:uiPriority w:val="99"/>
    <w:pPr>
      <w:spacing w:line="360" w:lineRule="auto"/>
      <w:ind w:firstLine="200" w:firstLineChars="200"/>
    </w:pPr>
    <w:rPr>
      <w:rFonts w:ascii="宋体" w:hAnsi="宋体" w:cs="宋体"/>
      <w:sz w:val="24"/>
    </w:rPr>
  </w:style>
  <w:style w:type="paragraph" w:customStyle="1" w:styleId="1057">
    <w:name w:val="Char Char Char Char2"/>
    <w:basedOn w:val="1"/>
    <w:autoRedefine/>
    <w:qFormat/>
    <w:uiPriority w:val="99"/>
    <w:pPr>
      <w:widowControl/>
      <w:spacing w:after="160" w:line="240" w:lineRule="exact"/>
      <w:jc w:val="left"/>
    </w:pPr>
    <w:rPr>
      <w:rFonts w:ascii="Arial" w:hAnsi="Arial" w:cs="Verdana"/>
      <w:b/>
      <w:kern w:val="0"/>
      <w:sz w:val="24"/>
      <w:lang w:eastAsia="en-US"/>
    </w:rPr>
  </w:style>
  <w:style w:type="paragraph" w:customStyle="1" w:styleId="1058">
    <w:name w:val="列出段落11"/>
    <w:basedOn w:val="1"/>
    <w:autoRedefine/>
    <w:qFormat/>
    <w:uiPriority w:val="99"/>
    <w:pPr>
      <w:spacing w:line="360" w:lineRule="auto"/>
      <w:ind w:firstLine="420" w:firstLineChars="200"/>
    </w:pPr>
    <w:rPr>
      <w:sz w:val="24"/>
      <w:szCs w:val="21"/>
    </w:rPr>
  </w:style>
  <w:style w:type="paragraph" w:customStyle="1" w:styleId="1059">
    <w:name w:val="样式44"/>
    <w:basedOn w:val="1"/>
    <w:autoRedefine/>
    <w:qFormat/>
    <w:uiPriority w:val="99"/>
    <w:pPr>
      <w:spacing w:line="500" w:lineRule="exact"/>
      <w:ind w:firstLine="594" w:firstLineChars="212"/>
    </w:pPr>
    <w:rPr>
      <w:rFonts w:ascii="宋体" w:hAnsi="宋体"/>
      <w:sz w:val="28"/>
      <w:szCs w:val="20"/>
    </w:rPr>
  </w:style>
  <w:style w:type="paragraph" w:customStyle="1" w:styleId="1060">
    <w:name w:val="样式 列表 + 左侧:  0 厘米 悬挂缩进: 2 字符"/>
    <w:basedOn w:val="67"/>
    <w:autoRedefine/>
    <w:qFormat/>
    <w:uiPriority w:val="99"/>
    <w:pPr>
      <w:tabs>
        <w:tab w:val="center" w:pos="4153"/>
        <w:tab w:val="right" w:pos="8306"/>
      </w:tabs>
      <w:spacing w:line="240" w:lineRule="auto"/>
      <w:jc w:val="center"/>
    </w:pPr>
    <w:rPr>
      <w:rFonts w:eastAsia="方正仿宋_GBK" w:cs="宋体"/>
      <w:szCs w:val="21"/>
    </w:rPr>
  </w:style>
  <w:style w:type="paragraph" w:customStyle="1" w:styleId="1061">
    <w:name w:val="文字"/>
    <w:basedOn w:val="1"/>
    <w:next w:val="1"/>
    <w:autoRedefine/>
    <w:qFormat/>
    <w:uiPriority w:val="99"/>
    <w:pPr>
      <w:autoSpaceDE w:val="0"/>
      <w:autoSpaceDN w:val="0"/>
      <w:adjustRightInd w:val="0"/>
      <w:contextualSpacing/>
      <w:jc w:val="left"/>
    </w:pPr>
    <w:rPr>
      <w:rFonts w:ascii="Fang Song" w:eastAsia="Fang Song"/>
      <w:kern w:val="0"/>
    </w:rPr>
  </w:style>
  <w:style w:type="paragraph" w:customStyle="1" w:styleId="1062">
    <w:name w:val="正文无空格"/>
    <w:basedOn w:val="1"/>
    <w:autoRedefine/>
    <w:qFormat/>
    <w:uiPriority w:val="99"/>
    <w:pPr>
      <w:spacing w:line="360" w:lineRule="auto"/>
      <w:jc w:val="left"/>
    </w:pPr>
    <w:rPr>
      <w:rFonts w:ascii="宋体" w:hAnsi="宋体"/>
      <w:sz w:val="28"/>
      <w:szCs w:val="28"/>
    </w:rPr>
  </w:style>
  <w:style w:type="paragraph" w:customStyle="1" w:styleId="1063">
    <w:name w:val="框图"/>
    <w:basedOn w:val="1"/>
    <w:autoRedefine/>
    <w:qFormat/>
    <w:uiPriority w:val="99"/>
    <w:pPr>
      <w:adjustRightInd w:val="0"/>
      <w:snapToGrid w:val="0"/>
      <w:jc w:val="center"/>
    </w:pPr>
    <w:rPr>
      <w:rFonts w:hAnsi="宋体"/>
      <w:b/>
      <w:szCs w:val="21"/>
    </w:rPr>
  </w:style>
  <w:style w:type="paragraph" w:customStyle="1" w:styleId="1064">
    <w:name w:val="CM31"/>
    <w:basedOn w:val="1"/>
    <w:next w:val="1"/>
    <w:autoRedefine/>
    <w:qFormat/>
    <w:uiPriority w:val="99"/>
    <w:pPr>
      <w:autoSpaceDE w:val="0"/>
      <w:autoSpaceDN w:val="0"/>
      <w:adjustRightInd w:val="0"/>
      <w:spacing w:line="468" w:lineRule="atLeast"/>
      <w:jc w:val="left"/>
    </w:pPr>
    <w:rPr>
      <w:rFonts w:ascii="黑体" w:eastAsia="黑体"/>
      <w:kern w:val="0"/>
      <w:sz w:val="24"/>
    </w:rPr>
  </w:style>
  <w:style w:type="paragraph" w:customStyle="1" w:styleId="1065">
    <w:name w:val="表样式1"/>
    <w:basedOn w:val="1"/>
    <w:autoRedefine/>
    <w:qFormat/>
    <w:uiPriority w:val="99"/>
    <w:pPr>
      <w:spacing w:line="320" w:lineRule="exact"/>
      <w:ind w:firstLine="200" w:firstLineChars="200"/>
    </w:pPr>
    <w:rPr>
      <w:rFonts w:ascii="宋体" w:hAnsi="宋体"/>
      <w:color w:val="000000"/>
      <w:sz w:val="24"/>
      <w:szCs w:val="18"/>
    </w:rPr>
  </w:style>
  <w:style w:type="paragraph" w:customStyle="1" w:styleId="1066">
    <w:name w:val="表题"/>
    <w:basedOn w:val="8"/>
    <w:autoRedefine/>
    <w:semiHidden/>
    <w:qFormat/>
    <w:uiPriority w:val="99"/>
    <w:pPr>
      <w:spacing w:line="100" w:lineRule="atLeast"/>
      <w:ind w:firstLine="0"/>
      <w:jc w:val="center"/>
    </w:pPr>
  </w:style>
  <w:style w:type="paragraph" w:customStyle="1" w:styleId="1067">
    <w:name w:val="title2"/>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068">
    <w:name w:val="xl110"/>
    <w:basedOn w:val="1"/>
    <w:autoRedefine/>
    <w:qFormat/>
    <w:uiPriority w:val="99"/>
    <w:pPr>
      <w:widowControl/>
      <w:pBdr>
        <w:top w:val="single" w:color="auto" w:sz="12" w:space="0"/>
        <w:bottom w:val="single" w:color="auto" w:sz="8" w:space="0"/>
      </w:pBdr>
      <w:spacing w:before="100" w:beforeAutospacing="1" w:after="100" w:afterAutospacing="1"/>
      <w:jc w:val="center"/>
      <w:textAlignment w:val="center"/>
    </w:pPr>
    <w:rPr>
      <w:rFonts w:ascii="Arial Unicode MS" w:hAnsi="Arial Unicode MS"/>
      <w:kern w:val="0"/>
    </w:rPr>
  </w:style>
  <w:style w:type="paragraph" w:customStyle="1" w:styleId="1069">
    <w:name w:val="xl19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rPr>
  </w:style>
  <w:style w:type="paragraph" w:customStyle="1" w:styleId="1070">
    <w:name w:val="表格文字中对齐"/>
    <w:basedOn w:val="1"/>
    <w:autoRedefine/>
    <w:qFormat/>
    <w:uiPriority w:val="99"/>
    <w:pPr>
      <w:spacing w:line="320" w:lineRule="exact"/>
      <w:jc w:val="center"/>
    </w:pPr>
    <w:rPr>
      <w:rFonts w:ascii="宋体" w:hAnsi="宋体"/>
      <w:color w:val="000000"/>
      <w:kern w:val="0"/>
      <w:szCs w:val="21"/>
    </w:rPr>
  </w:style>
  <w:style w:type="paragraph" w:customStyle="1" w:styleId="1071">
    <w:name w:val="引用文章"/>
    <w:basedOn w:val="1"/>
    <w:autoRedefine/>
    <w:qFormat/>
    <w:uiPriority w:val="99"/>
    <w:pPr>
      <w:spacing w:line="360" w:lineRule="auto"/>
      <w:ind w:firstLine="420" w:firstLineChars="200"/>
    </w:pPr>
    <w:rPr>
      <w:rFonts w:eastAsia="楷体_GB2312" w:cs="宋体"/>
      <w:sz w:val="24"/>
      <w:szCs w:val="20"/>
    </w:rPr>
  </w:style>
  <w:style w:type="paragraph" w:customStyle="1" w:styleId="1072">
    <w:name w:val="p17"/>
    <w:basedOn w:val="1"/>
    <w:autoRedefine/>
    <w:qFormat/>
    <w:uiPriority w:val="99"/>
    <w:pPr>
      <w:widowControl/>
      <w:snapToGrid w:val="0"/>
      <w:spacing w:line="480" w:lineRule="atLeast"/>
      <w:ind w:firstLine="482"/>
    </w:pPr>
    <w:rPr>
      <w:kern w:val="0"/>
      <w:sz w:val="24"/>
    </w:rPr>
  </w:style>
  <w:style w:type="paragraph" w:customStyle="1" w:styleId="1073">
    <w:name w:val="Char2 Char Char Char1"/>
    <w:basedOn w:val="1"/>
    <w:autoRedefine/>
    <w:qFormat/>
    <w:uiPriority w:val="99"/>
    <w:pPr>
      <w:spacing w:line="360" w:lineRule="auto"/>
      <w:ind w:firstLine="200" w:firstLineChars="200"/>
    </w:pPr>
    <w:rPr>
      <w:rFonts w:ascii="宋体" w:hAnsi="宋体" w:cs="宋体"/>
      <w:sz w:val="24"/>
    </w:rPr>
  </w:style>
  <w:style w:type="paragraph" w:customStyle="1" w:styleId="1074">
    <w:name w:val="报告标题1"/>
    <w:basedOn w:val="3"/>
    <w:autoRedefine/>
    <w:qFormat/>
    <w:uiPriority w:val="99"/>
    <w:pPr>
      <w:keepLines/>
      <w:tabs>
        <w:tab w:val="left" w:pos="390"/>
      </w:tabs>
      <w:overflowPunct/>
      <w:snapToGrid/>
      <w:spacing w:before="200" w:after="200" w:line="360" w:lineRule="auto"/>
      <w:ind w:left="390" w:firstLine="0"/>
    </w:pPr>
    <w:rPr>
      <w:rFonts w:ascii="Calibri" w:hAnsi="Calibri" w:eastAsia="宋体"/>
      <w:color w:val="auto"/>
      <w:sz w:val="44"/>
      <w:szCs w:val="44"/>
    </w:rPr>
  </w:style>
  <w:style w:type="paragraph" w:customStyle="1" w:styleId="1075">
    <w:name w:val="表格项目"/>
    <w:basedOn w:val="899"/>
    <w:next w:val="899"/>
    <w:autoRedefine/>
    <w:semiHidden/>
    <w:qFormat/>
    <w:uiPriority w:val="99"/>
    <w:pPr>
      <w:spacing w:before="100" w:beforeAutospacing="1" w:after="100" w:afterAutospacing="1" w:line="240" w:lineRule="auto"/>
    </w:pPr>
    <w:rPr>
      <w:b/>
      <w:bCs/>
      <w:caps/>
      <w:szCs w:val="21"/>
    </w:rPr>
  </w:style>
  <w:style w:type="paragraph" w:customStyle="1" w:styleId="1076">
    <w:name w:val="1.1"/>
    <w:basedOn w:val="1"/>
    <w:autoRedefine/>
    <w:qFormat/>
    <w:uiPriority w:val="99"/>
    <w:pPr>
      <w:spacing w:line="600" w:lineRule="exact"/>
      <w:outlineLvl w:val="0"/>
    </w:pPr>
    <w:rPr>
      <w:rFonts w:eastAsia="黑体"/>
      <w:sz w:val="32"/>
    </w:rPr>
  </w:style>
  <w:style w:type="paragraph" w:customStyle="1" w:styleId="1077">
    <w:name w:val="表格标题栏文字"/>
    <w:basedOn w:val="1"/>
    <w:next w:val="1"/>
    <w:autoRedefine/>
    <w:qFormat/>
    <w:uiPriority w:val="99"/>
    <w:pPr>
      <w:jc w:val="center"/>
    </w:pPr>
    <w:rPr>
      <w:rFonts w:ascii="黑体" w:eastAsia="黑体"/>
      <w:caps/>
      <w:sz w:val="24"/>
    </w:rPr>
  </w:style>
  <w:style w:type="paragraph" w:customStyle="1" w:styleId="1078">
    <w:name w:val="Char1 Char Char Char1"/>
    <w:basedOn w:val="1"/>
    <w:autoRedefine/>
    <w:qFormat/>
    <w:uiPriority w:val="99"/>
    <w:pPr>
      <w:spacing w:line="360" w:lineRule="auto"/>
      <w:ind w:firstLine="200" w:firstLineChars="200"/>
    </w:pPr>
    <w:rPr>
      <w:rFonts w:ascii="宋体" w:hAnsi="宋体" w:cs="宋体"/>
      <w:sz w:val="24"/>
    </w:rPr>
  </w:style>
  <w:style w:type="paragraph" w:customStyle="1" w:styleId="1079">
    <w:name w:val="正文-1"/>
    <w:basedOn w:val="1"/>
    <w:autoRedefine/>
    <w:qFormat/>
    <w:uiPriority w:val="99"/>
    <w:pPr>
      <w:adjustRightInd w:val="0"/>
      <w:spacing w:line="440" w:lineRule="exact"/>
      <w:ind w:firstLine="200" w:firstLineChars="200"/>
    </w:pPr>
    <w:rPr>
      <w:sz w:val="24"/>
      <w:szCs w:val="20"/>
    </w:rPr>
  </w:style>
  <w:style w:type="paragraph" w:customStyle="1" w:styleId="1080">
    <w:name w:val="Char Char Char Char Char Char Char Char Char Char Char Char Char Char Char Char Char Char Char Char Char Char Char Char"/>
    <w:basedOn w:val="1"/>
    <w:autoRedefine/>
    <w:qFormat/>
    <w:uiPriority w:val="99"/>
    <w:pPr>
      <w:widowControl/>
      <w:contextualSpacing/>
      <w:jc w:val="left"/>
    </w:pPr>
    <w:rPr>
      <w:rFonts w:cs="宋体"/>
      <w:kern w:val="0"/>
    </w:rPr>
  </w:style>
  <w:style w:type="paragraph" w:customStyle="1" w:styleId="1081">
    <w:name w:val="xl177"/>
    <w:basedOn w:val="1"/>
    <w:autoRedefine/>
    <w:qFormat/>
    <w:uiPriority w:val="99"/>
    <w:pPr>
      <w:widowControl/>
      <w:pBdr>
        <w:left w:val="single" w:color="auto" w:sz="4" w:space="0"/>
      </w:pBdr>
      <w:spacing w:before="100" w:beforeAutospacing="1" w:after="100" w:afterAutospacing="1"/>
      <w:jc w:val="center"/>
    </w:pPr>
    <w:rPr>
      <w:rFonts w:ascii="Arial Unicode MS" w:hAnsi="Arial Unicode MS"/>
      <w:kern w:val="0"/>
      <w:sz w:val="12"/>
      <w:szCs w:val="12"/>
    </w:rPr>
  </w:style>
  <w:style w:type="paragraph" w:customStyle="1" w:styleId="1082">
    <w:name w:val="k4"/>
    <w:basedOn w:val="32"/>
    <w:autoRedefine/>
    <w:qFormat/>
    <w:uiPriority w:val="99"/>
    <w:pPr>
      <w:widowControl w:val="0"/>
      <w:numPr>
        <w:ilvl w:val="0"/>
        <w:numId w:val="11"/>
      </w:numPr>
      <w:tabs>
        <w:tab w:val="left" w:pos="360"/>
        <w:tab w:val="clear" w:pos="504"/>
      </w:tabs>
      <w:snapToGrid/>
      <w:spacing w:before="0" w:after="0" w:line="360" w:lineRule="auto"/>
      <w:ind w:left="0" w:right="0" w:firstLine="480"/>
    </w:pPr>
    <w:rPr>
      <w:rFonts w:ascii="宋体" w:hAnsi="Courier New"/>
      <w:b/>
      <w:kern w:val="2"/>
      <w:sz w:val="28"/>
    </w:rPr>
  </w:style>
  <w:style w:type="paragraph" w:customStyle="1" w:styleId="1083">
    <w:name w:val="cdb"/>
    <w:basedOn w:val="1"/>
    <w:autoRedefine/>
    <w:qFormat/>
    <w:uiPriority w:val="99"/>
    <w:pPr>
      <w:spacing w:before="120"/>
      <w:ind w:left="851" w:firstLine="482"/>
    </w:pPr>
    <w:rPr>
      <w:szCs w:val="20"/>
    </w:rPr>
  </w:style>
  <w:style w:type="paragraph" w:customStyle="1" w:styleId="1084">
    <w:name w:val="东明_a"/>
    <w:basedOn w:val="1"/>
    <w:autoRedefine/>
    <w:qFormat/>
    <w:uiPriority w:val="99"/>
    <w:pPr>
      <w:spacing w:before="240" w:after="240" w:line="480" w:lineRule="exact"/>
      <w:ind w:left="560"/>
    </w:pPr>
    <w:rPr>
      <w:b/>
      <w:bCs/>
      <w:sz w:val="28"/>
      <w:szCs w:val="20"/>
    </w:rPr>
  </w:style>
  <w:style w:type="paragraph" w:customStyle="1" w:styleId="1085">
    <w:name w:val="样式 标题 1章标题 11标题 1H1一、 + 行距: 1.5 倍行距5"/>
    <w:basedOn w:val="3"/>
    <w:autoRedefine/>
    <w:semiHidden/>
    <w:qFormat/>
    <w:uiPriority w:val="99"/>
    <w:pPr>
      <w:keepLines/>
      <w:overflowPunct/>
      <w:spacing w:before="340" w:after="330" w:line="360" w:lineRule="auto"/>
      <w:ind w:left="3845" w:hanging="3845"/>
      <w:jc w:val="center"/>
    </w:pPr>
    <w:rPr>
      <w:rFonts w:cs="宋体"/>
      <w:color w:val="auto"/>
      <w:sz w:val="44"/>
      <w:szCs w:val="20"/>
    </w:rPr>
  </w:style>
  <w:style w:type="paragraph" w:customStyle="1" w:styleId="1086">
    <w:name w:val="图 标题"/>
    <w:basedOn w:val="283"/>
    <w:autoRedefine/>
    <w:qFormat/>
    <w:uiPriority w:val="99"/>
    <w:pPr>
      <w:spacing w:line="240" w:lineRule="auto"/>
      <w:ind w:firstLine="0" w:firstLineChars="0"/>
      <w:jc w:val="center"/>
    </w:pPr>
    <w:rPr>
      <w:b/>
      <w:color w:val="FF0000"/>
    </w:rPr>
  </w:style>
  <w:style w:type="paragraph" w:customStyle="1" w:styleId="1087">
    <w:name w:val="表中文字1"/>
    <w:autoRedefine/>
    <w:qFormat/>
    <w:uiPriority w:val="99"/>
    <w:pPr>
      <w:widowControl w:val="0"/>
      <w:adjustRightInd w:val="0"/>
      <w:snapToGrid w:val="0"/>
      <w:spacing w:line="280" w:lineRule="exact"/>
      <w:jc w:val="center"/>
    </w:pPr>
    <w:rPr>
      <w:rFonts w:ascii="仿宋_GB2312" w:hAnsi="Times New Roman" w:eastAsia="仿宋_GB2312" w:cs="Times New Roman"/>
      <w:kern w:val="2"/>
      <w:sz w:val="24"/>
      <w:szCs w:val="24"/>
      <w:lang w:val="en-US" w:eastAsia="zh-CN" w:bidi="ar-SA"/>
    </w:rPr>
  </w:style>
  <w:style w:type="paragraph" w:customStyle="1" w:styleId="1088">
    <w:name w:val="流程"/>
    <w:basedOn w:val="1"/>
    <w:autoRedefine/>
    <w:qFormat/>
    <w:uiPriority w:val="99"/>
    <w:pPr>
      <w:topLinePunct/>
      <w:adjustRightInd w:val="0"/>
      <w:snapToGrid w:val="0"/>
      <w:jc w:val="center"/>
    </w:pPr>
    <w:rPr>
      <w:rFonts w:cs="宋体"/>
      <w:bCs/>
      <w:color w:val="000000"/>
      <w:szCs w:val="20"/>
    </w:rPr>
  </w:style>
  <w:style w:type="paragraph" w:customStyle="1" w:styleId="1089">
    <w:name w:val="样式12"/>
    <w:basedOn w:val="1025"/>
    <w:autoRedefine/>
    <w:qFormat/>
    <w:uiPriority w:val="99"/>
    <w:pPr>
      <w:adjustRightInd w:val="0"/>
    </w:pPr>
    <w:rPr>
      <w:rFonts w:ascii="仿宋_GB2312" w:hAnsi="宋体" w:eastAsia="仿宋_GB2312"/>
      <w:b/>
      <w:color w:val="FF0000"/>
      <w:szCs w:val="30"/>
    </w:rPr>
  </w:style>
  <w:style w:type="paragraph" w:customStyle="1" w:styleId="1090">
    <w:name w:val="样式32"/>
    <w:basedOn w:val="1"/>
    <w:autoRedefine/>
    <w:qFormat/>
    <w:uiPriority w:val="99"/>
    <w:pPr>
      <w:spacing w:line="360" w:lineRule="auto"/>
      <w:ind w:firstLine="480" w:firstLineChars="200"/>
    </w:pPr>
    <w:rPr>
      <w:rFonts w:ascii="宋体" w:hAnsi="宋体"/>
      <w:spacing w:val="-20"/>
      <w:sz w:val="28"/>
      <w:szCs w:val="28"/>
    </w:rPr>
  </w:style>
  <w:style w:type="paragraph" w:customStyle="1" w:styleId="1091">
    <w:name w:val="样式 正文（首行缩进两字） + 宋体 小四 加粗 行距: 固定值 24 磅"/>
    <w:basedOn w:val="8"/>
    <w:autoRedefine/>
    <w:qFormat/>
    <w:uiPriority w:val="99"/>
    <w:pPr>
      <w:tabs>
        <w:tab w:val="left" w:pos="5940"/>
      </w:tabs>
      <w:adjustRightInd w:val="0"/>
      <w:spacing w:line="480" w:lineRule="exact"/>
      <w:ind w:firstLine="0" w:firstLineChars="0"/>
      <w:jc w:val="center"/>
      <w:textAlignment w:val="baseline"/>
    </w:pPr>
    <w:rPr>
      <w:szCs w:val="21"/>
    </w:rPr>
  </w:style>
  <w:style w:type="paragraph" w:customStyle="1" w:styleId="1092">
    <w:name w:val="碳酸钙标题3"/>
    <w:basedOn w:val="5"/>
    <w:autoRedefine/>
    <w:qFormat/>
    <w:uiPriority w:val="99"/>
    <w:pPr>
      <w:tabs>
        <w:tab w:val="left" w:pos="1260"/>
        <w:tab w:val="left" w:pos="2126"/>
      </w:tabs>
      <w:spacing w:line="360" w:lineRule="auto"/>
      <w:ind w:left="1701" w:firstLine="435"/>
    </w:pPr>
    <w:rPr>
      <w:color w:val="000000"/>
      <w:kern w:val="0"/>
      <w:sz w:val="24"/>
    </w:rPr>
  </w:style>
  <w:style w:type="paragraph" w:customStyle="1" w:styleId="1093">
    <w:name w:val="样式 标题 2节 + 段前: 1 行 段后: 0.5 行1"/>
    <w:basedOn w:val="1"/>
    <w:autoRedefine/>
    <w:qFormat/>
    <w:uiPriority w:val="99"/>
    <w:pPr>
      <w:numPr>
        <w:ilvl w:val="1"/>
        <w:numId w:val="12"/>
      </w:numPr>
    </w:pPr>
  </w:style>
  <w:style w:type="paragraph" w:customStyle="1" w:styleId="1094">
    <w:name w:val="Char Char1 Char Char Char Char Char Char Char Char Char Char Char Char Char Char Char Char Char Char Char Char1 Char1"/>
    <w:basedOn w:val="1"/>
    <w:autoRedefine/>
    <w:qFormat/>
    <w:uiPriority w:val="99"/>
    <w:pPr>
      <w:spacing w:line="360" w:lineRule="auto"/>
      <w:ind w:firstLine="200" w:firstLineChars="200"/>
    </w:pPr>
    <w:rPr>
      <w:szCs w:val="20"/>
    </w:rPr>
  </w:style>
  <w:style w:type="paragraph" w:customStyle="1" w:styleId="1095">
    <w:name w:val="xl55"/>
    <w:basedOn w:val="1"/>
    <w:autoRedefine/>
    <w:qFormat/>
    <w:uiPriority w:val="99"/>
    <w:pPr>
      <w:widowControl/>
      <w:spacing w:before="100" w:beforeAutospacing="1" w:after="100" w:afterAutospacing="1"/>
      <w:jc w:val="left"/>
    </w:pPr>
    <w:rPr>
      <w:rFonts w:ascii="Arial" w:hAnsi="Arial" w:cs="Arial"/>
      <w:b/>
      <w:bCs/>
      <w:i/>
      <w:iCs/>
      <w:kern w:val="0"/>
      <w:sz w:val="22"/>
      <w:szCs w:val="22"/>
    </w:rPr>
  </w:style>
  <w:style w:type="paragraph" w:customStyle="1" w:styleId="1096">
    <w:name w:val="一级标题 大王 20100426"/>
    <w:basedOn w:val="1"/>
    <w:autoRedefine/>
    <w:qFormat/>
    <w:uiPriority w:val="99"/>
    <w:pPr>
      <w:numPr>
        <w:ilvl w:val="1"/>
        <w:numId w:val="4"/>
      </w:numPr>
      <w:tabs>
        <w:tab w:val="left" w:pos="284"/>
      </w:tabs>
      <w:spacing w:beforeLines="20" w:afterLines="50"/>
      <w:ind w:left="425" w:hanging="425"/>
      <w:outlineLvl w:val="0"/>
    </w:pPr>
    <w:rPr>
      <w:rFonts w:eastAsia="黑体"/>
      <w:b/>
      <w:sz w:val="30"/>
      <w:szCs w:val="30"/>
    </w:rPr>
  </w:style>
  <w:style w:type="paragraph" w:customStyle="1" w:styleId="1097">
    <w:name w:val="xl184"/>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098">
    <w:name w:val="表内正文"/>
    <w:basedOn w:val="1"/>
    <w:autoRedefine/>
    <w:qFormat/>
    <w:uiPriority w:val="99"/>
    <w:rPr>
      <w:sz w:val="24"/>
    </w:rPr>
  </w:style>
  <w:style w:type="paragraph" w:customStyle="1" w:styleId="1099">
    <w:name w:val="图名文字"/>
    <w:autoRedefine/>
    <w:qFormat/>
    <w:uiPriority w:val="99"/>
    <w:pPr>
      <w:adjustRightInd w:val="0"/>
      <w:spacing w:after="60"/>
      <w:jc w:val="center"/>
    </w:pPr>
    <w:rPr>
      <w:rFonts w:ascii="Times New Roman" w:hAnsi="Times New Roman" w:eastAsia="黑体" w:cs="Times New Roman"/>
      <w:sz w:val="21"/>
      <w:lang w:val="en-US" w:eastAsia="zh-CN" w:bidi="ar-SA"/>
    </w:rPr>
  </w:style>
  <w:style w:type="paragraph" w:customStyle="1" w:styleId="1100">
    <w:name w:val="标准正文"/>
    <w:basedOn w:val="1"/>
    <w:autoRedefine/>
    <w:qFormat/>
    <w:uiPriority w:val="99"/>
    <w:pPr>
      <w:spacing w:line="500" w:lineRule="exact"/>
      <w:ind w:firstLine="200" w:firstLineChars="200"/>
      <w:jc w:val="left"/>
    </w:pPr>
    <w:rPr>
      <w:rFonts w:ascii="Calibri" w:hAnsi="Calibri"/>
      <w:kern w:val="0"/>
      <w:sz w:val="24"/>
      <w:szCs w:val="20"/>
    </w:rPr>
  </w:style>
  <w:style w:type="paragraph" w:customStyle="1" w:styleId="1101">
    <w:name w:val="样式 样式 首行缩进:  0.77 厘米 行距: 固定值 20 磅 + 居中 首行缩进:  0 厘米 行距: 单倍行距"/>
    <w:basedOn w:val="1"/>
    <w:autoRedefine/>
    <w:qFormat/>
    <w:uiPriority w:val="99"/>
    <w:pPr>
      <w:spacing w:line="240" w:lineRule="atLeast"/>
      <w:jc w:val="center"/>
    </w:pPr>
    <w:rPr>
      <w:color w:val="000000"/>
      <w:szCs w:val="21"/>
    </w:rPr>
  </w:style>
  <w:style w:type="paragraph" w:customStyle="1" w:styleId="1102">
    <w:name w:val="font7"/>
    <w:basedOn w:val="1"/>
    <w:autoRedefine/>
    <w:qFormat/>
    <w:uiPriority w:val="99"/>
    <w:pPr>
      <w:widowControl/>
      <w:spacing w:before="100" w:beforeAutospacing="1" w:after="100" w:afterAutospacing="1"/>
      <w:jc w:val="left"/>
    </w:pPr>
    <w:rPr>
      <w:rFonts w:ascii="宋体" w:hAnsi="宋体"/>
      <w:b/>
      <w:bCs/>
      <w:kern w:val="0"/>
      <w:sz w:val="22"/>
      <w:szCs w:val="22"/>
    </w:rPr>
  </w:style>
  <w:style w:type="paragraph" w:customStyle="1" w:styleId="1103">
    <w:name w:val="xl61"/>
    <w:basedOn w:val="1"/>
    <w:autoRedefine/>
    <w:qFormat/>
    <w:uiPriority w:val="99"/>
    <w:pPr>
      <w:widowControl/>
      <w:pBdr>
        <w:right w:val="single" w:color="auto" w:sz="4" w:space="0"/>
      </w:pBdr>
      <w:spacing w:before="100" w:beforeAutospacing="1" w:after="100" w:afterAutospacing="1"/>
      <w:jc w:val="center"/>
    </w:pPr>
    <w:rPr>
      <w:rFonts w:ascii="Arial" w:hAnsi="Arial" w:cs="Arial"/>
      <w:b/>
      <w:bCs/>
      <w:kern w:val="0"/>
      <w:sz w:val="22"/>
      <w:szCs w:val="22"/>
    </w:rPr>
  </w:style>
  <w:style w:type="paragraph" w:customStyle="1" w:styleId="1104">
    <w:name w:val="表内5号居中"/>
    <w:autoRedefine/>
    <w:qFormat/>
    <w:uiPriority w:val="99"/>
    <w:pPr>
      <w:widowControl w:val="0"/>
      <w:adjustRightInd w:val="0"/>
      <w:snapToGrid w:val="0"/>
      <w:jc w:val="center"/>
      <w:textAlignment w:val="baseline"/>
    </w:pPr>
    <w:rPr>
      <w:rFonts w:ascii="Times New Roman" w:hAnsi="Times New Roman" w:eastAsia="宋体" w:cs="Times New Roman"/>
      <w:b/>
      <w:bCs/>
      <w:sz w:val="24"/>
      <w:lang w:val="en-US" w:eastAsia="zh-CN" w:bidi="ar-SA"/>
    </w:rPr>
  </w:style>
  <w:style w:type="paragraph" w:customStyle="1" w:styleId="1105">
    <w:name w:val="工业统一表格文字"/>
    <w:basedOn w:val="1"/>
    <w:autoRedefine/>
    <w:qFormat/>
    <w:uiPriority w:val="99"/>
    <w:pPr>
      <w:adjustRightInd w:val="0"/>
      <w:snapToGrid w:val="0"/>
      <w:spacing w:beforeLines="20" w:afterLines="20"/>
      <w:ind w:left="-20" w:leftChars="-20" w:right="-20" w:rightChars="-20"/>
      <w:jc w:val="center"/>
    </w:pPr>
    <w:rPr>
      <w:rFonts w:ascii="宋体"/>
      <w:szCs w:val="20"/>
    </w:rPr>
  </w:style>
  <w:style w:type="paragraph" w:customStyle="1" w:styleId="1106">
    <w:name w:val="注解"/>
    <w:autoRedefine/>
    <w:qFormat/>
    <w:uiPriority w:val="99"/>
    <w:pPr>
      <w:widowControl w:val="0"/>
      <w:jc w:val="center"/>
    </w:pPr>
    <w:rPr>
      <w:rFonts w:ascii="宋体" w:hAnsi="Arial Black" w:eastAsia="宋体" w:cs="Times New Roman"/>
      <w:kern w:val="2"/>
      <w:sz w:val="18"/>
      <w:lang w:val="en-US" w:eastAsia="zh-CN" w:bidi="ar-SA"/>
    </w:rPr>
  </w:style>
  <w:style w:type="paragraph" w:customStyle="1" w:styleId="1107">
    <w:name w:val="表格内容1"/>
    <w:basedOn w:val="321"/>
    <w:autoRedefine/>
    <w:qFormat/>
    <w:uiPriority w:val="99"/>
    <w:pPr>
      <w:autoSpaceDE/>
      <w:autoSpaceDN/>
      <w:adjustRightInd/>
    </w:pPr>
    <w:rPr>
      <w:rFonts w:cs="宋体"/>
      <w:kern w:val="2"/>
    </w:rPr>
  </w:style>
  <w:style w:type="paragraph" w:customStyle="1" w:styleId="1108">
    <w:name w:val="表1"/>
    <w:basedOn w:val="1"/>
    <w:autoRedefine/>
    <w:qFormat/>
    <w:uiPriority w:val="99"/>
    <w:pPr>
      <w:jc w:val="center"/>
    </w:pPr>
    <w:rPr>
      <w:rFonts w:ascii="宋体" w:hAnsi="宋体"/>
      <w:color w:val="000000"/>
    </w:rPr>
  </w:style>
  <w:style w:type="paragraph" w:customStyle="1" w:styleId="1109">
    <w:name w:val="Char Char1 Char Char Char Char Char Char Char Char Char Char Char Char Char Char Char Char Char Char Char Char1 Char"/>
    <w:basedOn w:val="1"/>
    <w:autoRedefine/>
    <w:qFormat/>
    <w:uiPriority w:val="99"/>
    <w:pPr>
      <w:adjustRightInd w:val="0"/>
      <w:snapToGrid w:val="0"/>
      <w:spacing w:line="360" w:lineRule="auto"/>
      <w:ind w:firstLine="200" w:firstLineChars="200"/>
    </w:pPr>
    <w:rPr>
      <w:rFonts w:ascii="仿宋_GB2312" w:eastAsia="仿宋_GB2312"/>
      <w:sz w:val="28"/>
    </w:rPr>
  </w:style>
  <w:style w:type="paragraph" w:customStyle="1" w:styleId="1110">
    <w:name w:val="默认段落字体 Para Char Char Char Char Char Char Char Char Char1 Char Char Char Char Char Char Char Char Char Char"/>
    <w:basedOn w:val="1"/>
    <w:autoRedefine/>
    <w:qFormat/>
    <w:uiPriority w:val="99"/>
    <w:pPr>
      <w:shd w:val="clear" w:color="auto" w:fill="000080"/>
    </w:pPr>
    <w:rPr>
      <w:rFonts w:ascii="Tahoma" w:hAnsi="Tahoma"/>
      <w:kern w:val="0"/>
      <w:sz w:val="20"/>
    </w:rPr>
  </w:style>
  <w:style w:type="paragraph" w:customStyle="1" w:styleId="1111">
    <w:name w:val="样式 行距: 1.5 倍行距 首行缩进:  2.25 字符"/>
    <w:basedOn w:val="1"/>
    <w:autoRedefine/>
    <w:qFormat/>
    <w:uiPriority w:val="99"/>
    <w:pPr>
      <w:spacing w:afterLines="100" w:line="360" w:lineRule="auto"/>
    </w:pPr>
    <w:rPr>
      <w:rFonts w:ascii="宋体" w:hAnsi="宋体" w:cs="宋体"/>
      <w:sz w:val="24"/>
      <w:szCs w:val="20"/>
    </w:rPr>
  </w:style>
  <w:style w:type="paragraph" w:customStyle="1" w:styleId="1112">
    <w:name w:val="Char Char Char Char Char Char Char Char Char1"/>
    <w:basedOn w:val="1"/>
    <w:autoRedefine/>
    <w:qFormat/>
    <w:uiPriority w:val="99"/>
    <w:pPr>
      <w:widowControl/>
      <w:spacing w:after="160" w:line="240" w:lineRule="exact"/>
      <w:jc w:val="left"/>
    </w:pPr>
    <w:rPr>
      <w:rFonts w:ascii="Calibri" w:hAnsi="Calibri"/>
      <w:szCs w:val="22"/>
    </w:rPr>
  </w:style>
  <w:style w:type="paragraph" w:customStyle="1" w:styleId="1113">
    <w:name w:val="xl125"/>
    <w:basedOn w:val="1"/>
    <w:autoRedefine/>
    <w:qFormat/>
    <w:uiPriority w:val="99"/>
    <w:pPr>
      <w:widowControl/>
      <w:spacing w:before="100" w:beforeAutospacing="1" w:after="100" w:afterAutospacing="1"/>
      <w:jc w:val="left"/>
      <w:textAlignment w:val="center"/>
    </w:pPr>
    <w:rPr>
      <w:rFonts w:ascii="Arial Unicode MS" w:hAnsi="Arial Unicode MS"/>
      <w:kern w:val="0"/>
      <w:sz w:val="16"/>
      <w:szCs w:val="16"/>
    </w:rPr>
  </w:style>
  <w:style w:type="paragraph" w:customStyle="1" w:styleId="1114">
    <w:name w:val="正文表格5号"/>
    <w:basedOn w:val="1"/>
    <w:autoRedefine/>
    <w:qFormat/>
    <w:uiPriority w:val="99"/>
    <w:pPr>
      <w:adjustRightInd w:val="0"/>
      <w:spacing w:line="460" w:lineRule="exact"/>
      <w:textAlignment w:val="baseline"/>
    </w:pPr>
    <w:rPr>
      <w:rFonts w:ascii="宋体"/>
      <w:kern w:val="0"/>
      <w:szCs w:val="20"/>
    </w:rPr>
  </w:style>
  <w:style w:type="paragraph" w:customStyle="1" w:styleId="1115">
    <w:name w:val="Char Char Char Char Char Char Char Char Char Char3"/>
    <w:basedOn w:val="1"/>
    <w:autoRedefine/>
    <w:qFormat/>
    <w:uiPriority w:val="99"/>
  </w:style>
  <w:style w:type="paragraph" w:customStyle="1" w:styleId="1116">
    <w:name w:val="Char2 Char Char Char"/>
    <w:basedOn w:val="1"/>
    <w:autoRedefine/>
    <w:semiHidden/>
    <w:qFormat/>
    <w:uiPriority w:val="99"/>
    <w:pPr>
      <w:spacing w:line="360" w:lineRule="auto"/>
      <w:ind w:firstLine="200" w:firstLineChars="200"/>
    </w:pPr>
    <w:rPr>
      <w:rFonts w:ascii="宋体" w:hAnsi="宋体" w:cs="宋体"/>
      <w:sz w:val="24"/>
    </w:rPr>
  </w:style>
  <w:style w:type="paragraph" w:customStyle="1" w:styleId="1117">
    <w:name w:val="字元"/>
    <w:basedOn w:val="1"/>
    <w:autoRedefine/>
    <w:qFormat/>
    <w:uiPriority w:val="99"/>
    <w:pPr>
      <w:widowControl/>
      <w:jc w:val="left"/>
    </w:pPr>
    <w:rPr>
      <w:rFonts w:eastAsia="仿宋_GB2312"/>
      <w:kern w:val="0"/>
      <w:sz w:val="24"/>
      <w:szCs w:val="20"/>
    </w:rPr>
  </w:style>
  <w:style w:type="paragraph" w:customStyle="1" w:styleId="1118">
    <w:name w:val="默认段落字体 Para Char Char Char1 Char Char Char Char Char Char Char Char Char Char"/>
    <w:basedOn w:val="1"/>
    <w:autoRedefine/>
    <w:qFormat/>
    <w:uiPriority w:val="99"/>
    <w:rPr>
      <w:sz w:val="24"/>
    </w:rPr>
  </w:style>
  <w:style w:type="paragraph" w:customStyle="1" w:styleId="1119">
    <w:name w:val="样式 样式 题注 + (西文) 宋体 + 段后: 1 行"/>
    <w:basedOn w:val="1"/>
    <w:autoRedefine/>
    <w:qFormat/>
    <w:uiPriority w:val="99"/>
    <w:pPr>
      <w:keepNext/>
      <w:spacing w:line="360" w:lineRule="auto"/>
      <w:ind w:firstLine="200" w:firstLineChars="200"/>
      <w:jc w:val="left"/>
    </w:pPr>
    <w:rPr>
      <w:rFonts w:ascii="宋体" w:hAnsi="宋体" w:cs="宋体"/>
      <w:color w:val="000000"/>
      <w:sz w:val="28"/>
      <w:szCs w:val="20"/>
    </w:rPr>
  </w:style>
  <w:style w:type="paragraph" w:customStyle="1" w:styleId="1120">
    <w:name w:val="表头0"/>
    <w:autoRedefine/>
    <w:qFormat/>
    <w:uiPriority w:val="99"/>
    <w:pPr>
      <w:adjustRightInd w:val="0"/>
      <w:snapToGrid w:val="0"/>
      <w:spacing w:beforeLines="10" w:line="360" w:lineRule="auto"/>
      <w:jc w:val="center"/>
    </w:pPr>
    <w:rPr>
      <w:rFonts w:ascii="Times New Roman" w:hAnsi="Times New Roman" w:eastAsia="宋体" w:cs="Times New Roman"/>
      <w:b/>
      <w:sz w:val="21"/>
      <w:lang w:val="en-US" w:eastAsia="zh-CN" w:bidi="ar-SA"/>
    </w:rPr>
  </w:style>
  <w:style w:type="paragraph" w:customStyle="1" w:styleId="1121">
    <w:name w:val="高表内"/>
    <w:basedOn w:val="9"/>
    <w:autoRedefine/>
    <w:qFormat/>
    <w:uiPriority w:val="99"/>
    <w:pPr>
      <w:autoSpaceDE w:val="0"/>
      <w:adjustRightInd w:val="0"/>
      <w:snapToGrid w:val="0"/>
      <w:jc w:val="center"/>
      <w:textAlignment w:val="baseline"/>
    </w:pPr>
    <w:rPr>
      <w:rFonts w:ascii="Arial" w:hAnsi="Arial" w:eastAsia="楷体_GB2312"/>
      <w:kern w:val="0"/>
      <w:sz w:val="24"/>
      <w:szCs w:val="24"/>
    </w:rPr>
  </w:style>
  <w:style w:type="paragraph" w:customStyle="1" w:styleId="1122">
    <w:name w:val="表字"/>
    <w:basedOn w:val="1"/>
    <w:autoRedefine/>
    <w:qFormat/>
    <w:uiPriority w:val="99"/>
    <w:pPr>
      <w:jc w:val="center"/>
    </w:pPr>
    <w:rPr>
      <w:rFonts w:ascii="宋体"/>
      <w:szCs w:val="20"/>
    </w:rPr>
  </w:style>
  <w:style w:type="paragraph" w:customStyle="1" w:styleId="1123">
    <w:name w:val="xl135"/>
    <w:basedOn w:val="1"/>
    <w:autoRedefine/>
    <w:qFormat/>
    <w:uiPriority w:val="99"/>
    <w:pPr>
      <w:widowControl/>
      <w:spacing w:before="100" w:beforeAutospacing="1" w:after="100" w:afterAutospacing="1"/>
      <w:jc w:val="center"/>
    </w:pPr>
    <w:rPr>
      <w:rFonts w:ascii="Arial Unicode MS" w:hAnsi="Arial Unicode MS"/>
      <w:kern w:val="0"/>
      <w:sz w:val="16"/>
      <w:szCs w:val="16"/>
    </w:rPr>
  </w:style>
  <w:style w:type="paragraph" w:customStyle="1" w:styleId="1124">
    <w:name w:val="样式 Char"/>
    <w:basedOn w:val="1"/>
    <w:next w:val="715"/>
    <w:autoRedefine/>
    <w:qFormat/>
    <w:uiPriority w:val="99"/>
    <w:pPr>
      <w:numPr>
        <w:ilvl w:val="0"/>
        <w:numId w:val="13"/>
      </w:numPr>
      <w:adjustRightInd w:val="0"/>
      <w:snapToGrid w:val="0"/>
      <w:spacing w:before="240" w:after="240" w:line="480" w:lineRule="exact"/>
    </w:pPr>
    <w:rPr>
      <w:sz w:val="28"/>
    </w:rPr>
  </w:style>
  <w:style w:type="paragraph" w:customStyle="1" w:styleId="1125">
    <w:name w:val="font10"/>
    <w:basedOn w:val="1"/>
    <w:autoRedefine/>
    <w:qFormat/>
    <w:uiPriority w:val="99"/>
    <w:pPr>
      <w:widowControl/>
      <w:spacing w:before="100" w:beforeAutospacing="1" w:after="100" w:afterAutospacing="1"/>
      <w:jc w:val="left"/>
    </w:pPr>
    <w:rPr>
      <w:rFonts w:ascii="Arial" w:hAnsi="Arial" w:cs="Arial"/>
      <w:kern w:val="0"/>
      <w:sz w:val="20"/>
      <w:szCs w:val="20"/>
    </w:rPr>
  </w:style>
  <w:style w:type="paragraph" w:customStyle="1" w:styleId="1126">
    <w:name w:val="正文文字 3"/>
    <w:basedOn w:val="1"/>
    <w:autoRedefine/>
    <w:qFormat/>
    <w:uiPriority w:val="99"/>
    <w:pPr>
      <w:spacing w:line="280" w:lineRule="exact"/>
      <w:jc w:val="center"/>
    </w:pPr>
    <w:rPr>
      <w:rFonts w:ascii="仿宋_GB2312" w:hAnsi="Arial Black" w:eastAsia="仿宋_GB2312" w:cs="仿宋_GB2312"/>
      <w:szCs w:val="21"/>
    </w:rPr>
  </w:style>
  <w:style w:type="paragraph" w:customStyle="1" w:styleId="1127">
    <w:name w:val="xl122"/>
    <w:basedOn w:val="1"/>
    <w:autoRedefine/>
    <w:qFormat/>
    <w:uiPriority w:val="99"/>
    <w:pPr>
      <w:widowControl/>
      <w:pBdr>
        <w:left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128">
    <w:name w:val="xl112"/>
    <w:basedOn w:val="1"/>
    <w:autoRedefine/>
    <w:qFormat/>
    <w:uiPriority w:val="99"/>
    <w:pPr>
      <w:widowControl/>
      <w:pBdr>
        <w:right w:val="single" w:color="auto" w:sz="8" w:space="0"/>
      </w:pBdr>
      <w:spacing w:before="100" w:beforeAutospacing="1" w:after="100" w:afterAutospacing="1"/>
      <w:jc w:val="left"/>
    </w:pPr>
    <w:rPr>
      <w:rFonts w:ascii="Arial Unicode MS" w:hAnsi="Arial Unicode MS"/>
      <w:kern w:val="0"/>
      <w:sz w:val="16"/>
      <w:szCs w:val="16"/>
    </w:rPr>
  </w:style>
  <w:style w:type="paragraph" w:customStyle="1" w:styleId="1129">
    <w:name w:val="xl60"/>
    <w:basedOn w:val="1"/>
    <w:autoRedefine/>
    <w:qFormat/>
    <w:uiPriority w:val="99"/>
    <w:pPr>
      <w:widowControl/>
      <w:spacing w:before="100" w:beforeAutospacing="1" w:after="100" w:afterAutospacing="1"/>
      <w:jc w:val="center"/>
    </w:pPr>
    <w:rPr>
      <w:rFonts w:ascii="Arial" w:hAnsi="Arial" w:cs="Arial"/>
      <w:b/>
      <w:bCs/>
      <w:kern w:val="0"/>
      <w:sz w:val="22"/>
      <w:szCs w:val="22"/>
    </w:rPr>
  </w:style>
  <w:style w:type="paragraph" w:customStyle="1" w:styleId="1130">
    <w:name w:val="样式 样式 样式 默认段落字体 Para Char Char Char Char + 字距调整二号 + +"/>
    <w:basedOn w:val="1"/>
    <w:autoRedefine/>
    <w:qFormat/>
    <w:uiPriority w:val="99"/>
    <w:pPr>
      <w:spacing w:beforeLines="50" w:afterLines="50" w:line="360" w:lineRule="auto"/>
      <w:jc w:val="center"/>
    </w:pPr>
    <w:rPr>
      <w:rFonts w:eastAsia="黑体"/>
      <w:kern w:val="44"/>
      <w:sz w:val="32"/>
    </w:rPr>
  </w:style>
  <w:style w:type="paragraph" w:customStyle="1" w:styleId="1131">
    <w:name w:val="Char Char Char2 Char"/>
    <w:basedOn w:val="1"/>
    <w:autoRedefine/>
    <w:qFormat/>
    <w:uiPriority w:val="99"/>
    <w:pPr>
      <w:spacing w:line="360" w:lineRule="auto"/>
      <w:ind w:firstLine="200" w:firstLineChars="200"/>
    </w:pPr>
    <w:rPr>
      <w:rFonts w:ascii="宋体" w:hAnsi="宋体" w:cs="宋体"/>
      <w:sz w:val="24"/>
    </w:rPr>
  </w:style>
  <w:style w:type="paragraph" w:customStyle="1" w:styleId="1132">
    <w:name w:val="Char Char2 Char Char"/>
    <w:basedOn w:val="1"/>
    <w:autoRedefine/>
    <w:qFormat/>
    <w:uiPriority w:val="99"/>
  </w:style>
  <w:style w:type="paragraph" w:customStyle="1" w:styleId="1133">
    <w:name w:val="默认段落字体 Para Char Char Char1 Char Char Char Char"/>
    <w:basedOn w:val="1"/>
    <w:autoRedefine/>
    <w:qFormat/>
    <w:uiPriority w:val="99"/>
    <w:pPr>
      <w:tabs>
        <w:tab w:val="left" w:pos="360"/>
      </w:tabs>
    </w:pPr>
    <w:rPr>
      <w:szCs w:val="20"/>
    </w:rPr>
  </w:style>
  <w:style w:type="paragraph" w:customStyle="1" w:styleId="1134">
    <w:name w:val="Char Char3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1135">
    <w:name w:val="- 页码 -"/>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36">
    <w:name w:val="2.2.1"/>
    <w:basedOn w:val="6"/>
    <w:autoRedefine/>
    <w:qFormat/>
    <w:uiPriority w:val="99"/>
    <w:pPr>
      <w:tabs>
        <w:tab w:val="left" w:pos="864"/>
      </w:tabs>
      <w:spacing w:before="0" w:after="0" w:line="360" w:lineRule="auto"/>
      <w:ind w:left="864" w:hanging="864"/>
      <w:jc w:val="left"/>
    </w:pPr>
    <w:rPr>
      <w:rFonts w:ascii="宋体" w:hAnsi="Arial"/>
      <w:b w:val="0"/>
      <w:color w:val="000000"/>
      <w:sz w:val="24"/>
    </w:rPr>
  </w:style>
  <w:style w:type="paragraph" w:customStyle="1" w:styleId="1137">
    <w:name w:val="TOC 标题1"/>
    <w:basedOn w:val="3"/>
    <w:next w:val="1"/>
    <w:autoRedefine/>
    <w:qFormat/>
    <w:uiPriority w:val="99"/>
    <w:pPr>
      <w:keepLines/>
      <w:widowControl/>
      <w:tabs>
        <w:tab w:val="left" w:pos="390"/>
      </w:tabs>
      <w:overflowPunct/>
      <w:snapToGrid/>
      <w:spacing w:before="480" w:after="0" w:line="276" w:lineRule="auto"/>
      <w:ind w:left="390" w:firstLine="0"/>
      <w:jc w:val="left"/>
      <w:outlineLvl w:val="9"/>
    </w:pPr>
    <w:rPr>
      <w:rFonts w:ascii="Cambria" w:hAnsi="Cambria" w:eastAsia="宋体"/>
      <w:color w:val="365F91"/>
      <w:kern w:val="0"/>
      <w:sz w:val="28"/>
      <w:szCs w:val="28"/>
    </w:rPr>
  </w:style>
  <w:style w:type="paragraph" w:customStyle="1" w:styleId="1138">
    <w:name w:val="xl42"/>
    <w:basedOn w:val="1"/>
    <w:autoRedefine/>
    <w:qFormat/>
    <w:uiPriority w:val="99"/>
    <w:pPr>
      <w:widowControl/>
      <w:pBdr>
        <w:bottom w:val="dotted" w:color="auto" w:sz="4" w:space="0"/>
        <w:right w:val="dotted" w:color="auto" w:sz="4" w:space="0"/>
      </w:pBdr>
      <w:spacing w:before="100" w:beforeAutospacing="1" w:after="100" w:afterAutospacing="1"/>
      <w:jc w:val="center"/>
    </w:pPr>
    <w:rPr>
      <w:kern w:val="0"/>
      <w:szCs w:val="21"/>
    </w:rPr>
  </w:style>
  <w:style w:type="paragraph" w:customStyle="1" w:styleId="1139">
    <w:name w:val="xl87"/>
    <w:basedOn w:val="1"/>
    <w:autoRedefine/>
    <w:qFormat/>
    <w:uiPriority w:val="99"/>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1140">
    <w:name w:val="样式 标题 2 + 行距: 1.5 倍行距2"/>
    <w:basedOn w:val="4"/>
    <w:autoRedefine/>
    <w:semiHidden/>
    <w:qFormat/>
    <w:uiPriority w:val="99"/>
    <w:pPr>
      <w:snapToGrid w:val="0"/>
      <w:spacing w:beforeLines="100" w:afterLines="100" w:line="240" w:lineRule="auto"/>
      <w:ind w:left="1134" w:hanging="992"/>
      <w:jc w:val="left"/>
    </w:pPr>
    <w:rPr>
      <w:rFonts w:ascii="Times New Roman" w:hAnsi="Times New Roman" w:cs="宋体"/>
      <w:sz w:val="28"/>
      <w:szCs w:val="28"/>
    </w:rPr>
  </w:style>
  <w:style w:type="paragraph" w:customStyle="1" w:styleId="1141">
    <w:name w:val="1 Char"/>
    <w:basedOn w:val="1"/>
    <w:autoRedefine/>
    <w:qFormat/>
    <w:uiPriority w:val="99"/>
    <w:pPr>
      <w:spacing w:line="360" w:lineRule="auto"/>
      <w:ind w:firstLine="200" w:firstLineChars="200"/>
    </w:pPr>
    <w:rPr>
      <w:rFonts w:ascii="宋体" w:hAnsi="宋体" w:cs="宋体"/>
      <w:sz w:val="24"/>
    </w:rPr>
  </w:style>
  <w:style w:type="paragraph" w:customStyle="1" w:styleId="1142">
    <w:name w:val="正文 黑体"/>
    <w:basedOn w:val="1"/>
    <w:autoRedefine/>
    <w:qFormat/>
    <w:uiPriority w:val="99"/>
    <w:pPr>
      <w:spacing w:before="240" w:after="240" w:line="480" w:lineRule="exact"/>
      <w:ind w:firstLine="560" w:firstLineChars="200"/>
    </w:pPr>
    <w:rPr>
      <w:rFonts w:eastAsia="黑体"/>
      <w:sz w:val="28"/>
      <w:szCs w:val="20"/>
    </w:rPr>
  </w:style>
  <w:style w:type="paragraph" w:customStyle="1" w:styleId="1143">
    <w:name w:val="正文_10"/>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144">
    <w:name w:val="编制说明"/>
    <w:basedOn w:val="1"/>
    <w:autoRedefine/>
    <w:qFormat/>
    <w:uiPriority w:val="99"/>
    <w:pPr>
      <w:topLinePunct/>
      <w:adjustRightInd w:val="0"/>
      <w:snapToGrid w:val="0"/>
      <w:ind w:firstLine="420"/>
      <w:contextualSpacing/>
    </w:pPr>
    <w:rPr>
      <w:rFonts w:eastAsia="仿宋_GB2312"/>
      <w:szCs w:val="20"/>
    </w:rPr>
  </w:style>
  <w:style w:type="paragraph" w:customStyle="1" w:styleId="1145">
    <w:name w:val="xl191"/>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146">
    <w:name w:val="xl24"/>
    <w:basedOn w:val="1"/>
    <w:autoRedefine/>
    <w:qFormat/>
    <w:uiPriority w:val="99"/>
    <w:pPr>
      <w:widowControl/>
      <w:spacing w:before="100" w:after="100"/>
      <w:jc w:val="center"/>
    </w:pPr>
    <w:rPr>
      <w:rFonts w:ascii="宋体" w:hAnsi="宋体"/>
      <w:kern w:val="0"/>
      <w:sz w:val="24"/>
      <w:szCs w:val="20"/>
    </w:rPr>
  </w:style>
  <w:style w:type="paragraph" w:customStyle="1" w:styleId="1147">
    <w:name w:val="东明_正文 Char"/>
    <w:basedOn w:val="1"/>
    <w:autoRedefine/>
    <w:qFormat/>
    <w:uiPriority w:val="99"/>
    <w:pPr>
      <w:spacing w:before="240" w:after="240" w:line="480" w:lineRule="exact"/>
      <w:ind w:firstLine="560" w:firstLineChars="200"/>
    </w:pPr>
    <w:rPr>
      <w:sz w:val="28"/>
      <w:szCs w:val="20"/>
    </w:rPr>
  </w:style>
  <w:style w:type="paragraph" w:customStyle="1" w:styleId="1148">
    <w:name w:val="xl141"/>
    <w:basedOn w:val="1"/>
    <w:autoRedefine/>
    <w:qFormat/>
    <w:uiPriority w:val="99"/>
    <w:pPr>
      <w:widowControl/>
      <w:spacing w:before="100" w:beforeAutospacing="1" w:after="100" w:afterAutospacing="1"/>
      <w:jc w:val="left"/>
    </w:pPr>
    <w:rPr>
      <w:rFonts w:ascii="Arial Unicode MS" w:hAnsi="Arial Unicode MS"/>
      <w:kern w:val="0"/>
      <w:sz w:val="16"/>
      <w:szCs w:val="16"/>
    </w:rPr>
  </w:style>
  <w:style w:type="paragraph" w:customStyle="1" w:styleId="1149">
    <w:name w:val="样式15"/>
    <w:basedOn w:val="1"/>
    <w:autoRedefine/>
    <w:qFormat/>
    <w:uiPriority w:val="99"/>
    <w:pPr>
      <w:numPr>
        <w:ilvl w:val="0"/>
        <w:numId w:val="14"/>
      </w:numPr>
      <w:tabs>
        <w:tab w:val="left" w:pos="432"/>
      </w:tabs>
    </w:pPr>
    <w:rPr>
      <w:sz w:val="24"/>
    </w:rPr>
  </w:style>
  <w:style w:type="paragraph" w:customStyle="1" w:styleId="1150">
    <w:name w:val="xl153"/>
    <w:basedOn w:val="1"/>
    <w:autoRedefine/>
    <w:qFormat/>
    <w:uiPriority w:val="99"/>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1151">
    <w:name w:val="样式 标题 1章标题 11标题 1H1一、 + 行距: 单倍行距"/>
    <w:basedOn w:val="3"/>
    <w:semiHidden/>
    <w:qFormat/>
    <w:uiPriority w:val="99"/>
    <w:pPr>
      <w:keepLines/>
      <w:overflowPunct/>
      <w:spacing w:before="340" w:after="330" w:line="240" w:lineRule="auto"/>
      <w:ind w:left="3845" w:hanging="3845"/>
      <w:jc w:val="center"/>
    </w:pPr>
    <w:rPr>
      <w:rFonts w:cs="宋体"/>
      <w:color w:val="auto"/>
      <w:sz w:val="44"/>
      <w:szCs w:val="20"/>
    </w:rPr>
  </w:style>
  <w:style w:type="paragraph" w:customStyle="1" w:styleId="1152">
    <w:name w:val="xl113"/>
    <w:basedOn w:val="1"/>
    <w:autoRedefine/>
    <w:qFormat/>
    <w:uiPriority w:val="99"/>
    <w:pPr>
      <w:widowControl/>
      <w:pBdr>
        <w:top w:val="single" w:color="auto" w:sz="8" w:space="0"/>
        <w:bottom w:val="single" w:color="auto" w:sz="12" w:space="0"/>
      </w:pBdr>
      <w:spacing w:before="100" w:beforeAutospacing="1" w:after="100" w:afterAutospacing="1"/>
      <w:jc w:val="left"/>
    </w:pPr>
    <w:rPr>
      <w:rFonts w:ascii="Arial Unicode MS" w:hAnsi="Arial Unicode MS"/>
      <w:kern w:val="0"/>
      <w:sz w:val="16"/>
      <w:szCs w:val="16"/>
    </w:rPr>
  </w:style>
  <w:style w:type="paragraph" w:customStyle="1" w:styleId="1153">
    <w:name w:val="样式 标题 1 + (中文) 宋体 小三 行距: 多倍行距 1.35 字行"/>
    <w:basedOn w:val="3"/>
    <w:autoRedefine/>
    <w:qFormat/>
    <w:uiPriority w:val="99"/>
    <w:pPr>
      <w:keepLines/>
      <w:tabs>
        <w:tab w:val="left" w:pos="390"/>
        <w:tab w:val="left" w:pos="432"/>
      </w:tabs>
      <w:overflowPunct/>
      <w:spacing w:before="0" w:after="0" w:line="360" w:lineRule="auto"/>
    </w:pPr>
    <w:rPr>
      <w:rFonts w:ascii="宋体" w:hAnsi="宋体" w:eastAsia="宋体"/>
      <w:color w:val="auto"/>
      <w:sz w:val="32"/>
      <w:szCs w:val="32"/>
    </w:rPr>
  </w:style>
  <w:style w:type="paragraph" w:customStyle="1" w:styleId="1154">
    <w:name w:val="封面标准文稿编辑信息"/>
    <w:autoRedefine/>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155">
    <w:name w:val="xl152"/>
    <w:basedOn w:val="1"/>
    <w:autoRedefine/>
    <w:qFormat/>
    <w:uiPriority w:val="99"/>
    <w:pPr>
      <w:widowControl/>
      <w:spacing w:before="100" w:beforeAutospacing="1" w:after="100" w:afterAutospacing="1"/>
      <w:jc w:val="left"/>
      <w:textAlignment w:val="center"/>
    </w:pPr>
    <w:rPr>
      <w:rFonts w:ascii="Arial Unicode MS" w:hAnsi="Arial Unicode MS"/>
      <w:kern w:val="0"/>
      <w:sz w:val="16"/>
      <w:szCs w:val="16"/>
    </w:rPr>
  </w:style>
  <w:style w:type="paragraph" w:customStyle="1" w:styleId="1156">
    <w:name w:val="Char Char Char Char Char Char Char Char Char Char Char Char Char Char Char Char Char Char Char"/>
    <w:basedOn w:val="1"/>
    <w:autoRedefine/>
    <w:qFormat/>
    <w:uiPriority w:val="99"/>
  </w:style>
  <w:style w:type="paragraph" w:customStyle="1" w:styleId="1157">
    <w:name w:val="Char Char Char Char Char Char Char Char Char Char1 Char Char Char"/>
    <w:basedOn w:val="1"/>
    <w:autoRedefine/>
    <w:qFormat/>
    <w:uiPriority w:val="99"/>
    <w:pPr>
      <w:widowControl/>
      <w:contextualSpacing/>
      <w:jc w:val="left"/>
    </w:pPr>
    <w:rPr>
      <w:rFonts w:cs="宋体"/>
      <w:kern w:val="0"/>
    </w:rPr>
  </w:style>
  <w:style w:type="paragraph" w:customStyle="1" w:styleId="1158">
    <w:name w:val="xl192"/>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159">
    <w:name w:val="xl190"/>
    <w:basedOn w:val="1"/>
    <w:autoRedefine/>
    <w:qFormat/>
    <w:uiPriority w:val="99"/>
    <w:pPr>
      <w:widowControl/>
      <w:pBdr>
        <w:top w:val="single" w:color="auto" w:sz="12" w:space="0"/>
      </w:pBdr>
      <w:spacing w:before="100" w:beforeAutospacing="1" w:after="100" w:afterAutospacing="1"/>
      <w:jc w:val="left"/>
      <w:textAlignment w:val="center"/>
    </w:pPr>
    <w:rPr>
      <w:rFonts w:ascii="Arial Unicode MS" w:hAnsi="Arial Unicode MS"/>
      <w:kern w:val="0"/>
      <w:sz w:val="12"/>
      <w:szCs w:val="12"/>
    </w:rPr>
  </w:style>
  <w:style w:type="paragraph" w:customStyle="1" w:styleId="1160">
    <w:name w:val="表头样式1"/>
    <w:basedOn w:val="1"/>
    <w:autoRedefine/>
    <w:qFormat/>
    <w:uiPriority w:val="99"/>
    <w:pPr>
      <w:widowControl/>
      <w:tabs>
        <w:tab w:val="left" w:pos="2310"/>
      </w:tabs>
      <w:autoSpaceDE w:val="0"/>
      <w:autoSpaceDN w:val="0"/>
      <w:adjustRightInd w:val="0"/>
      <w:spacing w:line="480" w:lineRule="exact"/>
      <w:contextualSpacing/>
      <w:jc w:val="center"/>
    </w:pPr>
    <w:rPr>
      <w:rFonts w:cs="宋体"/>
      <w:b/>
      <w:bCs/>
      <w:kern w:val="0"/>
    </w:rPr>
  </w:style>
  <w:style w:type="paragraph" w:customStyle="1" w:styleId="1161">
    <w:name w:val="xl75"/>
    <w:basedOn w:val="1"/>
    <w:autoRedefine/>
    <w:qFormat/>
    <w:uiPriority w:val="99"/>
    <w:pPr>
      <w:widowControl/>
      <w:spacing w:before="100" w:beforeAutospacing="1" w:after="100" w:afterAutospacing="1"/>
      <w:jc w:val="left"/>
    </w:pPr>
    <w:rPr>
      <w:kern w:val="0"/>
      <w:sz w:val="12"/>
      <w:szCs w:val="12"/>
    </w:rPr>
  </w:style>
  <w:style w:type="paragraph" w:customStyle="1" w:styleId="1162">
    <w:name w:val="CM18"/>
    <w:basedOn w:val="1"/>
    <w:next w:val="1"/>
    <w:autoRedefine/>
    <w:qFormat/>
    <w:uiPriority w:val="99"/>
    <w:pPr>
      <w:autoSpaceDE w:val="0"/>
      <w:autoSpaceDN w:val="0"/>
      <w:adjustRightInd w:val="0"/>
      <w:spacing w:line="468" w:lineRule="atLeast"/>
      <w:contextualSpacing/>
      <w:jc w:val="left"/>
    </w:pPr>
    <w:rPr>
      <w:rFonts w:ascii="黑体" w:eastAsia="黑体"/>
      <w:kern w:val="0"/>
    </w:rPr>
  </w:style>
  <w:style w:type="paragraph" w:customStyle="1" w:styleId="1163">
    <w:name w:val="表格编号"/>
    <w:basedOn w:val="1"/>
    <w:autoRedefine/>
    <w:qFormat/>
    <w:uiPriority w:val="99"/>
    <w:pPr>
      <w:snapToGrid w:val="0"/>
      <w:spacing w:before="300" w:after="200" w:line="500" w:lineRule="exact"/>
      <w:jc w:val="left"/>
    </w:pPr>
    <w:rPr>
      <w:sz w:val="24"/>
    </w:rPr>
  </w:style>
  <w:style w:type="paragraph" w:customStyle="1" w:styleId="1164">
    <w:name w:val="B1"/>
    <w:basedOn w:val="1"/>
    <w:next w:val="1"/>
    <w:autoRedefine/>
    <w:qFormat/>
    <w:uiPriority w:val="99"/>
    <w:pPr>
      <w:keepNext/>
      <w:tabs>
        <w:tab w:val="left" w:pos="624"/>
      </w:tabs>
      <w:adjustRightInd w:val="0"/>
      <w:spacing w:before="240" w:line="360" w:lineRule="auto"/>
      <w:ind w:left="624" w:hanging="624"/>
      <w:textAlignment w:val="baseline"/>
    </w:pPr>
    <w:rPr>
      <w:kern w:val="24"/>
      <w:sz w:val="28"/>
      <w:szCs w:val="20"/>
    </w:rPr>
  </w:style>
  <w:style w:type="paragraph" w:customStyle="1" w:styleId="1165">
    <w:name w:val="xl51"/>
    <w:basedOn w:val="1"/>
    <w:autoRedefine/>
    <w:qFormat/>
    <w:uiPriority w:val="99"/>
    <w:pPr>
      <w:widowControl/>
      <w:spacing w:before="100" w:beforeAutospacing="1" w:after="100" w:afterAutospacing="1"/>
      <w:jc w:val="left"/>
    </w:pPr>
    <w:rPr>
      <w:rFonts w:ascii="Arial" w:hAnsi="Arial" w:cs="Arial"/>
      <w:b/>
      <w:bCs/>
      <w:kern w:val="0"/>
      <w:sz w:val="22"/>
      <w:szCs w:val="22"/>
    </w:rPr>
  </w:style>
  <w:style w:type="paragraph" w:customStyle="1" w:styleId="1166">
    <w:name w:val="xl109"/>
    <w:basedOn w:val="1"/>
    <w:autoRedefine/>
    <w:qFormat/>
    <w:uiPriority w:val="99"/>
    <w:pPr>
      <w:widowControl/>
      <w:pBdr>
        <w:top w:val="single" w:color="auto" w:sz="12" w:space="0"/>
        <w:bottom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167">
    <w:name w:val="菏泽-标题4"/>
    <w:basedOn w:val="1"/>
    <w:autoRedefine/>
    <w:qFormat/>
    <w:uiPriority w:val="99"/>
    <w:pPr>
      <w:spacing w:line="440" w:lineRule="exact"/>
      <w:ind w:firstLine="420" w:firstLineChars="200"/>
    </w:pPr>
    <w:rPr>
      <w:rFonts w:ascii="华文细黑" w:hAnsi="华文细黑" w:eastAsia="华文细黑"/>
      <w:b/>
      <w:szCs w:val="20"/>
    </w:rPr>
  </w:style>
  <w:style w:type="paragraph" w:customStyle="1" w:styleId="1168">
    <w:name w:val="xl99"/>
    <w:basedOn w:val="1"/>
    <w:autoRedefine/>
    <w:qFormat/>
    <w:uiPriority w:val="99"/>
    <w:pPr>
      <w:widowControl/>
      <w:pBdr>
        <w:bottom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1169">
    <w:name w:val="Char Char Char Char Char Char Char1"/>
    <w:basedOn w:val="1"/>
    <w:autoRedefine/>
    <w:qFormat/>
    <w:uiPriority w:val="99"/>
    <w:pPr>
      <w:widowControl/>
      <w:contextualSpacing/>
      <w:jc w:val="left"/>
    </w:pPr>
    <w:rPr>
      <w:rFonts w:cs="宋体"/>
      <w:kern w:val="0"/>
    </w:rPr>
  </w:style>
  <w:style w:type="paragraph" w:customStyle="1" w:styleId="1170">
    <w:name w:val="IDC A-Head (2nd Line)"/>
    <w:basedOn w:val="1"/>
    <w:next w:val="1"/>
    <w:autoRedefine/>
    <w:qFormat/>
    <w:uiPriority w:val="99"/>
    <w:pPr>
      <w:widowControl/>
      <w:jc w:val="center"/>
    </w:pPr>
    <w:rPr>
      <w:caps/>
      <w:kern w:val="0"/>
      <w:sz w:val="24"/>
      <w:szCs w:val="20"/>
    </w:rPr>
  </w:style>
  <w:style w:type="paragraph" w:customStyle="1" w:styleId="1171">
    <w:name w:val="默认段落字体 Para Char Char Char Char Char Char"/>
    <w:basedOn w:val="1"/>
    <w:autoRedefine/>
    <w:qFormat/>
    <w:uiPriority w:val="99"/>
  </w:style>
  <w:style w:type="paragraph" w:customStyle="1" w:styleId="1172">
    <w:name w:val="样式 正文文本 + 首行缩进:  2 字符 段前: 0.5 行"/>
    <w:basedOn w:val="1"/>
    <w:autoRedefine/>
    <w:qFormat/>
    <w:uiPriority w:val="99"/>
    <w:pPr>
      <w:widowControl/>
      <w:spacing w:line="360" w:lineRule="auto"/>
      <w:ind w:firstLine="480" w:firstLineChars="200"/>
    </w:pPr>
    <w:rPr>
      <w:rFonts w:ascii="宋体" w:hAnsi="宋体" w:cs="宋体"/>
      <w:color w:val="000000"/>
      <w:sz w:val="24"/>
    </w:rPr>
  </w:style>
  <w:style w:type="paragraph" w:customStyle="1" w:styleId="1173">
    <w:name w:val="CM22"/>
    <w:basedOn w:val="637"/>
    <w:next w:val="637"/>
    <w:autoRedefine/>
    <w:qFormat/>
    <w:uiPriority w:val="99"/>
    <w:pPr>
      <w:spacing w:after="145"/>
    </w:pPr>
    <w:rPr>
      <w:color w:val="auto"/>
    </w:rPr>
  </w:style>
  <w:style w:type="paragraph" w:customStyle="1" w:styleId="1174">
    <w:name w:val="表内4号居中"/>
    <w:autoRedefine/>
    <w:qFormat/>
    <w:uiPriority w:val="99"/>
    <w:pPr>
      <w:adjustRightInd w:val="0"/>
      <w:snapToGrid w:val="0"/>
      <w:spacing w:line="360" w:lineRule="auto"/>
      <w:jc w:val="center"/>
    </w:pPr>
    <w:rPr>
      <w:rFonts w:ascii="Arial" w:hAnsi="Arial" w:eastAsia="宋体" w:cs="Times New Roman"/>
      <w:spacing w:val="20"/>
      <w:sz w:val="21"/>
      <w:lang w:val="en-US" w:eastAsia="zh-CN" w:bidi="ar-SA"/>
    </w:rPr>
  </w:style>
  <w:style w:type="paragraph" w:customStyle="1" w:styleId="1175">
    <w:name w:val="xl95"/>
    <w:basedOn w:val="1"/>
    <w:autoRedefine/>
    <w:qFormat/>
    <w:uiPriority w:val="99"/>
    <w:pPr>
      <w:widowControl/>
      <w:spacing w:before="100" w:beforeAutospacing="1" w:after="100" w:afterAutospacing="1"/>
      <w:jc w:val="right"/>
    </w:pPr>
    <w:rPr>
      <w:rFonts w:ascii="Arial Unicode MS" w:hAnsi="Arial Unicode MS"/>
      <w:kern w:val="0"/>
      <w:sz w:val="12"/>
      <w:szCs w:val="12"/>
    </w:rPr>
  </w:style>
  <w:style w:type="paragraph" w:customStyle="1" w:styleId="1176">
    <w:name w:val="xl148"/>
    <w:basedOn w:val="1"/>
    <w:autoRedefine/>
    <w:qFormat/>
    <w:uiPriority w:val="99"/>
    <w:pPr>
      <w:widowControl/>
      <w:pBdr>
        <w:bottom w:val="single" w:color="auto" w:sz="8" w:space="0"/>
      </w:pBdr>
      <w:spacing w:before="100" w:beforeAutospacing="1" w:after="100" w:afterAutospacing="1"/>
      <w:jc w:val="left"/>
    </w:pPr>
    <w:rPr>
      <w:rFonts w:ascii="Arial Unicode MS" w:hAnsi="Arial Unicode MS"/>
      <w:kern w:val="0"/>
    </w:rPr>
  </w:style>
  <w:style w:type="paragraph" w:customStyle="1" w:styleId="1177">
    <w:name w:val="CM88"/>
    <w:basedOn w:val="637"/>
    <w:next w:val="637"/>
    <w:autoRedefine/>
    <w:qFormat/>
    <w:uiPriority w:val="99"/>
    <w:pPr>
      <w:spacing w:after="175"/>
    </w:pPr>
    <w:rPr>
      <w:rFonts w:ascii="黑体" w:eastAsia="黑体"/>
      <w:color w:val="auto"/>
    </w:rPr>
  </w:style>
  <w:style w:type="paragraph" w:customStyle="1" w:styleId="1178">
    <w:name w:val="xl67"/>
    <w:basedOn w:val="1"/>
    <w:autoRedefine/>
    <w:qFormat/>
    <w:uiPriority w:val="99"/>
    <w:pPr>
      <w:widowControl/>
      <w:spacing w:before="100" w:beforeAutospacing="1" w:after="100" w:afterAutospacing="1"/>
      <w:jc w:val="center"/>
    </w:pPr>
    <w:rPr>
      <w:rFonts w:ascii="宋体" w:hAnsi="宋体"/>
      <w:b/>
      <w:bCs/>
      <w:kern w:val="0"/>
      <w:sz w:val="22"/>
      <w:szCs w:val="22"/>
    </w:rPr>
  </w:style>
  <w:style w:type="paragraph" w:customStyle="1" w:styleId="1179">
    <w:name w:val="正文表"/>
    <w:basedOn w:val="1"/>
    <w:autoRedefine/>
    <w:qFormat/>
    <w:uiPriority w:val="99"/>
    <w:pPr>
      <w:tabs>
        <w:tab w:val="left" w:pos="2451"/>
        <w:tab w:val="left" w:pos="4614"/>
        <w:tab w:val="left" w:pos="6777"/>
        <w:tab w:val="left" w:pos="8940"/>
      </w:tabs>
      <w:autoSpaceDE w:val="0"/>
      <w:autoSpaceDN w:val="0"/>
      <w:adjustRightInd w:val="0"/>
      <w:contextualSpacing/>
      <w:jc w:val="center"/>
      <w:textAlignment w:val="bottom"/>
    </w:pPr>
    <w:rPr>
      <w:color w:val="000000"/>
      <w:kern w:val="0"/>
      <w:sz w:val="28"/>
      <w:szCs w:val="20"/>
    </w:rPr>
  </w:style>
  <w:style w:type="paragraph" w:customStyle="1" w:styleId="1180">
    <w:name w:val="Char Char 字元 字元 字元 Char Char Char Char"/>
    <w:basedOn w:val="1"/>
    <w:autoRedefine/>
    <w:qFormat/>
    <w:uiPriority w:val="99"/>
    <w:pPr>
      <w:adjustRightInd w:val="0"/>
      <w:spacing w:line="360" w:lineRule="auto"/>
    </w:pPr>
  </w:style>
  <w:style w:type="paragraph" w:customStyle="1" w:styleId="1181">
    <w:name w:val="p15"/>
    <w:basedOn w:val="1"/>
    <w:autoRedefine/>
    <w:qFormat/>
    <w:uiPriority w:val="99"/>
    <w:pPr>
      <w:widowControl/>
      <w:jc w:val="left"/>
    </w:pPr>
    <w:rPr>
      <w:rFonts w:ascii="宋体" w:hAnsi="宋体" w:cs="宋体"/>
      <w:kern w:val="0"/>
      <w:sz w:val="24"/>
    </w:rPr>
  </w:style>
  <w:style w:type="paragraph" w:customStyle="1" w:styleId="1182">
    <w:name w:val="样式3"/>
    <w:basedOn w:val="1"/>
    <w:autoRedefine/>
    <w:qFormat/>
    <w:uiPriority w:val="99"/>
    <w:pPr>
      <w:widowControl/>
      <w:jc w:val="left"/>
    </w:pPr>
    <w:rPr>
      <w:spacing w:val="-4"/>
      <w:sz w:val="24"/>
    </w:rPr>
  </w:style>
  <w:style w:type="paragraph" w:customStyle="1" w:styleId="1183">
    <w:name w:val="样式9"/>
    <w:basedOn w:val="3"/>
    <w:autoRedefine/>
    <w:qFormat/>
    <w:uiPriority w:val="99"/>
    <w:pPr>
      <w:keepLines/>
      <w:tabs>
        <w:tab w:val="left" w:pos="390"/>
      </w:tabs>
      <w:overflowPunct/>
      <w:snapToGrid/>
      <w:spacing w:beforeLines="200" w:afterLines="200" w:line="520" w:lineRule="exact"/>
      <w:ind w:left="390" w:firstLine="0"/>
    </w:pPr>
    <w:rPr>
      <w:rFonts w:ascii="Calibri" w:hAnsi="Calibri" w:eastAsia="宋体"/>
      <w:color w:val="auto"/>
      <w:sz w:val="44"/>
      <w:szCs w:val="44"/>
    </w:rPr>
  </w:style>
  <w:style w:type="paragraph" w:customStyle="1" w:styleId="1184">
    <w:name w:val="样式 四号"/>
    <w:basedOn w:val="1"/>
    <w:autoRedefine/>
    <w:qFormat/>
    <w:uiPriority w:val="99"/>
    <w:pPr>
      <w:spacing w:line="360" w:lineRule="auto"/>
      <w:ind w:firstLine="480" w:firstLineChars="200"/>
    </w:pPr>
    <w:rPr>
      <w:rFonts w:ascii="宋体" w:hAnsi="宋体"/>
      <w:kern w:val="0"/>
      <w:sz w:val="24"/>
    </w:rPr>
  </w:style>
  <w:style w:type="paragraph" w:customStyle="1" w:styleId="1185">
    <w:name w:val="环评正文"/>
    <w:basedOn w:val="3"/>
    <w:autoRedefine/>
    <w:qFormat/>
    <w:uiPriority w:val="99"/>
    <w:pPr>
      <w:keepNext w:val="0"/>
      <w:overflowPunct/>
      <w:snapToGrid/>
      <w:spacing w:before="60" w:after="60" w:line="400" w:lineRule="exact"/>
      <w:ind w:left="0" w:firstLine="480" w:firstLineChars="200"/>
      <w:outlineLvl w:val="9"/>
    </w:pPr>
    <w:rPr>
      <w:rFonts w:eastAsia="仿宋_GB2312"/>
      <w:b w:val="0"/>
      <w:color w:val="auto"/>
      <w:sz w:val="24"/>
      <w:szCs w:val="28"/>
    </w:rPr>
  </w:style>
  <w:style w:type="paragraph" w:customStyle="1" w:styleId="1186">
    <w:name w:val="xl129"/>
    <w:basedOn w:val="1"/>
    <w:autoRedefine/>
    <w:qFormat/>
    <w:uiPriority w:val="99"/>
    <w:pPr>
      <w:widowControl/>
      <w:pBdr>
        <w:right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187">
    <w:name w:val="text4"/>
    <w:basedOn w:val="1"/>
    <w:autoRedefine/>
    <w:qFormat/>
    <w:uiPriority w:val="99"/>
    <w:pPr>
      <w:widowControl/>
      <w:spacing w:after="150" w:line="336" w:lineRule="auto"/>
      <w:ind w:firstLine="400"/>
      <w:jc w:val="left"/>
    </w:pPr>
    <w:rPr>
      <w:rFonts w:ascii="Arial Unicode MS" w:hAnsi="Arial Unicode MS"/>
      <w:color w:val="333300"/>
      <w:kern w:val="0"/>
      <w:sz w:val="20"/>
      <w:szCs w:val="20"/>
    </w:rPr>
  </w:style>
  <w:style w:type="paragraph" w:customStyle="1" w:styleId="1188">
    <w:name w:val="xl164"/>
    <w:basedOn w:val="1"/>
    <w:autoRedefine/>
    <w:qFormat/>
    <w:uiPriority w:val="99"/>
    <w:pPr>
      <w:widowControl/>
      <w:pBdr>
        <w:left w:val="single" w:color="auto" w:sz="12" w:space="0"/>
        <w:bottom w:val="single" w:color="auto" w:sz="12" w:space="0"/>
      </w:pBdr>
      <w:spacing w:before="100" w:beforeAutospacing="1" w:after="100" w:afterAutospacing="1"/>
      <w:jc w:val="center"/>
    </w:pPr>
    <w:rPr>
      <w:rFonts w:ascii="Arial Unicode MS" w:hAnsi="Arial Unicode MS"/>
      <w:kern w:val="0"/>
    </w:rPr>
  </w:style>
  <w:style w:type="paragraph" w:customStyle="1" w:styleId="1189">
    <w:name w:val="Char Char Char Char Char Char Char Char Char Char2"/>
    <w:basedOn w:val="1"/>
    <w:autoRedefine/>
    <w:qFormat/>
    <w:uiPriority w:val="99"/>
    <w:pPr>
      <w:widowControl/>
      <w:contextualSpacing/>
      <w:jc w:val="left"/>
    </w:pPr>
    <w:rPr>
      <w:rFonts w:cs="宋体"/>
      <w:kern w:val="0"/>
    </w:rPr>
  </w:style>
  <w:style w:type="paragraph" w:customStyle="1" w:styleId="1190">
    <w:name w:val="样式 标题 4东明_小节2Char Char Char Char Char Char Char Char Char Char..."/>
    <w:basedOn w:val="6"/>
    <w:autoRedefine/>
    <w:semiHidden/>
    <w:qFormat/>
    <w:uiPriority w:val="99"/>
    <w:pPr>
      <w:snapToGrid w:val="0"/>
      <w:spacing w:before="0" w:after="0" w:line="600" w:lineRule="exact"/>
      <w:ind w:left="2884" w:hanging="1984"/>
    </w:pPr>
    <w:rPr>
      <w:rFonts w:ascii="Times New Roman" w:hAnsi="Times New Roman" w:eastAsia="黑体" w:cs="宋体"/>
      <w:b w:val="0"/>
      <w:sz w:val="24"/>
      <w:szCs w:val="20"/>
    </w:rPr>
  </w:style>
  <w:style w:type="paragraph" w:customStyle="1" w:styleId="1191">
    <w:name w:val="表标题7.2"/>
    <w:basedOn w:val="1"/>
    <w:autoRedefine/>
    <w:qFormat/>
    <w:uiPriority w:val="99"/>
    <w:pPr>
      <w:numPr>
        <w:ilvl w:val="0"/>
        <w:numId w:val="15"/>
      </w:numPr>
      <w:tabs>
        <w:tab w:val="left" w:pos="3765"/>
        <w:tab w:val="center" w:pos="4060"/>
        <w:tab w:val="right" w:pos="8261"/>
        <w:tab w:val="clear" w:pos="726"/>
      </w:tabs>
      <w:suppressAutoHyphens/>
      <w:adjustRightInd w:val="0"/>
      <w:spacing w:beforeLines="100" w:line="240" w:lineRule="atLeast"/>
      <w:ind w:left="3041"/>
      <w:jc w:val="center"/>
    </w:pPr>
    <w:rPr>
      <w:rFonts w:ascii="黑体" w:eastAsia="黑体" w:cs="宋体"/>
      <w:b/>
      <w:bCs/>
      <w:spacing w:val="6"/>
      <w:kern w:val="0"/>
      <w:sz w:val="24"/>
    </w:rPr>
  </w:style>
  <w:style w:type="paragraph" w:customStyle="1" w:styleId="1192">
    <w:name w:val="封面 宋体"/>
    <w:basedOn w:val="988"/>
    <w:autoRedefine/>
    <w:qFormat/>
    <w:uiPriority w:val="99"/>
    <w:rPr>
      <w:rFonts w:ascii="宋体-方正超大字符集" w:hAnsi="宋体-方正超大字符集" w:eastAsia="宋体-方正超大字符集"/>
      <w:b w:val="0"/>
      <w:bCs/>
      <w:sz w:val="32"/>
    </w:rPr>
  </w:style>
  <w:style w:type="paragraph" w:customStyle="1" w:styleId="1193">
    <w:name w:val="unnamed1"/>
    <w:basedOn w:val="1"/>
    <w:autoRedefine/>
    <w:qFormat/>
    <w:uiPriority w:val="99"/>
    <w:pPr>
      <w:widowControl/>
      <w:spacing w:before="100" w:beforeAutospacing="1" w:after="100" w:afterAutospacing="1" w:line="345" w:lineRule="atLeast"/>
      <w:jc w:val="left"/>
    </w:pPr>
    <w:rPr>
      <w:rFonts w:ascii="??" w:hAnsi="??" w:cs="宋体"/>
      <w:color w:val="000000"/>
      <w:kern w:val="0"/>
      <w:sz w:val="18"/>
      <w:szCs w:val="18"/>
    </w:rPr>
  </w:style>
  <w:style w:type="paragraph" w:customStyle="1" w:styleId="1194">
    <w:name w:val="xl107"/>
    <w:basedOn w:val="1"/>
    <w:autoRedefine/>
    <w:qFormat/>
    <w:uiPriority w:val="99"/>
    <w:pPr>
      <w:widowControl/>
      <w:pBdr>
        <w:bottom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195">
    <w:name w:val="样式 标题 4 + (符号) 宋体 段前: 6 磅"/>
    <w:basedOn w:val="6"/>
    <w:autoRedefine/>
    <w:qFormat/>
    <w:uiPriority w:val="99"/>
    <w:pPr>
      <w:snapToGrid w:val="0"/>
      <w:spacing w:before="0" w:after="0" w:line="540" w:lineRule="exact"/>
      <w:ind w:left="2884" w:hanging="1984"/>
      <w:jc w:val="left"/>
    </w:pPr>
    <w:rPr>
      <w:rFonts w:ascii="Times New Roman" w:hAnsi="宋体" w:cs="宋体"/>
      <w:sz w:val="24"/>
      <w:szCs w:val="20"/>
    </w:rPr>
  </w:style>
  <w:style w:type="paragraph" w:customStyle="1" w:styleId="1196">
    <w:name w:val="说明书"/>
    <w:basedOn w:val="1"/>
    <w:autoRedefine/>
    <w:qFormat/>
    <w:uiPriority w:val="99"/>
    <w:pPr>
      <w:widowControl/>
      <w:adjustRightInd w:val="0"/>
      <w:spacing w:line="500" w:lineRule="exact"/>
      <w:ind w:firstLine="624"/>
      <w:contextualSpacing/>
      <w:jc w:val="left"/>
      <w:textAlignment w:val="baseline"/>
    </w:pPr>
    <w:rPr>
      <w:rFonts w:ascii="Arial" w:hAnsi="Arial" w:cs="宋体"/>
      <w:kern w:val="0"/>
      <w:sz w:val="28"/>
      <w:szCs w:val="20"/>
    </w:rPr>
  </w:style>
  <w:style w:type="paragraph" w:customStyle="1" w:styleId="1197">
    <w:name w:val="Char11"/>
    <w:basedOn w:val="1"/>
    <w:autoRedefine/>
    <w:qFormat/>
    <w:uiPriority w:val="99"/>
    <w:pPr>
      <w:snapToGrid w:val="0"/>
      <w:spacing w:line="500" w:lineRule="exact"/>
      <w:contextualSpacing/>
    </w:pPr>
    <w:rPr>
      <w:rFonts w:eastAsia="仿宋_GB2312"/>
    </w:rPr>
  </w:style>
  <w:style w:type="paragraph" w:customStyle="1" w:styleId="1198">
    <w:name w:val="样式111"/>
    <w:basedOn w:val="838"/>
    <w:autoRedefine/>
    <w:qFormat/>
    <w:uiPriority w:val="99"/>
    <w:rPr>
      <w:sz w:val="21"/>
    </w:rPr>
  </w:style>
  <w:style w:type="paragraph" w:customStyle="1" w:styleId="1199">
    <w:name w:val="表体"/>
    <w:basedOn w:val="159"/>
    <w:autoRedefine/>
    <w:semiHidden/>
    <w:qFormat/>
    <w:uiPriority w:val="99"/>
    <w:pPr>
      <w:overflowPunct w:val="0"/>
      <w:autoSpaceDE w:val="0"/>
      <w:autoSpaceDN w:val="0"/>
      <w:snapToGrid/>
      <w:spacing w:line="300" w:lineRule="atLeast"/>
      <w:jc w:val="left"/>
    </w:pPr>
    <w:rPr>
      <w:rFonts w:eastAsia="宋体"/>
      <w:color w:val="000000"/>
      <w:spacing w:val="0"/>
      <w:kern w:val="24"/>
      <w:sz w:val="18"/>
    </w:rPr>
  </w:style>
  <w:style w:type="paragraph" w:customStyle="1" w:styleId="1200">
    <w:name w:val="font9"/>
    <w:basedOn w:val="1"/>
    <w:autoRedefine/>
    <w:qFormat/>
    <w:uiPriority w:val="99"/>
    <w:pPr>
      <w:widowControl/>
      <w:spacing w:before="100" w:beforeAutospacing="1" w:after="100" w:afterAutospacing="1"/>
      <w:jc w:val="left"/>
    </w:pPr>
    <w:rPr>
      <w:rFonts w:ascii="Arial" w:hAnsi="Arial" w:cs="Arial"/>
      <w:b/>
      <w:bCs/>
      <w:kern w:val="0"/>
      <w:sz w:val="28"/>
      <w:szCs w:val="28"/>
    </w:rPr>
  </w:style>
  <w:style w:type="paragraph" w:customStyle="1" w:styleId="1201">
    <w:name w:val="wj12"/>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202">
    <w:name w:val="xl41"/>
    <w:basedOn w:val="1"/>
    <w:autoRedefine/>
    <w:qFormat/>
    <w:uiPriority w:val="99"/>
    <w:pPr>
      <w:widowControl/>
      <w:spacing w:before="100" w:beforeAutospacing="1" w:after="100" w:afterAutospacing="1"/>
      <w:jc w:val="center"/>
    </w:pPr>
    <w:rPr>
      <w:rFonts w:ascii="Arial" w:hAnsi="Arial" w:cs="Arial"/>
      <w:b/>
      <w:bCs/>
      <w:kern w:val="0"/>
      <w:sz w:val="22"/>
      <w:szCs w:val="22"/>
    </w:rPr>
  </w:style>
  <w:style w:type="paragraph" w:customStyle="1" w:styleId="1203">
    <w:name w:val="xl156"/>
    <w:basedOn w:val="1"/>
    <w:autoRedefine/>
    <w:qFormat/>
    <w:uiPriority w:val="99"/>
    <w:pPr>
      <w:widowControl/>
      <w:pBdr>
        <w:left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1204">
    <w:name w:val="样式 标题 51)项标5 +"/>
    <w:basedOn w:val="7"/>
    <w:autoRedefine/>
    <w:qFormat/>
    <w:uiPriority w:val="99"/>
    <w:pPr>
      <w:keepNext w:val="0"/>
      <w:keepLines w:val="0"/>
      <w:tabs>
        <w:tab w:val="left" w:pos="987"/>
        <w:tab w:val="clear" w:pos="1008"/>
      </w:tabs>
      <w:spacing w:before="0" w:after="0" w:line="360" w:lineRule="auto"/>
      <w:ind w:left="987" w:hanging="420"/>
      <w:contextualSpacing/>
    </w:pPr>
    <w:rPr>
      <w:rFonts w:hAnsi="Arial"/>
      <w:b w:val="0"/>
      <w:bCs/>
      <w:color w:val="000000"/>
      <w:spacing w:val="3"/>
      <w:szCs w:val="28"/>
    </w:rPr>
  </w:style>
  <w:style w:type="paragraph" w:customStyle="1" w:styleId="1205">
    <w:name w:val="MTDisplayEquation"/>
    <w:basedOn w:val="1"/>
    <w:next w:val="1"/>
    <w:qFormat/>
    <w:uiPriority w:val="99"/>
    <w:pPr>
      <w:tabs>
        <w:tab w:val="center" w:pos="4540"/>
        <w:tab w:val="right" w:pos="9080"/>
      </w:tabs>
      <w:snapToGrid w:val="0"/>
      <w:spacing w:line="360" w:lineRule="auto"/>
    </w:pPr>
    <w:rPr>
      <w:i/>
    </w:rPr>
  </w:style>
  <w:style w:type="paragraph" w:customStyle="1" w:styleId="1206">
    <w:name w:val="菏泽-正文 Char"/>
    <w:basedOn w:val="1"/>
    <w:autoRedefine/>
    <w:qFormat/>
    <w:uiPriority w:val="99"/>
    <w:pPr>
      <w:spacing w:line="440" w:lineRule="exact"/>
      <w:ind w:firstLine="420" w:firstLineChars="200"/>
    </w:pPr>
    <w:rPr>
      <w:rFonts w:ascii="Arial" w:hAnsi="Arial" w:eastAsia="华文细黑"/>
    </w:rPr>
  </w:style>
  <w:style w:type="paragraph" w:customStyle="1" w:styleId="1207">
    <w:name w:val="小?"/>
    <w:basedOn w:val="1"/>
    <w:qFormat/>
    <w:uiPriority w:val="99"/>
    <w:pPr>
      <w:spacing w:before="60" w:after="60" w:line="360" w:lineRule="auto"/>
    </w:pPr>
    <w:rPr>
      <w:szCs w:val="21"/>
    </w:rPr>
  </w:style>
  <w:style w:type="paragraph" w:customStyle="1" w:styleId="1208">
    <w:name w:val="封面 名称"/>
    <w:basedOn w:val="988"/>
    <w:next w:val="988"/>
    <w:qFormat/>
    <w:uiPriority w:val="99"/>
    <w:pPr>
      <w:spacing w:line="640" w:lineRule="exact"/>
    </w:pPr>
    <w:rPr>
      <w:rFonts w:eastAsia="宋体-方正超大字符集"/>
      <w:spacing w:val="40"/>
      <w:sz w:val="44"/>
      <w:szCs w:val="44"/>
    </w:rPr>
  </w:style>
  <w:style w:type="paragraph" w:customStyle="1" w:styleId="1209">
    <w:name w:val="样式11"/>
    <w:basedOn w:val="485"/>
    <w:autoRedefine/>
    <w:qFormat/>
    <w:uiPriority w:val="99"/>
    <w:pPr>
      <w:adjustRightInd w:val="0"/>
      <w:spacing w:line="240" w:lineRule="auto"/>
      <w:textAlignment w:val="baseline"/>
    </w:pPr>
    <w:rPr>
      <w:rFonts w:ascii="仿宋_GB2312" w:eastAsia="仿宋_GB2312"/>
      <w:color w:val="000000"/>
      <w:sz w:val="24"/>
      <w:szCs w:val="24"/>
    </w:rPr>
  </w:style>
  <w:style w:type="paragraph" w:customStyle="1" w:styleId="1210">
    <w:name w:val="xl130"/>
    <w:basedOn w:val="1"/>
    <w:autoRedefine/>
    <w:qFormat/>
    <w:uiPriority w:val="99"/>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211">
    <w:name w:val="xl174"/>
    <w:basedOn w:val="1"/>
    <w:autoRedefine/>
    <w:qFormat/>
    <w:uiPriority w:val="99"/>
    <w:pPr>
      <w:widowControl/>
      <w:spacing w:before="100" w:beforeAutospacing="1" w:after="100" w:afterAutospacing="1"/>
      <w:jc w:val="center"/>
    </w:pPr>
    <w:rPr>
      <w:rFonts w:ascii="Arial Unicode MS" w:hAnsi="Arial Unicode MS"/>
      <w:kern w:val="0"/>
      <w:sz w:val="16"/>
      <w:szCs w:val="16"/>
    </w:rPr>
  </w:style>
  <w:style w:type="paragraph" w:customStyle="1" w:styleId="1212">
    <w:name w:val="xl45"/>
    <w:basedOn w:val="1"/>
    <w:autoRedefine/>
    <w:qFormat/>
    <w:uiPriority w:val="99"/>
    <w:pPr>
      <w:widowControl/>
      <w:spacing w:before="100" w:beforeAutospacing="1" w:after="100" w:afterAutospacing="1"/>
      <w:jc w:val="center"/>
    </w:pPr>
    <w:rPr>
      <w:rFonts w:ascii="Arial" w:hAnsi="Arial" w:cs="Arial"/>
      <w:b/>
      <w:bCs/>
      <w:kern w:val="0"/>
      <w:sz w:val="22"/>
      <w:szCs w:val="22"/>
    </w:rPr>
  </w:style>
  <w:style w:type="paragraph" w:customStyle="1" w:styleId="1213">
    <w:name w:val="xl91"/>
    <w:basedOn w:val="1"/>
    <w:autoRedefine/>
    <w:qFormat/>
    <w:uiPriority w:val="99"/>
    <w:pPr>
      <w:widowControl/>
      <w:pBdr>
        <w:bottom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1214">
    <w:name w:val="xl139"/>
    <w:basedOn w:val="1"/>
    <w:autoRedefine/>
    <w:qFormat/>
    <w:uiPriority w:val="99"/>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1215">
    <w:name w:val="font_mid"/>
    <w:basedOn w:val="1"/>
    <w:autoRedefine/>
    <w:qFormat/>
    <w:uiPriority w:val="99"/>
    <w:pPr>
      <w:widowControl/>
      <w:spacing w:before="100" w:beforeAutospacing="1" w:after="100" w:afterAutospacing="1"/>
      <w:jc w:val="left"/>
    </w:pPr>
    <w:rPr>
      <w:rFonts w:ascii="宋体" w:hAnsi="宋体"/>
      <w:color w:val="000000"/>
      <w:kern w:val="0"/>
      <w:sz w:val="24"/>
    </w:rPr>
  </w:style>
  <w:style w:type="paragraph" w:customStyle="1" w:styleId="1216">
    <w:name w:val="表格的文字"/>
    <w:basedOn w:val="1"/>
    <w:autoRedefine/>
    <w:qFormat/>
    <w:uiPriority w:val="99"/>
    <w:pPr>
      <w:spacing w:line="300" w:lineRule="exact"/>
      <w:jc w:val="center"/>
    </w:pPr>
    <w:rPr>
      <w:rFonts w:ascii="仿宋_GB2312" w:eastAsia="仿宋_GB2312"/>
      <w:bCs/>
      <w:szCs w:val="20"/>
    </w:rPr>
  </w:style>
  <w:style w:type="paragraph" w:customStyle="1" w:styleId="1217">
    <w:name w:val="新正文"/>
    <w:basedOn w:val="1"/>
    <w:autoRedefine/>
    <w:qFormat/>
    <w:uiPriority w:val="99"/>
    <w:pPr>
      <w:spacing w:line="480" w:lineRule="exact"/>
      <w:ind w:firstLine="567"/>
    </w:pPr>
    <w:rPr>
      <w:rFonts w:ascii="仿宋_GB2312" w:eastAsia="仿宋_GB2312"/>
      <w:bCs/>
      <w:kern w:val="0"/>
      <w:sz w:val="28"/>
      <w:szCs w:val="20"/>
    </w:rPr>
  </w:style>
  <w:style w:type="paragraph" w:customStyle="1" w:styleId="1218">
    <w:name w:val="brdrw15brsp20 tqctx4153t"/>
    <w:autoRedefine/>
    <w:qFormat/>
    <w:uiPriority w:val="99"/>
    <w:pPr>
      <w:widowControl w:val="0"/>
      <w:pBdr>
        <w:bottom w:val="single" w:color="auto" w:sz="6" w:space="0"/>
      </w:pBdr>
      <w:adjustRightInd w:val="0"/>
      <w:spacing w:line="312" w:lineRule="atLeast"/>
      <w:jc w:val="center"/>
      <w:textAlignment w:val="baseline"/>
    </w:pPr>
    <w:rPr>
      <w:rFonts w:ascii="Times New Roman" w:hAnsi="Times New Roman" w:eastAsia="宋体" w:cs="Times New Roman"/>
      <w:sz w:val="21"/>
      <w:lang w:val="en-US" w:eastAsia="zh-CN" w:bidi="ar-SA"/>
    </w:rPr>
  </w:style>
  <w:style w:type="paragraph" w:customStyle="1" w:styleId="1219">
    <w:name w:val="xl19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kern w:val="0"/>
    </w:rPr>
  </w:style>
  <w:style w:type="paragraph" w:customStyle="1" w:styleId="1220">
    <w:name w:val="zw"/>
    <w:basedOn w:val="1"/>
    <w:autoRedefine/>
    <w:qFormat/>
    <w:uiPriority w:val="99"/>
    <w:pPr>
      <w:widowControl/>
      <w:spacing w:before="100" w:beforeAutospacing="1" w:after="100" w:afterAutospacing="1" w:line="400" w:lineRule="atLeast"/>
      <w:jc w:val="left"/>
    </w:pPr>
    <w:rPr>
      <w:rFonts w:ascii="宋体" w:hAnsi="宋体"/>
      <w:kern w:val="0"/>
      <w:sz w:val="22"/>
      <w:szCs w:val="22"/>
    </w:rPr>
  </w:style>
  <w:style w:type="paragraph" w:customStyle="1" w:styleId="1221">
    <w:name w:val="Char51"/>
    <w:basedOn w:val="1"/>
    <w:autoRedefine/>
    <w:qFormat/>
    <w:uiPriority w:val="99"/>
  </w:style>
  <w:style w:type="paragraph" w:customStyle="1" w:styleId="1222">
    <w:name w:val="xl180"/>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223">
    <w:name w:val="样式 标题 2 + 段前: 0.1 行 段后: 0.1 行"/>
    <w:basedOn w:val="4"/>
    <w:autoRedefine/>
    <w:qFormat/>
    <w:uiPriority w:val="99"/>
    <w:pPr>
      <w:spacing w:beforeLines="100" w:afterLines="100" w:line="240" w:lineRule="auto"/>
      <w:ind w:left="1134" w:hanging="992"/>
    </w:pPr>
    <w:rPr>
      <w:rFonts w:ascii="Times New Roman" w:hAnsi="Times New Roman" w:cs="宋体"/>
      <w:sz w:val="30"/>
      <w:szCs w:val="20"/>
    </w:rPr>
  </w:style>
  <w:style w:type="paragraph" w:customStyle="1" w:styleId="1224">
    <w:name w:val="copyright"/>
    <w:basedOn w:val="1"/>
    <w:autoRedefine/>
    <w:qFormat/>
    <w:uiPriority w:val="99"/>
    <w:pPr>
      <w:widowControl/>
      <w:spacing w:before="100" w:beforeAutospacing="1" w:after="100" w:afterAutospacing="1"/>
      <w:ind w:firstLine="401"/>
      <w:jc w:val="left"/>
    </w:pPr>
    <w:rPr>
      <w:rFonts w:ascii="宋体" w:hAnsi="宋体" w:cs="宋体"/>
      <w:color w:val="000000"/>
      <w:kern w:val="0"/>
      <w:sz w:val="20"/>
      <w:szCs w:val="20"/>
    </w:rPr>
  </w:style>
  <w:style w:type="paragraph" w:customStyle="1" w:styleId="1225">
    <w:name w:val="样式 标题 4 + (西文) Times New Roman (中文) 宋体 小四"/>
    <w:basedOn w:val="6"/>
    <w:autoRedefine/>
    <w:qFormat/>
    <w:uiPriority w:val="99"/>
    <w:pPr>
      <w:tabs>
        <w:tab w:val="left" w:pos="1247"/>
      </w:tabs>
      <w:spacing w:beforeLines="25" w:afterLines="25" w:line="360" w:lineRule="auto"/>
      <w:ind w:left="964" w:hanging="964"/>
    </w:pPr>
    <w:rPr>
      <w:rFonts w:ascii="宋体" w:hAnsi="宋体"/>
      <w:b w:val="0"/>
      <w:bCs w:val="0"/>
      <w:sz w:val="24"/>
      <w:szCs w:val="24"/>
    </w:rPr>
  </w:style>
  <w:style w:type="paragraph" w:customStyle="1" w:styleId="1226">
    <w:name w:val="Char Char Char"/>
    <w:basedOn w:val="1"/>
    <w:autoRedefine/>
    <w:qFormat/>
    <w:uiPriority w:val="99"/>
    <w:rPr>
      <w:sz w:val="24"/>
    </w:rPr>
  </w:style>
  <w:style w:type="paragraph" w:customStyle="1" w:styleId="1227">
    <w:name w:val="表格文本 小五 居中"/>
    <w:basedOn w:val="1"/>
    <w:autoRedefine/>
    <w:qFormat/>
    <w:uiPriority w:val="99"/>
    <w:pPr>
      <w:adjustRightInd w:val="0"/>
      <w:snapToGrid w:val="0"/>
      <w:jc w:val="center"/>
    </w:pPr>
    <w:rPr>
      <w:rFonts w:cs="宋体"/>
      <w:szCs w:val="21"/>
    </w:rPr>
  </w:style>
  <w:style w:type="paragraph" w:customStyle="1" w:styleId="1228">
    <w:name w:val="xl116"/>
    <w:basedOn w:val="1"/>
    <w:autoRedefine/>
    <w:qFormat/>
    <w:uiPriority w:val="99"/>
    <w:pPr>
      <w:widowControl/>
      <w:pBdr>
        <w:bottom w:val="single" w:color="auto" w:sz="8" w:space="0"/>
      </w:pBdr>
      <w:spacing w:before="100" w:beforeAutospacing="1" w:after="100" w:afterAutospacing="1"/>
      <w:jc w:val="left"/>
    </w:pPr>
    <w:rPr>
      <w:rFonts w:ascii="Arial Unicode MS" w:hAnsi="Arial Unicode MS"/>
      <w:kern w:val="0"/>
      <w:sz w:val="16"/>
      <w:szCs w:val="16"/>
    </w:rPr>
  </w:style>
  <w:style w:type="paragraph" w:customStyle="1" w:styleId="1229">
    <w:name w:val="表格 左侧"/>
    <w:basedOn w:val="199"/>
    <w:autoRedefine/>
    <w:qFormat/>
    <w:uiPriority w:val="99"/>
    <w:pPr>
      <w:widowControl/>
      <w:adjustRightInd/>
      <w:snapToGrid/>
      <w:spacing w:beforeLines="0" w:afterLines="0" w:line="240" w:lineRule="auto"/>
      <w:jc w:val="left"/>
    </w:pPr>
    <w:rPr>
      <w:rFonts w:ascii="Times New Roman"/>
      <w:b/>
      <w:bCs/>
      <w:kern w:val="18"/>
      <w:szCs w:val="21"/>
    </w:rPr>
  </w:style>
  <w:style w:type="paragraph" w:customStyle="1" w:styleId="1230">
    <w:name w:val="样式 样式 样式 首行缩进:  2 字符 + 首行缩进:  2 字符 + 居中 行距: 单倍行距"/>
    <w:basedOn w:val="1"/>
    <w:autoRedefine/>
    <w:qFormat/>
    <w:uiPriority w:val="99"/>
    <w:pPr>
      <w:jc w:val="center"/>
    </w:pPr>
    <w:rPr>
      <w:rFonts w:eastAsia="仿宋_GB2312"/>
      <w:sz w:val="24"/>
      <w:szCs w:val="20"/>
    </w:rPr>
  </w:style>
  <w:style w:type="paragraph" w:customStyle="1" w:styleId="1231">
    <w:name w:val="样式 样式 样式 标题 4 + 宋体 行距: 1.5 倍行距 + 段前: 0.5 行 + Times New Roman"/>
    <w:basedOn w:val="829"/>
    <w:autoRedefine/>
    <w:qFormat/>
    <w:uiPriority w:val="99"/>
    <w:pPr>
      <w:snapToGrid w:val="0"/>
      <w:spacing w:beforeLines="50" w:after="120"/>
      <w:ind w:left="2884" w:hanging="2884"/>
      <w:jc w:val="left"/>
    </w:pPr>
    <w:rPr>
      <w:rFonts w:hAnsi="Times New Roman"/>
      <w:b w:val="0"/>
    </w:rPr>
  </w:style>
  <w:style w:type="paragraph" w:customStyle="1" w:styleId="1232">
    <w:name w:val="xl81"/>
    <w:basedOn w:val="1"/>
    <w:qFormat/>
    <w:uiPriority w:val="99"/>
    <w:pPr>
      <w:widowControl/>
      <w:pBdr>
        <w:left w:val="single" w:color="auto" w:sz="12" w:space="0"/>
        <w:bottom w:val="single" w:color="auto" w:sz="12" w:space="0"/>
        <w:right w:val="single" w:color="auto" w:sz="4" w:space="0"/>
      </w:pBdr>
      <w:spacing w:before="100" w:beforeAutospacing="1" w:after="100" w:afterAutospacing="1"/>
      <w:jc w:val="center"/>
    </w:pPr>
    <w:rPr>
      <w:rFonts w:ascii="Arial Unicode MS" w:hAnsi="Arial Unicode MS"/>
      <w:kern w:val="0"/>
      <w:sz w:val="12"/>
      <w:szCs w:val="12"/>
    </w:rPr>
  </w:style>
  <w:style w:type="paragraph" w:customStyle="1" w:styleId="1233">
    <w:name w:val="表格样式"/>
    <w:basedOn w:val="1"/>
    <w:autoRedefine/>
    <w:qFormat/>
    <w:uiPriority w:val="99"/>
    <w:pPr>
      <w:widowControl/>
    </w:pPr>
    <w:rPr>
      <w:sz w:val="24"/>
    </w:rPr>
  </w:style>
  <w:style w:type="paragraph" w:customStyle="1" w:styleId="1234">
    <w:name w:val="表格文字中 Char Char"/>
    <w:basedOn w:val="1"/>
    <w:autoRedefine/>
    <w:qFormat/>
    <w:uiPriority w:val="99"/>
    <w:pPr>
      <w:keepNext/>
      <w:widowControl/>
      <w:spacing w:line="160" w:lineRule="atLeast"/>
      <w:contextualSpacing/>
      <w:jc w:val="center"/>
    </w:pPr>
    <w:rPr>
      <w:rFonts w:cs="宋体"/>
      <w:color w:val="000000"/>
      <w:kern w:val="0"/>
      <w:szCs w:val="20"/>
    </w:rPr>
  </w:style>
  <w:style w:type="paragraph" w:customStyle="1" w:styleId="1235">
    <w:name w:val="表文"/>
    <w:basedOn w:val="1"/>
    <w:autoRedefine/>
    <w:qFormat/>
    <w:uiPriority w:val="99"/>
    <w:pPr>
      <w:keepNext/>
      <w:adjustRightInd w:val="0"/>
      <w:spacing w:before="40" w:line="288" w:lineRule="auto"/>
      <w:jc w:val="center"/>
      <w:textAlignment w:val="baseline"/>
    </w:pPr>
    <w:rPr>
      <w:kern w:val="0"/>
      <w:sz w:val="24"/>
      <w:szCs w:val="20"/>
    </w:rPr>
  </w:style>
  <w:style w:type="paragraph" w:customStyle="1" w:styleId="1236">
    <w:name w:val="菏泽-标题 3 Char Char Char"/>
    <w:basedOn w:val="1"/>
    <w:next w:val="1"/>
    <w:autoRedefine/>
    <w:qFormat/>
    <w:uiPriority w:val="99"/>
    <w:pPr>
      <w:keepNext/>
      <w:keepLines/>
      <w:overflowPunct w:val="0"/>
      <w:snapToGrid w:val="0"/>
      <w:spacing w:line="440" w:lineRule="exact"/>
      <w:ind w:firstLine="359" w:firstLineChars="128"/>
      <w:outlineLvl w:val="2"/>
    </w:pPr>
    <w:rPr>
      <w:rFonts w:ascii="华文细黑" w:hAnsi="华文细黑" w:eastAsia="华文细黑"/>
      <w:b/>
      <w:sz w:val="28"/>
      <w:szCs w:val="28"/>
    </w:rPr>
  </w:style>
  <w:style w:type="paragraph" w:customStyle="1" w:styleId="1237">
    <w:name w:val="东明_正文"/>
    <w:basedOn w:val="1"/>
    <w:autoRedefine/>
    <w:qFormat/>
    <w:uiPriority w:val="99"/>
    <w:pPr>
      <w:spacing w:before="240" w:after="240" w:line="480" w:lineRule="exact"/>
      <w:ind w:firstLine="560" w:firstLineChars="200"/>
    </w:pPr>
    <w:rPr>
      <w:sz w:val="28"/>
      <w:szCs w:val="20"/>
    </w:rPr>
  </w:style>
  <w:style w:type="paragraph" w:customStyle="1" w:styleId="1238">
    <w:name w:val="样式 标题 1章标题 11标题 1H1一、 + 行距: 1.5 倍行距3"/>
    <w:basedOn w:val="3"/>
    <w:autoRedefine/>
    <w:semiHidden/>
    <w:qFormat/>
    <w:uiPriority w:val="99"/>
    <w:pPr>
      <w:keepLines/>
      <w:overflowPunct/>
      <w:spacing w:before="340" w:after="330" w:line="360" w:lineRule="auto"/>
      <w:ind w:left="3845" w:hanging="3845"/>
      <w:jc w:val="center"/>
    </w:pPr>
    <w:rPr>
      <w:rFonts w:cs="宋体"/>
      <w:color w:val="auto"/>
      <w:sz w:val="44"/>
      <w:szCs w:val="20"/>
    </w:rPr>
  </w:style>
  <w:style w:type="paragraph" w:customStyle="1" w:styleId="1239">
    <w:name w:val="5 Char"/>
    <w:basedOn w:val="1"/>
    <w:autoRedefine/>
    <w:qFormat/>
    <w:uiPriority w:val="99"/>
    <w:rPr>
      <w:sz w:val="24"/>
    </w:rPr>
  </w:style>
  <w:style w:type="paragraph" w:customStyle="1" w:styleId="1240">
    <w:name w:val="正文内容"/>
    <w:basedOn w:val="1"/>
    <w:autoRedefine/>
    <w:qFormat/>
    <w:uiPriority w:val="99"/>
    <w:pPr>
      <w:adjustRightInd w:val="0"/>
      <w:snapToGrid w:val="0"/>
      <w:spacing w:line="360" w:lineRule="auto"/>
      <w:ind w:firstLine="510"/>
    </w:pPr>
    <w:rPr>
      <w:rFonts w:ascii="宋体" w:hAnsi="宋体"/>
      <w:spacing w:val="4"/>
      <w:kern w:val="0"/>
      <w:sz w:val="24"/>
      <w:szCs w:val="20"/>
    </w:rPr>
  </w:style>
  <w:style w:type="paragraph" w:customStyle="1" w:styleId="1241">
    <w:name w:val="样式 标题 4 + 左侧:  0 厘米 首行缩进:  0 厘米"/>
    <w:basedOn w:val="6"/>
    <w:autoRedefine/>
    <w:qFormat/>
    <w:uiPriority w:val="99"/>
    <w:pPr>
      <w:spacing w:before="0" w:after="0" w:line="360" w:lineRule="auto"/>
    </w:pPr>
    <w:rPr>
      <w:rFonts w:ascii="黑体" w:hAnsi="宋体" w:eastAsia="黑体" w:cs="宋体"/>
      <w:b w:val="0"/>
      <w:sz w:val="24"/>
      <w:szCs w:val="20"/>
    </w:rPr>
  </w:style>
  <w:style w:type="paragraph" w:customStyle="1" w:styleId="1242">
    <w:name w:val="xl26"/>
    <w:basedOn w:val="1"/>
    <w:autoRedefine/>
    <w:qFormat/>
    <w:uiPriority w:val="99"/>
    <w:pPr>
      <w:widowControl/>
      <w:pBdr>
        <w:bottom w:val="single" w:color="auto" w:sz="4" w:space="0"/>
        <w:right w:val="single" w:color="auto" w:sz="4" w:space="0"/>
      </w:pBdr>
      <w:spacing w:before="100" w:after="100"/>
      <w:jc w:val="center"/>
      <w:textAlignment w:val="top"/>
    </w:pPr>
    <w:rPr>
      <w:kern w:val="0"/>
      <w:szCs w:val="20"/>
    </w:rPr>
  </w:style>
  <w:style w:type="paragraph" w:customStyle="1" w:styleId="1243">
    <w:name w:val="样式 标题 2 + 行距: 1.5 倍行距1"/>
    <w:basedOn w:val="4"/>
    <w:autoRedefine/>
    <w:qFormat/>
    <w:uiPriority w:val="99"/>
    <w:pPr>
      <w:snapToGrid w:val="0"/>
      <w:spacing w:before="240" w:after="240" w:line="240" w:lineRule="auto"/>
      <w:ind w:left="1134" w:hanging="992"/>
      <w:jc w:val="left"/>
    </w:pPr>
    <w:rPr>
      <w:rFonts w:ascii="Times New Roman" w:hAnsi="Times New Roman" w:cs="宋体"/>
      <w:sz w:val="28"/>
      <w:szCs w:val="20"/>
    </w:rPr>
  </w:style>
  <w:style w:type="paragraph" w:customStyle="1" w:styleId="1244">
    <w:name w:val="标题21"/>
    <w:basedOn w:val="1"/>
    <w:autoRedefine/>
    <w:qFormat/>
    <w:uiPriority w:val="99"/>
    <w:pPr>
      <w:suppressLineNumbers/>
      <w:spacing w:line="360" w:lineRule="auto"/>
      <w:outlineLvl w:val="1"/>
    </w:pPr>
    <w:rPr>
      <w:rFonts w:eastAsia="黑体"/>
      <w:sz w:val="36"/>
      <w:szCs w:val="36"/>
    </w:rPr>
  </w:style>
  <w:style w:type="paragraph" w:customStyle="1" w:styleId="1245">
    <w:name w:val="普通 (Web)"/>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1246">
    <w:name w:val="样式 样式 样式 正文 首行缩进:  2 字符 SL CON + 首行缩进:  2 字符 + (符号) 宋体 + 字距调整小四"/>
    <w:basedOn w:val="1"/>
    <w:autoRedefine/>
    <w:qFormat/>
    <w:uiPriority w:val="99"/>
    <w:pPr>
      <w:widowControl/>
      <w:numPr>
        <w:ilvl w:val="0"/>
        <w:numId w:val="4"/>
      </w:numPr>
      <w:tabs>
        <w:tab w:val="left" w:pos="377"/>
      </w:tabs>
      <w:spacing w:line="360" w:lineRule="auto"/>
      <w:ind w:left="0" w:firstLine="480" w:firstLineChars="200"/>
    </w:pPr>
    <w:rPr>
      <w:rFonts w:ascii="宋体" w:hAnsi="宋体" w:cs="宋体"/>
      <w:kern w:val="24"/>
      <w:sz w:val="24"/>
    </w:rPr>
  </w:style>
  <w:style w:type="paragraph" w:customStyle="1" w:styleId="1247">
    <w:name w:val="样式 题注 + (西文) Arial (中文) 黑体 小四 Char Char"/>
    <w:basedOn w:val="22"/>
    <w:autoRedefine/>
    <w:qFormat/>
    <w:uiPriority w:val="99"/>
    <w:pPr>
      <w:keepNext/>
      <w:numPr>
        <w:ilvl w:val="0"/>
        <w:numId w:val="16"/>
      </w:numPr>
      <w:tabs>
        <w:tab w:val="left" w:pos="1620"/>
      </w:tabs>
      <w:adjustRightInd w:val="0"/>
      <w:spacing w:line="240" w:lineRule="auto"/>
      <w:ind w:left="1620" w:leftChars="600" w:hanging="360" w:hangingChars="200"/>
      <w:jc w:val="center"/>
    </w:pPr>
    <w:rPr>
      <w:sz w:val="24"/>
      <w:szCs w:val="28"/>
    </w:rPr>
  </w:style>
  <w:style w:type="paragraph" w:customStyle="1" w:styleId="1248">
    <w:name w:val="标题正4"/>
    <w:basedOn w:val="1"/>
    <w:autoRedefine/>
    <w:qFormat/>
    <w:uiPriority w:val="99"/>
    <w:pPr>
      <w:jc w:val="center"/>
    </w:pPr>
    <w:rPr>
      <w:rFonts w:ascii="仿宋_GB2312" w:eastAsia="仿宋_GB2312"/>
      <w:color w:val="000000"/>
    </w:rPr>
  </w:style>
  <w:style w:type="paragraph" w:customStyle="1" w:styleId="1249">
    <w:name w:val="xl193"/>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16"/>
      <w:szCs w:val="16"/>
    </w:rPr>
  </w:style>
  <w:style w:type="paragraph" w:customStyle="1" w:styleId="1250">
    <w:name w:val="表序号"/>
    <w:basedOn w:val="7"/>
    <w:autoRedefine/>
    <w:qFormat/>
    <w:uiPriority w:val="99"/>
    <w:pPr>
      <w:tabs>
        <w:tab w:val="left" w:pos="3093"/>
        <w:tab w:val="clear" w:pos="1008"/>
      </w:tabs>
      <w:spacing w:before="0" w:after="0" w:line="360" w:lineRule="auto"/>
      <w:ind w:left="3093" w:hanging="420"/>
      <w:jc w:val="center"/>
    </w:pPr>
    <w:rPr>
      <w:rFonts w:ascii="宋体" w:hAnsi="Arial"/>
      <w:kern w:val="0"/>
      <w:sz w:val="24"/>
    </w:rPr>
  </w:style>
  <w:style w:type="paragraph" w:customStyle="1" w:styleId="1251">
    <w:name w:val="ST20_1"/>
    <w:basedOn w:val="1"/>
    <w:autoRedefine/>
    <w:qFormat/>
    <w:uiPriority w:val="99"/>
    <w:pPr>
      <w:autoSpaceDE w:val="0"/>
      <w:autoSpaceDN w:val="0"/>
      <w:adjustRightInd w:val="0"/>
      <w:spacing w:line="312" w:lineRule="atLeast"/>
      <w:jc w:val="center"/>
      <w:textAlignment w:val="baseline"/>
    </w:pPr>
    <w:rPr>
      <w:rFonts w:ascii="宋体" w:hAnsi="Tms Rmn"/>
      <w:kern w:val="0"/>
      <w:sz w:val="24"/>
      <w:szCs w:val="20"/>
    </w:rPr>
  </w:style>
  <w:style w:type="paragraph" w:customStyle="1" w:styleId="1252">
    <w:name w:val="样式1"/>
    <w:basedOn w:val="7"/>
    <w:autoRedefine/>
    <w:qFormat/>
    <w:uiPriority w:val="99"/>
    <w:pPr>
      <w:keepNext w:val="0"/>
      <w:keepLines w:val="0"/>
      <w:tabs>
        <w:tab w:val="clear" w:pos="1008"/>
      </w:tabs>
      <w:spacing w:before="0" w:after="0" w:line="360" w:lineRule="exact"/>
      <w:ind w:left="0" w:firstLine="0"/>
      <w:jc w:val="center"/>
      <w:outlineLvl w:val="9"/>
    </w:pPr>
    <w:rPr>
      <w:rFonts w:ascii="宋体" w:hAnsi="宋体"/>
      <w:b w:val="0"/>
      <w:sz w:val="18"/>
      <w:szCs w:val="21"/>
    </w:rPr>
  </w:style>
  <w:style w:type="paragraph" w:customStyle="1" w:styleId="1253">
    <w:name w:val="xl32"/>
    <w:basedOn w:val="1"/>
    <w:autoRedefine/>
    <w:qFormat/>
    <w:uiPriority w:val="99"/>
    <w:pPr>
      <w:widowControl/>
      <w:pBdr>
        <w:right w:val="single" w:color="auto" w:sz="4" w:space="0"/>
      </w:pBdr>
      <w:spacing w:before="100" w:beforeAutospacing="1" w:after="100" w:afterAutospacing="1"/>
      <w:jc w:val="center"/>
      <w:textAlignment w:val="bottom"/>
    </w:pPr>
    <w:rPr>
      <w:rFonts w:ascii="Arial" w:hAnsi="Arial" w:cs="Arial"/>
      <w:kern w:val="0"/>
      <w:sz w:val="28"/>
      <w:szCs w:val="28"/>
    </w:rPr>
  </w:style>
  <w:style w:type="paragraph" w:customStyle="1" w:styleId="1254">
    <w:name w:val="xl150"/>
    <w:basedOn w:val="1"/>
    <w:autoRedefine/>
    <w:qFormat/>
    <w:uiPriority w:val="99"/>
    <w:pPr>
      <w:widowControl/>
      <w:pBdr>
        <w:bottom w:val="single" w:color="auto" w:sz="8" w:space="0"/>
      </w:pBdr>
      <w:spacing w:before="100" w:beforeAutospacing="1" w:after="100" w:afterAutospacing="1"/>
      <w:jc w:val="left"/>
    </w:pPr>
    <w:rPr>
      <w:rFonts w:ascii="Arial Unicode MS" w:hAnsi="Arial Unicode MS"/>
      <w:kern w:val="0"/>
      <w:sz w:val="16"/>
      <w:szCs w:val="16"/>
    </w:rPr>
  </w:style>
  <w:style w:type="paragraph" w:customStyle="1" w:styleId="1255">
    <w:name w:val="样式 小四 首行缩进:  1.01 厘米 行距: 1.5 倍行距"/>
    <w:basedOn w:val="1"/>
    <w:autoRedefine/>
    <w:qFormat/>
    <w:uiPriority w:val="99"/>
    <w:pPr>
      <w:spacing w:line="360" w:lineRule="auto"/>
    </w:pPr>
    <w:rPr>
      <w:rFonts w:ascii="宋体" w:hAnsi="宋体" w:cs="宋体"/>
      <w:sz w:val="24"/>
    </w:rPr>
  </w:style>
  <w:style w:type="paragraph" w:customStyle="1" w:styleId="1256">
    <w:name w:val="表头及图标"/>
    <w:basedOn w:val="409"/>
    <w:autoRedefine/>
    <w:qFormat/>
    <w:uiPriority w:val="99"/>
    <w:pPr>
      <w:ind w:firstLine="0" w:firstLineChars="0"/>
      <w:jc w:val="center"/>
    </w:pPr>
    <w:rPr>
      <w:b/>
      <w:bCs/>
      <w:sz w:val="21"/>
    </w:rPr>
  </w:style>
  <w:style w:type="paragraph" w:customStyle="1" w:styleId="1257">
    <w:name w:val="3级标题"/>
    <w:basedOn w:val="1"/>
    <w:autoRedefine/>
    <w:qFormat/>
    <w:uiPriority w:val="99"/>
    <w:pPr>
      <w:spacing w:before="300" w:line="460" w:lineRule="exact"/>
      <w:outlineLvl w:val="2"/>
    </w:pPr>
    <w:rPr>
      <w:b/>
      <w:sz w:val="24"/>
      <w:szCs w:val="20"/>
    </w:rPr>
  </w:style>
  <w:style w:type="paragraph" w:customStyle="1" w:styleId="1258">
    <w:name w:val="公式样式1"/>
    <w:basedOn w:val="1"/>
    <w:autoRedefine/>
    <w:qFormat/>
    <w:uiPriority w:val="99"/>
    <w:pPr>
      <w:spacing w:line="360" w:lineRule="auto"/>
      <w:ind w:firstLine="235" w:firstLineChars="100"/>
    </w:pPr>
    <w:rPr>
      <w:rFonts w:ascii="宋体" w:hAnsi="Arial Black"/>
      <w:szCs w:val="20"/>
    </w:rPr>
  </w:style>
  <w:style w:type="paragraph" w:customStyle="1" w:styleId="1259">
    <w:name w:val="工艺1"/>
    <w:basedOn w:val="1"/>
    <w:autoRedefine/>
    <w:qFormat/>
    <w:uiPriority w:val="99"/>
    <w:pPr>
      <w:adjustRightInd w:val="0"/>
      <w:snapToGrid w:val="0"/>
      <w:spacing w:line="360" w:lineRule="auto"/>
    </w:pPr>
    <w:rPr>
      <w:rFonts w:ascii="宋体"/>
      <w:b/>
      <w:sz w:val="28"/>
      <w:szCs w:val="20"/>
    </w:rPr>
  </w:style>
  <w:style w:type="paragraph" w:customStyle="1" w:styleId="1260">
    <w:name w:val="样式 正文文本 + 宋体 行距: 1.5 倍行距"/>
    <w:basedOn w:val="32"/>
    <w:autoRedefine/>
    <w:qFormat/>
    <w:uiPriority w:val="99"/>
    <w:pPr>
      <w:widowControl w:val="0"/>
      <w:snapToGrid/>
      <w:spacing w:before="0" w:after="120" w:line="360" w:lineRule="auto"/>
      <w:ind w:right="0" w:firstLine="480" w:firstLineChars="200"/>
    </w:pPr>
    <w:rPr>
      <w:rFonts w:cs="宋体"/>
      <w:sz w:val="24"/>
    </w:rPr>
  </w:style>
  <w:style w:type="paragraph" w:customStyle="1" w:styleId="1261">
    <w:name w:val="xl37"/>
    <w:basedOn w:val="1"/>
    <w:autoRedefine/>
    <w:qFormat/>
    <w:uiPriority w:val="99"/>
    <w:pPr>
      <w:widowControl/>
      <w:spacing w:before="100" w:beforeAutospacing="1" w:after="100" w:afterAutospacing="1"/>
      <w:jc w:val="left"/>
    </w:pPr>
    <w:rPr>
      <w:rFonts w:ascii="Arial" w:hAnsi="Arial" w:cs="Arial"/>
      <w:kern w:val="0"/>
      <w:sz w:val="24"/>
    </w:rPr>
  </w:style>
  <w:style w:type="paragraph" w:customStyle="1" w:styleId="1262">
    <w:name w:val="样式 正文缩进正文（首行缩进两字）正文（首行缩进两字） Char Char Char Char Char Char Char..."/>
    <w:basedOn w:val="8"/>
    <w:autoRedefine/>
    <w:qFormat/>
    <w:uiPriority w:val="99"/>
    <w:pPr>
      <w:spacing w:line="312" w:lineRule="auto"/>
      <w:ind w:firstLine="539" w:firstLineChars="0"/>
    </w:pPr>
    <w:rPr>
      <w:kern w:val="0"/>
      <w:sz w:val="28"/>
    </w:rPr>
  </w:style>
  <w:style w:type="paragraph" w:customStyle="1" w:styleId="1263">
    <w:name w:val="论文正文"/>
    <w:basedOn w:val="8"/>
    <w:autoRedefine/>
    <w:qFormat/>
    <w:uiPriority w:val="99"/>
    <w:pPr>
      <w:ind w:firstLine="480"/>
    </w:pPr>
    <w:rPr>
      <w:rFonts w:ascii="宋体" w:hAnsi="宋体"/>
      <w:kern w:val="0"/>
      <w:sz w:val="28"/>
    </w:rPr>
  </w:style>
  <w:style w:type="paragraph" w:customStyle="1" w:styleId="1264">
    <w:name w:val="表格内容 + 左对齐"/>
    <w:basedOn w:val="321"/>
    <w:autoRedefine/>
    <w:qFormat/>
    <w:uiPriority w:val="99"/>
    <w:rPr>
      <w:rFonts w:cs="宋体"/>
    </w:rPr>
  </w:style>
  <w:style w:type="paragraph" w:customStyle="1" w:styleId="1265">
    <w:name w:val="样式 样式 标题 2节 + (西文) Times New Roman (中文) 宋体 四号 段前: 0.5 行 段后: 0......"/>
    <w:basedOn w:val="1"/>
    <w:autoRedefine/>
    <w:qFormat/>
    <w:uiPriority w:val="99"/>
    <w:pPr>
      <w:keepNext/>
      <w:keepLines/>
      <w:adjustRightInd w:val="0"/>
      <w:snapToGrid w:val="0"/>
      <w:spacing w:beforeLines="90" w:afterLines="90" w:line="300" w:lineRule="auto"/>
      <w:ind w:left="992" w:hanging="992"/>
      <w:outlineLvl w:val="1"/>
    </w:pPr>
    <w:rPr>
      <w:rFonts w:ascii="宋体" w:hAnsi="宋体"/>
      <w:bCs/>
      <w:sz w:val="30"/>
      <w:szCs w:val="30"/>
    </w:rPr>
  </w:style>
  <w:style w:type="paragraph" w:customStyle="1" w:styleId="1266">
    <w:name w:val="CM28"/>
    <w:basedOn w:val="1"/>
    <w:next w:val="1"/>
    <w:autoRedefine/>
    <w:qFormat/>
    <w:uiPriority w:val="99"/>
    <w:pPr>
      <w:autoSpaceDE w:val="0"/>
      <w:autoSpaceDN w:val="0"/>
      <w:adjustRightInd w:val="0"/>
      <w:spacing w:line="468" w:lineRule="atLeast"/>
      <w:jc w:val="left"/>
    </w:pPr>
    <w:rPr>
      <w:rFonts w:ascii="宋体" w:cs="宋体"/>
      <w:kern w:val="0"/>
      <w:sz w:val="24"/>
    </w:rPr>
  </w:style>
  <w:style w:type="paragraph" w:customStyle="1" w:styleId="1267">
    <w:name w:val="宏福4"/>
    <w:basedOn w:val="1"/>
    <w:autoRedefine/>
    <w:qFormat/>
    <w:uiPriority w:val="99"/>
    <w:pPr>
      <w:adjustRightInd w:val="0"/>
      <w:spacing w:line="400" w:lineRule="atLeast"/>
      <w:ind w:firstLine="567"/>
      <w:jc w:val="left"/>
      <w:textAlignment w:val="baseline"/>
    </w:pPr>
    <w:rPr>
      <w:sz w:val="28"/>
      <w:szCs w:val="28"/>
    </w:rPr>
  </w:style>
  <w:style w:type="paragraph" w:customStyle="1" w:styleId="1268">
    <w:name w:val="style2"/>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1269">
    <w:name w:val="样式 标题 1章标题 11标题 1H1一、 + 行距: 1.5 倍行距2"/>
    <w:basedOn w:val="3"/>
    <w:autoRedefine/>
    <w:semiHidden/>
    <w:qFormat/>
    <w:uiPriority w:val="99"/>
    <w:pPr>
      <w:keepLines/>
      <w:overflowPunct/>
      <w:spacing w:before="340" w:after="330" w:line="360" w:lineRule="auto"/>
      <w:ind w:left="3845" w:hanging="3845"/>
      <w:jc w:val="center"/>
    </w:pPr>
    <w:rPr>
      <w:rFonts w:cs="宋体"/>
      <w:color w:val="auto"/>
      <w:sz w:val="44"/>
      <w:szCs w:val="20"/>
    </w:rPr>
  </w:style>
  <w:style w:type="paragraph" w:customStyle="1" w:styleId="1270">
    <w:name w:val=".66l.66l"/>
    <w:basedOn w:val="1"/>
    <w:autoRedefine/>
    <w:semiHidden/>
    <w:qFormat/>
    <w:uiPriority w:val="99"/>
    <w:pPr>
      <w:autoSpaceDE w:val="0"/>
      <w:autoSpaceDN w:val="0"/>
      <w:adjustRightInd w:val="0"/>
      <w:spacing w:line="312" w:lineRule="atLeast"/>
      <w:ind w:firstLine="570"/>
      <w:textAlignment w:val="baseline"/>
    </w:pPr>
    <w:rPr>
      <w:rFonts w:ascii="宋体"/>
      <w:kern w:val="0"/>
      <w:sz w:val="28"/>
      <w:szCs w:val="20"/>
    </w:rPr>
  </w:style>
  <w:style w:type="paragraph" w:customStyle="1" w:styleId="1271">
    <w:name w:val="xl154"/>
    <w:basedOn w:val="1"/>
    <w:autoRedefine/>
    <w:qFormat/>
    <w:uiPriority w:val="99"/>
    <w:pPr>
      <w:widowControl/>
      <w:pBdr>
        <w:left w:val="single" w:color="auto" w:sz="12" w:space="0"/>
        <w:bottom w:val="single" w:color="auto" w:sz="8" w:space="0"/>
      </w:pBdr>
      <w:spacing w:before="100" w:beforeAutospacing="1" w:after="100" w:afterAutospacing="1"/>
      <w:jc w:val="center"/>
    </w:pPr>
    <w:rPr>
      <w:rFonts w:ascii="Arial Unicode MS" w:hAnsi="Arial Unicode MS"/>
      <w:kern w:val="0"/>
      <w:sz w:val="12"/>
      <w:szCs w:val="12"/>
    </w:rPr>
  </w:style>
  <w:style w:type="paragraph" w:customStyle="1" w:styleId="1272">
    <w:name w:val="xl64"/>
    <w:basedOn w:val="1"/>
    <w:autoRedefine/>
    <w:qFormat/>
    <w:uiPriority w:val="99"/>
    <w:pPr>
      <w:widowControl/>
      <w:spacing w:before="100" w:beforeAutospacing="1" w:after="100" w:afterAutospacing="1"/>
      <w:jc w:val="center"/>
    </w:pPr>
    <w:rPr>
      <w:rFonts w:ascii="Arial" w:hAnsi="Arial" w:cs="Arial"/>
      <w:b/>
      <w:bCs/>
      <w:kern w:val="0"/>
      <w:sz w:val="22"/>
      <w:szCs w:val="22"/>
    </w:rPr>
  </w:style>
  <w:style w:type="paragraph" w:customStyle="1" w:styleId="1273">
    <w:name w:val="我的正文"/>
    <w:basedOn w:val="1"/>
    <w:autoRedefine/>
    <w:qFormat/>
    <w:uiPriority w:val="99"/>
    <w:pPr>
      <w:spacing w:line="360" w:lineRule="auto"/>
      <w:ind w:firstLine="480" w:firstLineChars="200"/>
    </w:pPr>
    <w:rPr>
      <w:rFonts w:cs="宋体"/>
      <w:sz w:val="24"/>
    </w:rPr>
  </w:style>
  <w:style w:type="paragraph" w:customStyle="1" w:styleId="1274">
    <w:name w:val="xl84"/>
    <w:basedOn w:val="1"/>
    <w:autoRedefine/>
    <w:qFormat/>
    <w:uiPriority w:val="99"/>
    <w:pPr>
      <w:widowControl/>
      <w:pBdr>
        <w:bottom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1275">
    <w:name w:val="xl90"/>
    <w:basedOn w:val="1"/>
    <w:autoRedefine/>
    <w:qFormat/>
    <w:uiPriority w:val="99"/>
    <w:pPr>
      <w:widowControl/>
      <w:pBdr>
        <w:bottom w:val="single" w:color="auto" w:sz="12"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1276">
    <w:name w:val="unnamed2"/>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1277">
    <w:name w:val="正文1.1"/>
    <w:basedOn w:val="1"/>
    <w:autoRedefine/>
    <w:qFormat/>
    <w:uiPriority w:val="99"/>
    <w:pPr>
      <w:tabs>
        <w:tab w:val="left" w:pos="495"/>
      </w:tabs>
      <w:snapToGrid w:val="0"/>
      <w:spacing w:beforeLines="50" w:afterLines="50" w:line="360" w:lineRule="auto"/>
      <w:ind w:left="495" w:hanging="495"/>
      <w:outlineLvl w:val="2"/>
    </w:pPr>
    <w:rPr>
      <w:rFonts w:hAnsi="宋体"/>
      <w:b/>
      <w:sz w:val="30"/>
      <w:szCs w:val="30"/>
    </w:rPr>
  </w:style>
  <w:style w:type="paragraph" w:customStyle="1" w:styleId="1278">
    <w:name w:val="xl102"/>
    <w:basedOn w:val="1"/>
    <w:autoRedefine/>
    <w:qFormat/>
    <w:uiPriority w:val="99"/>
    <w:pPr>
      <w:widowControl/>
      <w:pBdr>
        <w:left w:val="single" w:color="auto" w:sz="4" w:space="0"/>
        <w:bottom w:val="single" w:color="auto" w:sz="12" w:space="0"/>
        <w:right w:val="single" w:color="auto" w:sz="12" w:space="0"/>
      </w:pBdr>
      <w:spacing w:before="100" w:beforeAutospacing="1" w:after="100" w:afterAutospacing="1"/>
      <w:jc w:val="center"/>
      <w:textAlignment w:val="center"/>
    </w:pPr>
    <w:rPr>
      <w:kern w:val="0"/>
      <w:sz w:val="12"/>
      <w:szCs w:val="12"/>
    </w:rPr>
  </w:style>
  <w:style w:type="paragraph" w:customStyle="1" w:styleId="1279">
    <w:name w:val="样式 标题 4 + 黑色 左侧:  -0.01 厘米 首行缩进:  0.01 厘米"/>
    <w:basedOn w:val="6"/>
    <w:autoRedefine/>
    <w:qFormat/>
    <w:uiPriority w:val="99"/>
    <w:pPr>
      <w:tabs>
        <w:tab w:val="left" w:pos="1080"/>
        <w:tab w:val="left" w:pos="1680"/>
      </w:tabs>
      <w:spacing w:beforeLines="50" w:after="0" w:line="312" w:lineRule="auto"/>
      <w:ind w:left="864" w:hanging="864" w:firstLineChars="250"/>
      <w:jc w:val="left"/>
    </w:pPr>
    <w:rPr>
      <w:rFonts w:ascii="仿宋_GB2312" w:hAnsi="Arial" w:eastAsia="仿宋_GB2312" w:cs="宋体"/>
      <w:b w:val="0"/>
      <w:bCs w:val="0"/>
      <w:color w:val="000000"/>
      <w:szCs w:val="20"/>
    </w:rPr>
  </w:style>
  <w:style w:type="paragraph" w:customStyle="1" w:styleId="1280">
    <w:name w:val="font15"/>
    <w:basedOn w:val="1"/>
    <w:autoRedefine/>
    <w:qFormat/>
    <w:uiPriority w:val="99"/>
    <w:pPr>
      <w:widowControl/>
      <w:spacing w:before="100" w:beforeAutospacing="1" w:after="100" w:afterAutospacing="1"/>
      <w:jc w:val="left"/>
    </w:pPr>
    <w:rPr>
      <w:rFonts w:ascii="Tahoma" w:hAnsi="Tahoma" w:cs="Tahoma"/>
      <w:b/>
      <w:bCs/>
      <w:color w:val="000000"/>
      <w:kern w:val="0"/>
      <w:sz w:val="16"/>
      <w:szCs w:val="16"/>
    </w:rPr>
  </w:style>
  <w:style w:type="paragraph" w:customStyle="1" w:styleId="1281">
    <w:name w:val="xl74"/>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1282">
    <w:name w:val="xl23"/>
    <w:basedOn w:val="1"/>
    <w:autoRedefine/>
    <w:qFormat/>
    <w:uiPriority w:val="99"/>
    <w:pPr>
      <w:widowControl/>
      <w:pBdr>
        <w:bottom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1283">
    <w:name w:val="font16"/>
    <w:basedOn w:val="1"/>
    <w:autoRedefine/>
    <w:qFormat/>
    <w:uiPriority w:val="99"/>
    <w:pPr>
      <w:widowControl/>
      <w:spacing w:before="100" w:beforeAutospacing="1" w:after="100" w:afterAutospacing="1"/>
      <w:jc w:val="left"/>
    </w:pPr>
    <w:rPr>
      <w:rFonts w:ascii="Tahoma" w:hAnsi="Tahoma" w:cs="Tahoma"/>
      <w:color w:val="000000"/>
      <w:kern w:val="0"/>
      <w:sz w:val="16"/>
      <w:szCs w:val="16"/>
    </w:rPr>
  </w:style>
  <w:style w:type="paragraph" w:customStyle="1" w:styleId="1284">
    <w:name w:val="xl198"/>
    <w:basedOn w:val="1"/>
    <w:autoRedefine/>
    <w:qFormat/>
    <w:uiPriority w:val="99"/>
    <w:pPr>
      <w:widowControl/>
      <w:pBdr>
        <w:bottom w:val="single" w:color="auto" w:sz="8" w:space="0"/>
      </w:pBdr>
      <w:spacing w:before="100" w:beforeAutospacing="1" w:after="100" w:afterAutospacing="1"/>
      <w:jc w:val="center"/>
    </w:pPr>
    <w:rPr>
      <w:rFonts w:ascii="Arial Unicode MS" w:hAnsi="Arial Unicode MS"/>
      <w:kern w:val="0"/>
      <w:sz w:val="16"/>
      <w:szCs w:val="16"/>
    </w:rPr>
  </w:style>
  <w:style w:type="paragraph" w:customStyle="1" w:styleId="1285">
    <w:name w:val="xl124"/>
    <w:basedOn w:val="1"/>
    <w:autoRedefine/>
    <w:qFormat/>
    <w:uiPriority w:val="99"/>
    <w:pPr>
      <w:widowControl/>
      <w:pBdr>
        <w:left w:val="single" w:color="auto" w:sz="4" w:space="0"/>
        <w:bottom w:val="single" w:color="auto" w:sz="8" w:space="0"/>
      </w:pBdr>
      <w:spacing w:before="100" w:beforeAutospacing="1" w:after="100" w:afterAutospacing="1"/>
      <w:jc w:val="left"/>
    </w:pPr>
    <w:rPr>
      <w:rFonts w:ascii="Arial Unicode MS" w:hAnsi="Arial Unicode MS"/>
      <w:kern w:val="0"/>
      <w:sz w:val="16"/>
      <w:szCs w:val="16"/>
    </w:rPr>
  </w:style>
  <w:style w:type="paragraph" w:customStyle="1" w:styleId="1286">
    <w:name w:val="xl185"/>
    <w:basedOn w:val="1"/>
    <w:autoRedefine/>
    <w:qFormat/>
    <w:uiPriority w:val="99"/>
    <w:pPr>
      <w:widowControl/>
      <w:pBdr>
        <w:bottom w:val="single" w:color="auto" w:sz="12" w:space="0"/>
        <w:right w:val="single" w:color="auto" w:sz="4" w:space="0"/>
      </w:pBdr>
      <w:spacing w:before="100" w:beforeAutospacing="1" w:after="100" w:afterAutospacing="1"/>
      <w:jc w:val="center"/>
      <w:textAlignment w:val="center"/>
    </w:pPr>
    <w:rPr>
      <w:rFonts w:ascii="Arial Unicode MS" w:hAnsi="Arial Unicode MS"/>
      <w:kern w:val="0"/>
      <w:sz w:val="12"/>
      <w:szCs w:val="12"/>
    </w:rPr>
  </w:style>
  <w:style w:type="paragraph" w:customStyle="1" w:styleId="1287">
    <w:name w:val="标准公文"/>
    <w:autoRedefine/>
    <w:qFormat/>
    <w:uiPriority w:val="99"/>
    <w:pPr>
      <w:widowControl w:val="0"/>
      <w:spacing w:line="520" w:lineRule="exact"/>
      <w:ind w:firstLine="560" w:firstLineChars="200"/>
      <w:jc w:val="both"/>
    </w:pPr>
    <w:rPr>
      <w:rFonts w:ascii="宋体" w:hAnsi="宋体" w:eastAsia="宋体" w:cs="Times New Roman"/>
      <w:sz w:val="28"/>
      <w:szCs w:val="34"/>
      <w:lang w:val="en-US" w:eastAsia="zh-CN" w:bidi="ar-SA"/>
    </w:rPr>
  </w:style>
  <w:style w:type="paragraph" w:customStyle="1" w:styleId="1288">
    <w:name w:val="xl127"/>
    <w:basedOn w:val="1"/>
    <w:autoRedefine/>
    <w:qFormat/>
    <w:uiPriority w:val="99"/>
    <w:pPr>
      <w:widowControl/>
      <w:pBdr>
        <w:top w:val="single" w:color="auto" w:sz="8" w:space="0"/>
        <w:bottom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289">
    <w:name w:val="xl77"/>
    <w:basedOn w:val="1"/>
    <w:autoRedefine/>
    <w:qFormat/>
    <w:uiPriority w:val="99"/>
    <w:pPr>
      <w:widowControl/>
      <w:spacing w:before="100" w:beforeAutospacing="1" w:after="100" w:afterAutospacing="1"/>
      <w:jc w:val="left"/>
    </w:pPr>
    <w:rPr>
      <w:rFonts w:ascii="Arial Unicode MS" w:hAnsi="Arial Unicode MS"/>
      <w:kern w:val="0"/>
      <w:sz w:val="12"/>
      <w:szCs w:val="12"/>
    </w:rPr>
  </w:style>
  <w:style w:type="paragraph" w:customStyle="1" w:styleId="1290">
    <w:name w:val="样式 标题 3 + 宋体 四号"/>
    <w:basedOn w:val="5"/>
    <w:autoRedefine/>
    <w:qFormat/>
    <w:uiPriority w:val="99"/>
    <w:pPr>
      <w:tabs>
        <w:tab w:val="left" w:pos="1260"/>
      </w:tabs>
      <w:spacing w:line="360" w:lineRule="auto"/>
      <w:ind w:left="1260" w:hanging="420"/>
    </w:pPr>
    <w:rPr>
      <w:rFonts w:ascii="宋体" w:hAnsi="宋体" w:eastAsia="黑体" w:cs="宋体"/>
      <w:kern w:val="0"/>
      <w:sz w:val="28"/>
      <w:szCs w:val="20"/>
    </w:rPr>
  </w:style>
  <w:style w:type="paragraph" w:customStyle="1" w:styleId="1291">
    <w:name w:val="Body Text 21"/>
    <w:basedOn w:val="1"/>
    <w:autoRedefine/>
    <w:qFormat/>
    <w:uiPriority w:val="99"/>
    <w:pPr>
      <w:adjustRightInd w:val="0"/>
      <w:textAlignment w:val="baseline"/>
    </w:pPr>
    <w:rPr>
      <w:color w:val="000000"/>
      <w:sz w:val="24"/>
      <w:szCs w:val="20"/>
    </w:rPr>
  </w:style>
  <w:style w:type="paragraph" w:customStyle="1" w:styleId="1292">
    <w:name w:val="xl171"/>
    <w:basedOn w:val="1"/>
    <w:autoRedefine/>
    <w:qFormat/>
    <w:uiPriority w:val="99"/>
    <w:pPr>
      <w:widowControl/>
      <w:pBdr>
        <w:bottom w:val="single" w:color="auto" w:sz="12" w:space="0"/>
      </w:pBdr>
      <w:spacing w:before="100" w:beforeAutospacing="1" w:after="100" w:afterAutospacing="1"/>
      <w:jc w:val="center"/>
      <w:textAlignment w:val="center"/>
    </w:pPr>
    <w:rPr>
      <w:rFonts w:ascii="Arial Unicode MS" w:hAnsi="Arial Unicode MS"/>
      <w:kern w:val="0"/>
    </w:rPr>
  </w:style>
  <w:style w:type="paragraph" w:customStyle="1" w:styleId="1293">
    <w:name w:val="xl182"/>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1294">
    <w:name w:val="Char Char Char Char Char Char1 Char Char Char Char"/>
    <w:basedOn w:val="1"/>
    <w:autoRedefine/>
    <w:qFormat/>
    <w:uiPriority w:val="99"/>
    <w:rPr>
      <w:sz w:val="24"/>
    </w:rPr>
  </w:style>
  <w:style w:type="paragraph" w:customStyle="1" w:styleId="1295">
    <w:name w:val="CM74"/>
    <w:basedOn w:val="1"/>
    <w:next w:val="1"/>
    <w:autoRedefine/>
    <w:qFormat/>
    <w:uiPriority w:val="99"/>
    <w:pPr>
      <w:autoSpaceDE w:val="0"/>
      <w:autoSpaceDN w:val="0"/>
      <w:adjustRightInd w:val="0"/>
      <w:spacing w:after="180"/>
      <w:jc w:val="left"/>
    </w:pPr>
    <w:rPr>
      <w:rFonts w:ascii="Sim Sun+ 2" w:eastAsia="Sim Sun+ 2" w:cs="Sim Sun+ 2"/>
      <w:kern w:val="0"/>
      <w:sz w:val="24"/>
    </w:rPr>
  </w:style>
  <w:style w:type="paragraph" w:customStyle="1" w:styleId="1296">
    <w:name w:val="Char1 Char Char Char Char Char Char Char Char Char"/>
    <w:basedOn w:val="1"/>
    <w:autoRedefine/>
    <w:qFormat/>
    <w:uiPriority w:val="99"/>
    <w:rPr>
      <w:sz w:val="24"/>
    </w:rPr>
  </w:style>
  <w:style w:type="paragraph" w:customStyle="1" w:styleId="1297">
    <w:name w:val="xl86"/>
    <w:basedOn w:val="1"/>
    <w:autoRedefine/>
    <w:qFormat/>
    <w:uiPriority w:val="99"/>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1298">
    <w:name w:val="Char Char Char Char Char Char1 Char Char Char Char Char Char Char1"/>
    <w:basedOn w:val="1"/>
    <w:autoRedefine/>
    <w:qFormat/>
    <w:uiPriority w:val="99"/>
  </w:style>
  <w:style w:type="paragraph" w:customStyle="1" w:styleId="1299">
    <w:name w:val="表格内容2"/>
    <w:basedOn w:val="321"/>
    <w:autoRedefine/>
    <w:qFormat/>
    <w:uiPriority w:val="99"/>
    <w:pPr>
      <w:overflowPunct w:val="0"/>
      <w:autoSpaceDE/>
      <w:autoSpaceDN/>
      <w:snapToGrid w:val="0"/>
      <w:textAlignment w:val="baseline"/>
    </w:pPr>
    <w:rPr>
      <w:rFonts w:cs="Arial"/>
      <w:color w:val="000000"/>
      <w:szCs w:val="24"/>
    </w:rPr>
  </w:style>
  <w:style w:type="paragraph" w:customStyle="1" w:styleId="1300">
    <w:name w:val="前言"/>
    <w:basedOn w:val="1"/>
    <w:autoRedefine/>
    <w:qFormat/>
    <w:uiPriority w:val="99"/>
    <w:pPr>
      <w:spacing w:line="560" w:lineRule="exact"/>
      <w:jc w:val="center"/>
    </w:pPr>
    <w:rPr>
      <w:rFonts w:cs="宋体"/>
      <w:b/>
      <w:sz w:val="30"/>
      <w:szCs w:val="20"/>
    </w:rPr>
  </w:style>
  <w:style w:type="paragraph" w:customStyle="1" w:styleId="1301">
    <w:name w:val="xl178"/>
    <w:basedOn w:val="1"/>
    <w:autoRedefine/>
    <w:qFormat/>
    <w:uiPriority w:val="99"/>
    <w:pPr>
      <w:widowControl/>
      <w:spacing w:before="100" w:beforeAutospacing="1" w:after="100" w:afterAutospacing="1"/>
      <w:jc w:val="center"/>
    </w:pPr>
    <w:rPr>
      <w:rFonts w:ascii="Arial Unicode MS" w:hAnsi="Arial Unicode MS"/>
      <w:kern w:val="0"/>
      <w:sz w:val="12"/>
      <w:szCs w:val="12"/>
    </w:rPr>
  </w:style>
  <w:style w:type="paragraph" w:customStyle="1" w:styleId="1302">
    <w:name w:val="CM4"/>
    <w:basedOn w:val="1"/>
    <w:next w:val="1"/>
    <w:autoRedefine/>
    <w:qFormat/>
    <w:uiPriority w:val="99"/>
    <w:pPr>
      <w:autoSpaceDE w:val="0"/>
      <w:autoSpaceDN w:val="0"/>
      <w:adjustRightInd w:val="0"/>
      <w:spacing w:line="520" w:lineRule="atLeast"/>
      <w:jc w:val="left"/>
    </w:pPr>
    <w:rPr>
      <w:rFonts w:ascii="宋体"/>
      <w:kern w:val="0"/>
      <w:sz w:val="24"/>
    </w:rPr>
  </w:style>
  <w:style w:type="paragraph" w:customStyle="1" w:styleId="1303">
    <w:name w:val="xl187"/>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1304">
    <w:name w:val="样式23"/>
    <w:basedOn w:val="1"/>
    <w:autoRedefine/>
    <w:qFormat/>
    <w:uiPriority w:val="99"/>
    <w:pPr>
      <w:spacing w:beforeLines="50" w:afterLines="100"/>
      <w:ind w:right="141" w:rightChars="67" w:firstLine="480" w:firstLineChars="200"/>
    </w:pPr>
    <w:rPr>
      <w:rFonts w:ascii="黑体" w:eastAsia="黑体"/>
      <w:sz w:val="24"/>
      <w:szCs w:val="20"/>
    </w:rPr>
  </w:style>
  <w:style w:type="paragraph" w:customStyle="1" w:styleId="1305">
    <w:name w:val="正文居中"/>
    <w:basedOn w:val="60"/>
    <w:autoRedefine/>
    <w:qFormat/>
    <w:uiPriority w:val="99"/>
    <w:pPr>
      <w:tabs>
        <w:tab w:val="left" w:pos="244"/>
        <w:tab w:val="left" w:pos="720"/>
      </w:tabs>
      <w:adjustRightInd w:val="0"/>
      <w:snapToGrid/>
      <w:jc w:val="center"/>
    </w:pPr>
    <w:rPr>
      <w:rFonts w:ascii="宋体" w:hAnsi="Arial"/>
      <w:b w:val="0"/>
      <w:caps w:val="0"/>
      <w:sz w:val="28"/>
      <w:szCs w:val="28"/>
    </w:rPr>
  </w:style>
  <w:style w:type="paragraph" w:customStyle="1" w:styleId="1306">
    <w:name w:val="xl143"/>
    <w:basedOn w:val="1"/>
    <w:autoRedefine/>
    <w:qFormat/>
    <w:uiPriority w:val="99"/>
    <w:pPr>
      <w:widowControl/>
      <w:pBdr>
        <w:top w:val="single" w:color="auto" w:sz="8" w:space="0"/>
        <w:left w:val="single" w:color="auto" w:sz="4" w:space="0"/>
        <w:bottom w:val="single" w:color="auto" w:sz="8"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307">
    <w:name w:val="Char Char Char Char Char Char Char Char Char Char Char Char Char Char Char Char2"/>
    <w:basedOn w:val="1"/>
    <w:autoRedefine/>
    <w:qFormat/>
    <w:uiPriority w:val="99"/>
    <w:pPr>
      <w:widowControl/>
      <w:contextualSpacing/>
      <w:jc w:val="left"/>
    </w:pPr>
    <w:rPr>
      <w:rFonts w:cs="宋体"/>
      <w:kern w:val="0"/>
    </w:rPr>
  </w:style>
  <w:style w:type="paragraph" w:customStyle="1" w:styleId="1308">
    <w:name w:val="msoplaintextcxspmiddle"/>
    <w:basedOn w:val="1"/>
    <w:autoRedefine/>
    <w:qFormat/>
    <w:uiPriority w:val="99"/>
    <w:pPr>
      <w:widowControl/>
      <w:spacing w:before="100" w:beforeAutospacing="1" w:after="100" w:afterAutospacing="1"/>
      <w:contextualSpacing/>
      <w:jc w:val="left"/>
    </w:pPr>
    <w:rPr>
      <w:rFonts w:cs="宋体"/>
      <w:kern w:val="0"/>
    </w:rPr>
  </w:style>
  <w:style w:type="paragraph" w:customStyle="1" w:styleId="1309">
    <w:name w:val="表格文字2"/>
    <w:basedOn w:val="1"/>
    <w:autoRedefine/>
    <w:semiHidden/>
    <w:qFormat/>
    <w:uiPriority w:val="99"/>
    <w:pPr>
      <w:tabs>
        <w:tab w:val="left" w:pos="277"/>
        <w:tab w:val="left" w:pos="600"/>
        <w:tab w:val="left" w:pos="780"/>
        <w:tab w:val="left" w:pos="2517"/>
      </w:tabs>
      <w:adjustRightInd w:val="0"/>
      <w:spacing w:before="60"/>
      <w:jc w:val="center"/>
      <w:textAlignment w:val="baseline"/>
    </w:pPr>
    <w:rPr>
      <w:rFonts w:eastAsia="楷体_GB2312"/>
      <w:kern w:val="0"/>
      <w:sz w:val="24"/>
      <w:szCs w:val="20"/>
    </w:rPr>
  </w:style>
  <w:style w:type="table" w:customStyle="1" w:styleId="1310">
    <w:name w:val="无格式表格 21"/>
    <w:autoRedefine/>
    <w:qFormat/>
    <w:uiPriority w:val="99"/>
    <w:tblPr>
      <w:tblBorders>
        <w:top w:val="single" w:color="7F7F7F" w:sz="4" w:space="0"/>
        <w:bottom w:val="single" w:color="7F7F7F" w:sz="4" w:space="0"/>
      </w:tblBorders>
      <w:tblCellMar>
        <w:top w:w="0" w:type="dxa"/>
        <w:left w:w="108" w:type="dxa"/>
        <w:bottom w:w="0" w:type="dxa"/>
        <w:right w:w="108" w:type="dxa"/>
      </w:tblCellMar>
    </w:tblPr>
  </w:style>
  <w:style w:type="table" w:customStyle="1" w:styleId="1311">
    <w:name w:val="网格型（pxg）1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2">
    <w:name w:val="网格型 52"/>
    <w:autoRedefine/>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style>
  <w:style w:type="table" w:customStyle="1" w:styleId="1313">
    <w:name w:val="无格式表格 41"/>
    <w:autoRedefine/>
    <w:qFormat/>
    <w:uiPriority w:val="99"/>
    <w:tblPr>
      <w:tblCellMar>
        <w:top w:w="0" w:type="dxa"/>
        <w:left w:w="108" w:type="dxa"/>
        <w:bottom w:w="0" w:type="dxa"/>
        <w:right w:w="108" w:type="dxa"/>
      </w:tblCellMar>
    </w:tblPr>
  </w:style>
  <w:style w:type="table" w:customStyle="1" w:styleId="1314">
    <w:name w:val="环评用表10"/>
    <w:autoRedefine/>
    <w:qFormat/>
    <w:uiPriority w:val="99"/>
    <w:pPr>
      <w:widowControl w:val="0"/>
      <w:jc w:val="both"/>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15">
    <w:name w:val="环评用表6"/>
    <w:autoRedefine/>
    <w:qFormat/>
    <w:uiPriority w:val="99"/>
    <w:pPr>
      <w:widowControl w:val="0"/>
      <w:jc w:val="both"/>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16">
    <w:name w:val="网格型（pxg）2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7">
    <w:name w:val="表格aaa"/>
    <w:autoRedefine/>
    <w:qFormat/>
    <w:uiPriority w:val="99"/>
    <w:pPr>
      <w:jc w:val="both"/>
    </w:pPr>
    <w:tblPr>
      <w:tblBorders>
        <w:top w:val="single" w:color="auto" w:sz="12" w:space="0"/>
        <w:bottom w:val="single" w:color="auto" w:sz="12" w:space="0"/>
        <w:insideH w:val="single" w:color="auto" w:sz="8" w:space="0"/>
        <w:insideV w:val="single" w:color="auto" w:sz="8" w:space="0"/>
      </w:tblBorders>
      <w:tblCellMar>
        <w:top w:w="0" w:type="dxa"/>
        <w:left w:w="108" w:type="dxa"/>
        <w:bottom w:w="0" w:type="dxa"/>
        <w:right w:w="108" w:type="dxa"/>
      </w:tblCellMar>
    </w:tblPr>
  </w:style>
  <w:style w:type="table" w:customStyle="1" w:styleId="1318">
    <w:name w:val="正文+宋体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9">
    <w:name w:val="环评用表7"/>
    <w:autoRedefine/>
    <w:qFormat/>
    <w:uiPriority w:val="99"/>
    <w:pPr>
      <w:widowControl w:val="0"/>
      <w:jc w:val="both"/>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20">
    <w:name w:val="表格样式-tjgsqiu1"/>
    <w:basedOn w:val="88"/>
    <w:autoRedefine/>
    <w:qFormat/>
    <w:uiPriority w:val="99"/>
    <w:pPr>
      <w:snapToGrid w:val="0"/>
      <w:spacing w:line="240" w:lineRule="auto"/>
      <w:ind w:firstLine="0" w:firstLineChars="0"/>
      <w:jc w:val="center"/>
    </w:pPr>
    <w:rPr>
      <w:sz w:val="21"/>
    </w:rPr>
    <w:tblPr>
      <w:tblCellMar>
        <w:left w:w="0" w:type="dxa"/>
        <w:right w:w="0" w:type="dxa"/>
      </w:tblCellMar>
    </w:tblPr>
  </w:style>
  <w:style w:type="table" w:customStyle="1" w:styleId="1321">
    <w:name w:val="网格型 111"/>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customStyle="1" w:styleId="1322">
    <w:name w:val="表格样式-tjgsqiu2"/>
    <w:basedOn w:val="88"/>
    <w:autoRedefine/>
    <w:qFormat/>
    <w:uiPriority w:val="99"/>
    <w:pPr>
      <w:snapToGrid w:val="0"/>
      <w:spacing w:line="240" w:lineRule="auto"/>
      <w:ind w:firstLine="0" w:firstLineChars="0"/>
      <w:jc w:val="center"/>
    </w:pPr>
    <w:rPr>
      <w:sz w:val="21"/>
    </w:rPr>
    <w:tblPr>
      <w:tblCellMar>
        <w:left w:w="0" w:type="dxa"/>
        <w:right w:w="0" w:type="dxa"/>
      </w:tblCellMar>
    </w:tblPr>
  </w:style>
  <w:style w:type="table" w:customStyle="1" w:styleId="1323">
    <w:name w:val="表格样式-tjgsqiu"/>
    <w:basedOn w:val="88"/>
    <w:autoRedefine/>
    <w:qFormat/>
    <w:uiPriority w:val="99"/>
    <w:pPr>
      <w:snapToGrid w:val="0"/>
      <w:spacing w:line="240" w:lineRule="auto"/>
      <w:ind w:firstLine="0" w:firstLineChars="0"/>
      <w:jc w:val="center"/>
    </w:pPr>
    <w:rPr>
      <w:sz w:val="21"/>
    </w:rPr>
    <w:tblPr>
      <w:tblCellMar>
        <w:left w:w="0" w:type="dxa"/>
        <w:right w:w="0" w:type="dxa"/>
      </w:tblCellMar>
    </w:tblPr>
  </w:style>
  <w:style w:type="table" w:customStyle="1" w:styleId="1324">
    <w:name w:val="网格型1"/>
    <w:autoRedefine/>
    <w:qFormat/>
    <w:uiPriority w:val="99"/>
    <w:pPr>
      <w:widowControl w:val="0"/>
      <w:spacing w:line="440" w:lineRule="exact"/>
      <w:ind w:firstLine="504" w:firstLineChars="20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5">
    <w:name w:val="正文+宋体1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6">
    <w:name w:val="网格型 12"/>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customStyle="1" w:styleId="1327">
    <w:name w:val="表格样式pp"/>
    <w:autoRedefine/>
    <w:qFormat/>
    <w:uiPriority w:val="99"/>
    <w:tblPr>
      <w:tblBorders>
        <w:top w:val="single" w:color="auto" w:sz="12" w:space="0"/>
        <w:bottom w:val="single" w:color="auto" w:sz="12" w:space="0"/>
        <w:insideH w:val="single" w:color="auto" w:sz="2" w:space="0"/>
        <w:insideV w:val="single" w:color="auto" w:sz="2" w:space="0"/>
      </w:tblBorders>
      <w:tblCellMar>
        <w:top w:w="0" w:type="dxa"/>
        <w:left w:w="108" w:type="dxa"/>
        <w:bottom w:w="0" w:type="dxa"/>
        <w:right w:w="108" w:type="dxa"/>
      </w:tblCellMar>
    </w:tblPr>
  </w:style>
  <w:style w:type="table" w:customStyle="1" w:styleId="1328">
    <w:name w:val="环评用表3"/>
    <w:autoRedefine/>
    <w:qFormat/>
    <w:uiPriority w:val="99"/>
    <w:pPr>
      <w:widowControl w:val="0"/>
      <w:jc w:val="both"/>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29">
    <w:name w:val="环评用表9"/>
    <w:autoRedefine/>
    <w:qFormat/>
    <w:uiPriority w:val="99"/>
    <w:pPr>
      <w:widowControl w:val="0"/>
      <w:jc w:val="both"/>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30">
    <w:name w:val="环评用表2"/>
    <w:autoRedefine/>
    <w:qFormat/>
    <w:uiPriority w:val="99"/>
    <w:pPr>
      <w:widowControl w:val="0"/>
      <w:jc w:val="both"/>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31">
    <w:name w:val="网格型（pxg）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2">
    <w:name w:val="专业型2"/>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customStyle="1" w:styleId="1333">
    <w:name w:val="环评用表1"/>
    <w:autoRedefine/>
    <w:qFormat/>
    <w:uiPriority w:val="99"/>
    <w:pPr>
      <w:widowControl w:val="0"/>
      <w:jc w:val="both"/>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34">
    <w:name w:val="环评用表5"/>
    <w:autoRedefine/>
    <w:qFormat/>
    <w:uiPriority w:val="99"/>
    <w:pPr>
      <w:widowControl w:val="0"/>
      <w:jc w:val="both"/>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35">
    <w:name w:val="表格样式12"/>
    <w:autoRedefine/>
    <w:semiHidden/>
    <w:qFormat/>
    <w:uiPriority w:val="99"/>
    <w:tblPr>
      <w:jc w:val="center"/>
      <w:tblBorders>
        <w:top w:val="single" w:color="auto" w:sz="12" w:space="0"/>
        <w:bottom w:val="single" w:color="auto" w:sz="12" w:space="0"/>
        <w:insideH w:val="single" w:color="auto" w:sz="2" w:space="0"/>
        <w:insideV w:val="single" w:color="auto" w:sz="2" w:space="0"/>
      </w:tblBorders>
      <w:tblCellMar>
        <w:top w:w="0" w:type="dxa"/>
        <w:left w:w="108" w:type="dxa"/>
        <w:bottom w:w="0" w:type="dxa"/>
        <w:right w:w="108" w:type="dxa"/>
      </w:tblCellMar>
    </w:tblPr>
    <w:trPr>
      <w:jc w:val="center"/>
    </w:trPr>
  </w:style>
  <w:style w:type="table" w:customStyle="1" w:styleId="1336">
    <w:name w:val="网格型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7">
    <w:name w:val="网格型 13"/>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customStyle="1" w:styleId="1338">
    <w:name w:val="网格型 11"/>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customStyle="1" w:styleId="1339">
    <w:name w:val="正文+宋体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0">
    <w:name w:val="表格主题（安）1"/>
    <w:autoRedefine/>
    <w:semiHidden/>
    <w:qFormat/>
    <w:uiPriority w:val="9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1">
    <w:name w:val="环评用表8"/>
    <w:autoRedefine/>
    <w:qFormat/>
    <w:uiPriority w:val="99"/>
    <w:pPr>
      <w:widowControl w:val="0"/>
      <w:jc w:val="both"/>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42">
    <w:name w:val="环评用表42"/>
    <w:autoRedefine/>
    <w:qFormat/>
    <w:uiPriority w:val="99"/>
    <w:pPr>
      <w:widowControl w:val="0"/>
      <w:jc w:val="both"/>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43">
    <w:name w:val="环评用表41"/>
    <w:autoRedefine/>
    <w:qFormat/>
    <w:uiPriority w:val="99"/>
    <w:pPr>
      <w:widowControl w:val="0"/>
      <w:jc w:val="both"/>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44">
    <w:name w:val="表格aaa1"/>
    <w:autoRedefine/>
    <w:qFormat/>
    <w:uiPriority w:val="99"/>
    <w:pPr>
      <w:jc w:val="both"/>
    </w:pPr>
    <w:tblPr>
      <w:tblBorders>
        <w:top w:val="single" w:color="auto" w:sz="12" w:space="0"/>
        <w:bottom w:val="single" w:color="auto" w:sz="12" w:space="0"/>
        <w:insideH w:val="single" w:color="auto" w:sz="8" w:space="0"/>
        <w:insideV w:val="single" w:color="auto" w:sz="8" w:space="0"/>
      </w:tblBorders>
      <w:tblCellMar>
        <w:top w:w="0" w:type="dxa"/>
        <w:left w:w="108" w:type="dxa"/>
        <w:bottom w:w="0" w:type="dxa"/>
        <w:right w:w="108" w:type="dxa"/>
      </w:tblCellMar>
    </w:tblPr>
  </w:style>
  <w:style w:type="table" w:customStyle="1" w:styleId="1345">
    <w:name w:val="表格样式11"/>
    <w:autoRedefine/>
    <w:semiHidden/>
    <w:qFormat/>
    <w:uiPriority w:val="99"/>
    <w:tblPr>
      <w:jc w:val="center"/>
      <w:tblBorders>
        <w:top w:val="single" w:color="auto" w:sz="12" w:space="0"/>
        <w:bottom w:val="single" w:color="auto" w:sz="12" w:space="0"/>
        <w:insideH w:val="single" w:color="auto" w:sz="2" w:space="0"/>
        <w:insideV w:val="single" w:color="auto" w:sz="2" w:space="0"/>
      </w:tblBorders>
      <w:tblCellMar>
        <w:top w:w="0" w:type="dxa"/>
        <w:left w:w="108" w:type="dxa"/>
        <w:bottom w:w="0" w:type="dxa"/>
        <w:right w:w="108" w:type="dxa"/>
      </w:tblCellMar>
    </w:tblPr>
    <w:trPr>
      <w:jc w:val="center"/>
    </w:trPr>
  </w:style>
  <w:style w:type="table" w:customStyle="1" w:styleId="1346">
    <w:name w:val="网格型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7">
    <w:name w:val="网格型 14"/>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customStyle="1" w:styleId="1348">
    <w:name w:val="环评用表11"/>
    <w:autoRedefine/>
    <w:qFormat/>
    <w:uiPriority w:val="99"/>
    <w:pPr>
      <w:widowControl w:val="0"/>
      <w:jc w:val="both"/>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49">
    <w:name w:val="网格型13"/>
    <w:autoRedefine/>
    <w:qFormat/>
    <w:uiPriority w:val="99"/>
    <w:pPr>
      <w:widowControl w:val="0"/>
      <w:spacing w:line="440" w:lineRule="exact"/>
      <w:ind w:firstLine="504" w:firstLineChars="20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0">
    <w:name w:val="网格型 113"/>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customStyle="1" w:styleId="1351">
    <w:name w:val="专业型3"/>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customStyle="1" w:styleId="1352">
    <w:name w:val="表格aaa2"/>
    <w:autoRedefine/>
    <w:qFormat/>
    <w:uiPriority w:val="99"/>
    <w:pPr>
      <w:jc w:val="both"/>
    </w:pPr>
    <w:tblPr>
      <w:tblBorders>
        <w:top w:val="single" w:color="auto" w:sz="12" w:space="0"/>
        <w:bottom w:val="single" w:color="auto" w:sz="12" w:space="0"/>
        <w:insideH w:val="single" w:color="auto" w:sz="8" w:space="0"/>
        <w:insideV w:val="single" w:color="auto" w:sz="8" w:space="0"/>
      </w:tblBorders>
      <w:tblCellMar>
        <w:top w:w="0" w:type="dxa"/>
        <w:left w:w="108" w:type="dxa"/>
        <w:bottom w:w="0" w:type="dxa"/>
        <w:right w:w="108" w:type="dxa"/>
      </w:tblCellMar>
    </w:tblPr>
  </w:style>
  <w:style w:type="table" w:customStyle="1" w:styleId="1353">
    <w:name w:val="网格型 112"/>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customStyle="1" w:styleId="1354">
    <w:name w:val="正文+宋体1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5">
    <w:name w:val="表格主题（安）2"/>
    <w:autoRedefine/>
    <w:semiHidden/>
    <w:qFormat/>
    <w:uiPriority w:val="9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6">
    <w:name w:val="表格样式13"/>
    <w:autoRedefine/>
    <w:semiHidden/>
    <w:qFormat/>
    <w:uiPriority w:val="99"/>
    <w:tblPr>
      <w:jc w:val="center"/>
      <w:tblBorders>
        <w:top w:val="single" w:color="auto" w:sz="12" w:space="0"/>
        <w:bottom w:val="single" w:color="auto" w:sz="12" w:space="0"/>
        <w:insideH w:val="single" w:color="auto" w:sz="2" w:space="0"/>
        <w:insideV w:val="single" w:color="auto" w:sz="2" w:space="0"/>
      </w:tblBorders>
      <w:tblCellMar>
        <w:top w:w="0" w:type="dxa"/>
        <w:left w:w="108" w:type="dxa"/>
        <w:bottom w:w="0" w:type="dxa"/>
        <w:right w:w="108" w:type="dxa"/>
      </w:tblCellMar>
    </w:tblPr>
    <w:trPr>
      <w:jc w:val="center"/>
    </w:trPr>
  </w:style>
  <w:style w:type="table" w:customStyle="1" w:styleId="1357">
    <w:name w:val="网格型（pxg）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8">
    <w:name w:val="网格型（pxg）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9">
    <w:name w:val="专业型1"/>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customStyle="1" w:styleId="1360">
    <w:name w:val="表格样式1"/>
    <w:autoRedefine/>
    <w:semiHidden/>
    <w:qFormat/>
    <w:uiPriority w:val="99"/>
    <w:tblPr>
      <w:jc w:val="center"/>
      <w:tblBorders>
        <w:top w:val="single" w:color="auto" w:sz="12" w:space="0"/>
        <w:bottom w:val="single" w:color="auto" w:sz="12" w:space="0"/>
        <w:insideH w:val="single" w:color="auto" w:sz="2" w:space="0"/>
        <w:insideV w:val="single" w:color="auto" w:sz="2" w:space="0"/>
      </w:tblBorders>
      <w:tblCellMar>
        <w:top w:w="0" w:type="dxa"/>
        <w:left w:w="108" w:type="dxa"/>
        <w:bottom w:w="0" w:type="dxa"/>
        <w:right w:w="108" w:type="dxa"/>
      </w:tblCellMar>
    </w:tblPr>
    <w:trPr>
      <w:jc w:val="center"/>
    </w:trPr>
  </w:style>
  <w:style w:type="table" w:customStyle="1" w:styleId="1361">
    <w:name w:val="表格样式pp3"/>
    <w:autoRedefine/>
    <w:qFormat/>
    <w:uiPriority w:val="99"/>
    <w:tblPr>
      <w:tblBorders>
        <w:top w:val="single" w:color="auto" w:sz="12" w:space="0"/>
        <w:bottom w:val="single" w:color="auto" w:sz="12" w:space="0"/>
        <w:insideH w:val="single" w:color="auto" w:sz="2" w:space="0"/>
        <w:insideV w:val="single" w:color="auto" w:sz="2" w:space="0"/>
      </w:tblBorders>
      <w:tblCellMar>
        <w:top w:w="0" w:type="dxa"/>
        <w:left w:w="108" w:type="dxa"/>
        <w:bottom w:w="0" w:type="dxa"/>
        <w:right w:w="108" w:type="dxa"/>
      </w:tblCellMar>
    </w:tblPr>
  </w:style>
  <w:style w:type="table" w:customStyle="1" w:styleId="1362">
    <w:name w:val="无格式表格 51"/>
    <w:autoRedefine/>
    <w:qFormat/>
    <w:uiPriority w:val="99"/>
    <w:tblPr>
      <w:tblCellMar>
        <w:top w:w="0" w:type="dxa"/>
        <w:left w:w="108" w:type="dxa"/>
        <w:bottom w:w="0" w:type="dxa"/>
        <w:right w:w="108" w:type="dxa"/>
      </w:tblCellMar>
    </w:tblPr>
  </w:style>
  <w:style w:type="table" w:customStyle="1" w:styleId="1363">
    <w:name w:val="表格样式pp2"/>
    <w:autoRedefine/>
    <w:qFormat/>
    <w:uiPriority w:val="99"/>
    <w:tblPr>
      <w:tblBorders>
        <w:top w:val="single" w:color="auto" w:sz="12" w:space="0"/>
        <w:bottom w:val="single" w:color="auto" w:sz="12" w:space="0"/>
        <w:insideH w:val="single" w:color="auto" w:sz="2" w:space="0"/>
        <w:insideV w:val="single" w:color="auto" w:sz="2" w:space="0"/>
      </w:tblBorders>
      <w:tblCellMar>
        <w:top w:w="0" w:type="dxa"/>
        <w:left w:w="108" w:type="dxa"/>
        <w:bottom w:w="0" w:type="dxa"/>
        <w:right w:w="108" w:type="dxa"/>
      </w:tblCellMar>
    </w:tblPr>
  </w:style>
  <w:style w:type="table" w:customStyle="1" w:styleId="1364">
    <w:name w:val="网格型（pxg）1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5">
    <w:name w:val="网格型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6">
    <w:name w:val="表格主题（安）3"/>
    <w:autoRedefine/>
    <w:semiHidden/>
    <w:qFormat/>
    <w:uiPriority w:val="9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7">
    <w:name w:val="网格型（pxg）2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8">
    <w:name w:val="表格aaa3"/>
    <w:autoRedefine/>
    <w:qFormat/>
    <w:uiPriority w:val="99"/>
    <w:pPr>
      <w:jc w:val="both"/>
    </w:pPr>
    <w:tblPr>
      <w:tblBorders>
        <w:top w:val="single" w:color="auto" w:sz="12" w:space="0"/>
        <w:bottom w:val="single" w:color="auto" w:sz="12" w:space="0"/>
        <w:insideH w:val="single" w:color="auto" w:sz="8" w:space="0"/>
        <w:insideV w:val="single" w:color="auto" w:sz="8" w:space="0"/>
      </w:tblBorders>
      <w:tblCellMar>
        <w:top w:w="0" w:type="dxa"/>
        <w:left w:w="108" w:type="dxa"/>
        <w:bottom w:w="0" w:type="dxa"/>
        <w:right w:w="108" w:type="dxa"/>
      </w:tblCellMar>
    </w:tblPr>
  </w:style>
  <w:style w:type="table" w:customStyle="1" w:styleId="1369">
    <w:name w:val="表格样式-tjgsqiu3"/>
    <w:basedOn w:val="88"/>
    <w:autoRedefine/>
    <w:qFormat/>
    <w:uiPriority w:val="99"/>
    <w:pPr>
      <w:snapToGrid w:val="0"/>
      <w:spacing w:line="240" w:lineRule="auto"/>
      <w:ind w:firstLine="0" w:firstLineChars="0"/>
      <w:jc w:val="center"/>
    </w:pPr>
    <w:rPr>
      <w:sz w:val="21"/>
    </w:rPr>
    <w:tblPr>
      <w:tblCellMar>
        <w:left w:w="0" w:type="dxa"/>
        <w:right w:w="0" w:type="dxa"/>
      </w:tblCellMar>
    </w:tblPr>
  </w:style>
  <w:style w:type="table" w:customStyle="1" w:styleId="1370">
    <w:name w:val="网格型 53"/>
    <w:autoRedefine/>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style>
  <w:style w:type="table" w:customStyle="1" w:styleId="1371">
    <w:name w:val="网格型（pxg）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2">
    <w:name w:val="网格型 51"/>
    <w:autoRedefine/>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style>
  <w:style w:type="table" w:customStyle="1" w:styleId="1373">
    <w:name w:val="网格型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4">
    <w:name w:val="网格型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5">
    <w:name w:val="网格型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6">
    <w:name w:val="网格型4"/>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7">
    <w:name w:val="网格型14"/>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8">
    <w:name w:val="环评用表4"/>
    <w:autoRedefine/>
    <w:qFormat/>
    <w:uiPriority w:val="99"/>
    <w:pPr>
      <w:widowControl w:val="0"/>
      <w:jc w:val="both"/>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style>
  <w:style w:type="table" w:customStyle="1" w:styleId="1379">
    <w:name w:val="表格样式pp1"/>
    <w:autoRedefine/>
    <w:qFormat/>
    <w:uiPriority w:val="99"/>
    <w:tblPr>
      <w:tblBorders>
        <w:top w:val="single" w:color="auto" w:sz="12" w:space="0"/>
        <w:bottom w:val="single" w:color="auto" w:sz="12" w:space="0"/>
        <w:insideH w:val="single" w:color="auto" w:sz="2" w:space="0"/>
        <w:insideV w:val="single" w:color="auto" w:sz="2" w:space="0"/>
      </w:tblBorders>
      <w:tblCellMar>
        <w:top w:w="0" w:type="dxa"/>
        <w:left w:w="108" w:type="dxa"/>
        <w:bottom w:w="0" w:type="dxa"/>
        <w:right w:w="108" w:type="dxa"/>
      </w:tblCellMar>
    </w:tblPr>
  </w:style>
  <w:style w:type="table" w:customStyle="1" w:styleId="1380">
    <w:name w:val="无格式表格 31"/>
    <w:autoRedefine/>
    <w:qFormat/>
    <w:uiPriority w:val="99"/>
    <w:tblPr>
      <w:tblCellMar>
        <w:top w:w="0" w:type="dxa"/>
        <w:left w:w="108" w:type="dxa"/>
        <w:bottom w:w="0" w:type="dxa"/>
        <w:right w:w="108" w:type="dxa"/>
      </w:tblCellMar>
    </w:tblPr>
  </w:style>
  <w:style w:type="table" w:customStyle="1" w:styleId="1381">
    <w:name w:val="网格型11"/>
    <w:autoRedefine/>
    <w:qFormat/>
    <w:uiPriority w:val="99"/>
    <w:pPr>
      <w:widowControl w:val="0"/>
      <w:spacing w:line="440" w:lineRule="exact"/>
      <w:ind w:firstLine="504" w:firstLineChars="20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2">
    <w:name w:val="网格型12"/>
    <w:autoRedefine/>
    <w:qFormat/>
    <w:uiPriority w:val="99"/>
    <w:pPr>
      <w:widowControl w:val="0"/>
      <w:spacing w:line="440" w:lineRule="exact"/>
      <w:ind w:firstLine="504" w:firstLineChars="20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83">
    <w:name w:val="ref"/>
    <w:autoRedefine/>
    <w:qFormat/>
    <w:uiPriority w:val="99"/>
  </w:style>
  <w:style w:type="paragraph" w:customStyle="1" w:styleId="1384">
    <w:name w:val="正文4"/>
    <w:autoRedefine/>
    <w:qFormat/>
    <w:uiPriority w:val="99"/>
    <w:pPr>
      <w:jc w:val="both"/>
    </w:pPr>
    <w:rPr>
      <w:rFonts w:ascii="Times New Roman" w:hAnsi="Times New Roman" w:eastAsia="宋体" w:cs="Times New Roman"/>
      <w:kern w:val="2"/>
      <w:sz w:val="21"/>
      <w:szCs w:val="21"/>
      <w:lang w:val="en-US" w:eastAsia="zh-CN" w:bidi="ar-SA"/>
    </w:rPr>
  </w:style>
  <w:style w:type="paragraph" w:customStyle="1" w:styleId="1385">
    <w:name w:val="聪表标题"/>
    <w:basedOn w:val="1"/>
    <w:autoRedefine/>
    <w:qFormat/>
    <w:uiPriority w:val="99"/>
    <w:pPr>
      <w:spacing w:line="360" w:lineRule="auto"/>
      <w:jc w:val="center"/>
    </w:pPr>
    <w:rPr>
      <w:rFonts w:ascii="黑体" w:hAnsi="黑体" w:eastAsia="黑体"/>
      <w:sz w:val="24"/>
    </w:rPr>
  </w:style>
  <w:style w:type="table" w:customStyle="1" w:styleId="1386">
    <w:name w:val="网格型浅色1"/>
    <w:autoRedefine/>
    <w:qFormat/>
    <w:uiPriority w:val="99"/>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character" w:customStyle="1" w:styleId="1387">
    <w:name w:val="表 字符"/>
    <w:autoRedefine/>
    <w:qFormat/>
    <w:uiPriority w:val="99"/>
    <w:rPr>
      <w:sz w:val="21"/>
    </w:rPr>
  </w:style>
  <w:style w:type="paragraph" w:customStyle="1" w:styleId="1388">
    <w:name w:val="格"/>
    <w:basedOn w:val="1"/>
    <w:autoRedefine/>
    <w:qFormat/>
    <w:uiPriority w:val="0"/>
    <w:pPr>
      <w:widowControl/>
      <w:jc w:val="center"/>
    </w:pPr>
    <w:rPr>
      <w:bCs/>
      <w:snapToGrid w:val="0"/>
      <w:kern w:val="0"/>
    </w:rPr>
  </w:style>
  <w:style w:type="paragraph" w:customStyle="1" w:styleId="1389">
    <w:name w:val="环保表内字（五号）"/>
    <w:basedOn w:val="1"/>
    <w:autoRedefine/>
    <w:qFormat/>
    <w:uiPriority w:val="0"/>
    <w:pPr>
      <w:adjustRightInd w:val="0"/>
      <w:snapToGrid w:val="0"/>
      <w:spacing w:line="360" w:lineRule="auto"/>
      <w:ind w:firstLine="720" w:firstLineChars="200"/>
    </w:pPr>
    <w:rPr>
      <w:snapToGrid w:val="0"/>
      <w:kern w:val="0"/>
      <w:szCs w:val="21"/>
    </w:rPr>
  </w:style>
  <w:style w:type="character" w:customStyle="1" w:styleId="1390">
    <w:name w:val="font41"/>
    <w:basedOn w:val="92"/>
    <w:autoRedefine/>
    <w:qFormat/>
    <w:uiPriority w:val="0"/>
    <w:rPr>
      <w:rFonts w:hint="default" w:ascii="Times New Roman" w:hAnsi="Times New Roman" w:cs="Times New Roman"/>
      <w:color w:val="000000"/>
      <w:sz w:val="18"/>
      <w:szCs w:val="18"/>
      <w:u w:val="none"/>
      <w:vertAlign w:val="superscript"/>
    </w:rPr>
  </w:style>
  <w:style w:type="table" w:customStyle="1" w:styleId="1391">
    <w:name w:val="Table Normal"/>
    <w:autoRedefine/>
    <w:unhideWhenUsed/>
    <w:qFormat/>
    <w:uiPriority w:val="0"/>
    <w:tblPr>
      <w:tblCellMar>
        <w:top w:w="0" w:type="dxa"/>
        <w:left w:w="0" w:type="dxa"/>
        <w:bottom w:w="0" w:type="dxa"/>
        <w:right w:w="0" w:type="dxa"/>
      </w:tblCellMar>
    </w:tblPr>
  </w:style>
  <w:style w:type="paragraph" w:customStyle="1" w:styleId="1392">
    <w:name w:val="正文首行缩进 21"/>
    <w:basedOn w:val="34"/>
    <w:next w:val="1"/>
    <w:autoRedefine/>
    <w:qFormat/>
    <w:uiPriority w:val="0"/>
    <w:pPr>
      <w:spacing w:before="100" w:beforeAutospacing="1"/>
      <w:ind w:firstLine="420" w:firstLineChars="200"/>
    </w:pPr>
    <w:rPr>
      <w:kern w:val="2"/>
      <w:sz w:val="21"/>
      <w:szCs w:val="21"/>
    </w:rPr>
  </w:style>
  <w:style w:type="paragraph" w:customStyle="1" w:styleId="1393">
    <w:name w:val="列表段落1"/>
    <w:basedOn w:val="1"/>
    <w:autoRedefine/>
    <w:qFormat/>
    <w:uiPriority w:val="0"/>
    <w:pPr>
      <w:ind w:firstLine="420" w:firstLineChars="200"/>
    </w:pPr>
    <w:rPr>
      <w:szCs w:val="21"/>
    </w:rPr>
  </w:style>
  <w:style w:type="paragraph" w:customStyle="1" w:styleId="1394">
    <w:name w:val="正文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395">
    <w:name w:val="正文6"/>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1396">
    <w:name w:val="text_jrykg"/>
    <w:basedOn w:val="92"/>
    <w:autoRedefine/>
    <w:qFormat/>
    <w:uiPriority w:val="0"/>
  </w:style>
  <w:style w:type="character" w:customStyle="1" w:styleId="1397">
    <w:name w:val="font01"/>
    <w:basedOn w:val="92"/>
    <w:autoRedefine/>
    <w:qFormat/>
    <w:uiPriority w:val="0"/>
    <w:rPr>
      <w:rFonts w:hint="eastAsia" w:ascii="宋体" w:hAnsi="宋体" w:eastAsia="宋体" w:cs="宋体"/>
      <w:color w:val="000000"/>
      <w:sz w:val="18"/>
      <w:szCs w:val="18"/>
      <w:u w:val="none"/>
    </w:rPr>
  </w:style>
  <w:style w:type="character" w:customStyle="1" w:styleId="1398">
    <w:name w:val="font31"/>
    <w:basedOn w:val="92"/>
    <w:autoRedefine/>
    <w:qFormat/>
    <w:uiPriority w:val="0"/>
    <w:rPr>
      <w:rFonts w:hint="default" w:ascii="Times New Roman" w:hAnsi="Times New Roman" w:cs="Times New Roman"/>
      <w:color w:val="000000"/>
      <w:sz w:val="18"/>
      <w:szCs w:val="18"/>
      <w:u w:val="none"/>
      <w:vertAlign w:val="subscript"/>
    </w:rPr>
  </w:style>
  <w:style w:type="character" w:customStyle="1" w:styleId="1399">
    <w:name w:val="font51"/>
    <w:basedOn w:val="92"/>
    <w:autoRedefine/>
    <w:qFormat/>
    <w:uiPriority w:val="0"/>
    <w:rPr>
      <w:rFonts w:hint="default" w:ascii="Times New Roman" w:hAnsi="Times New Roman" w:cs="Times New Roman"/>
      <w:color w:val="000000"/>
      <w:sz w:val="18"/>
      <w:szCs w:val="18"/>
      <w:u w:val="none"/>
      <w:vertAlign w:val="superscript"/>
    </w:rPr>
  </w:style>
  <w:style w:type="paragraph" w:customStyle="1" w:styleId="1400">
    <w:name w:val="顶标4"/>
    <w:basedOn w:val="1"/>
    <w:autoRedefine/>
    <w:qFormat/>
    <w:uiPriority w:val="0"/>
    <w:pPr>
      <w:jc w:val="left"/>
    </w:pPr>
    <w:rPr>
      <w:rFonts w:hint="eastAsia"/>
      <w:b/>
    </w:rPr>
  </w:style>
  <w:style w:type="paragraph" w:customStyle="1" w:styleId="1401">
    <w:name w:val="表格首行"/>
    <w:basedOn w:val="1"/>
    <w:autoRedefine/>
    <w:qFormat/>
    <w:uiPriority w:val="0"/>
    <w:pPr>
      <w:snapToGrid w:val="0"/>
      <w:jc w:val="center"/>
    </w:pPr>
    <w:rPr>
      <w:b/>
    </w:rPr>
  </w:style>
  <w:style w:type="character" w:customStyle="1" w:styleId="1402">
    <w:name w:val="font61"/>
    <w:basedOn w:val="92"/>
    <w:autoRedefine/>
    <w:qFormat/>
    <w:uiPriority w:val="0"/>
    <w:rPr>
      <w:rFonts w:hint="default" w:ascii="Times New Roman" w:hAnsi="Times New Roman" w:cs="Times New Roman"/>
      <w:color w:val="000000"/>
      <w:sz w:val="21"/>
      <w:szCs w:val="21"/>
      <w:u w:val="none"/>
      <w:vertAlign w:val="superscript"/>
    </w:rPr>
  </w:style>
  <w:style w:type="paragraph" w:customStyle="1" w:styleId="1403">
    <w:name w:val="TOC 标题3"/>
    <w:basedOn w:val="3"/>
    <w:next w:val="1"/>
    <w:autoRedefine/>
    <w:unhideWhenUsed/>
    <w:qFormat/>
    <w:uiPriority w:val="39"/>
    <w:pPr>
      <w:keepLines/>
      <w:widowControl/>
      <w:overflowPunct/>
      <w:snapToGrid/>
      <w:spacing w:before="240" w:after="0"/>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1404">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05">
    <w:name w:val="正文7"/>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406">
    <w:name w:val="正文首行缩进 221"/>
    <w:basedOn w:val="34"/>
    <w:next w:val="1"/>
    <w:autoRedefine/>
    <w:qFormat/>
    <w:uiPriority w:val="0"/>
    <w:pPr>
      <w:spacing w:before="100" w:beforeAutospacing="1" w:line="360" w:lineRule="auto"/>
      <w:ind w:firstLine="420"/>
    </w:pPr>
    <w:rPr>
      <w:szCs w:val="24"/>
    </w:rPr>
  </w:style>
  <w:style w:type="paragraph" w:customStyle="1" w:styleId="1407">
    <w:name w:val="小Ꮄ"/>
    <w:basedOn w:val="1"/>
    <w:autoRedefine/>
    <w:qFormat/>
    <w:uiPriority w:val="0"/>
    <w:pPr>
      <w:spacing w:before="60" w:after="60" w:line="360" w:lineRule="auto"/>
    </w:pPr>
    <w:rPr>
      <w:szCs w:val="21"/>
    </w:rPr>
  </w:style>
  <w:style w:type="character" w:customStyle="1" w:styleId="1408">
    <w:name w:val="明显强调1"/>
    <w:autoRedefine/>
    <w:qFormat/>
    <w:uiPriority w:val="21"/>
    <w:rPr>
      <w:b/>
      <w:bCs/>
      <w:i/>
      <w:iCs/>
      <w:color w:val="4472C4"/>
    </w:rPr>
  </w:style>
  <w:style w:type="paragraph" w:customStyle="1" w:styleId="1409">
    <w:name w:val="正文首行缩进 22"/>
    <w:basedOn w:val="34"/>
    <w:next w:val="1"/>
    <w:autoRedefine/>
    <w:qFormat/>
    <w:uiPriority w:val="0"/>
    <w:rPr>
      <w:kern w:val="2"/>
      <w:sz w:val="21"/>
      <w:szCs w:val="21"/>
    </w:rPr>
  </w:style>
  <w:style w:type="character" w:customStyle="1" w:styleId="1410">
    <w:name w:val="text_agh3q"/>
    <w:basedOn w:val="92"/>
    <w:autoRedefine/>
    <w:qFormat/>
    <w:uiPriority w:val="0"/>
  </w:style>
  <w:style w:type="paragraph" w:customStyle="1" w:styleId="1411">
    <w:name w:val="Style"/>
    <w:autoRedefine/>
    <w:qFormat/>
    <w:uiPriority w:val="99"/>
    <w:pPr>
      <w:widowControl w:val="0"/>
      <w:autoSpaceDE w:val="0"/>
      <w:autoSpaceDN w:val="0"/>
      <w:adjustRightInd w:val="0"/>
    </w:pPr>
    <w:rPr>
      <w:rFonts w:ascii="TimesNewRomanPSMT" w:hAnsi="TimesNewRomanPSMT" w:eastAsia="宋体" w:cs="TimesNewRomanPSMT"/>
      <w:sz w:val="24"/>
      <w:szCs w:val="24"/>
      <w:lang w:val="zh" w:eastAsia="zh-CN" w:bidi="ar-SA"/>
    </w:rPr>
  </w:style>
  <w:style w:type="paragraph" w:customStyle="1" w:styleId="1412">
    <w:name w:val="Body Text Indent"/>
    <w:basedOn w:val="1"/>
    <w:next w:val="35"/>
    <w:autoRedefine/>
    <w:qFormat/>
    <w:uiPriority w:val="0"/>
    <w:pPr>
      <w:spacing w:after="120" w:afterLines="0"/>
      <w:ind w:left="420" w:leftChars="200"/>
    </w:pPr>
    <w:rPr>
      <w:rFonts w:ascii="Times New Roman" w:hAnsi="Times New Roman"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png"/><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37</Pages>
  <Words>10975</Words>
  <Characters>11527</Characters>
  <Lines>663</Lines>
  <Paragraphs>186</Paragraphs>
  <TotalTime>1</TotalTime>
  <ScaleCrop>false</ScaleCrop>
  <LinksUpToDate>false</LinksUpToDate>
  <CharactersWithSpaces>11553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2022-01-15T01:03:00Z</dcterms:created>
  <dc:creator>lhj</dc:creator>
  <cp:lastModifiedBy>小王的大王</cp:lastModifiedBy>
  <cp:lastPrinted>2023-12-27T03:40:00Z</cp:lastPrinted>
  <dcterms:modified xsi:type="dcterms:W3CDTF">2025-01-26T01:28:12Z</dcterms:modified>
  <dc:title>附件2</dc:title>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62F8802B04DB475A91E0B928B7F22016_13</vt:lpwstr>
  </property>
  <property fmtid="{D5CDD505-2E9C-101B-9397-08002B2CF9AE}" pid="4" name="ContentTypeId">
    <vt:lpwstr>0x0101007B91A5F31C6A3243B5F41DAA4CE1ED74</vt:lpwstr>
  </property>
  <property fmtid="{D5CDD505-2E9C-101B-9397-08002B2CF9AE}" pid="5" name="KSOTemplateDocerSaveRecord">
    <vt:lpwstr>eyJoZGlkIjoiNzA4OWJmMzY2ZDA1Y2U1YjRiZTkyYzA4MzFhNTI0MjEiLCJ1c2VySWQiOiI5MTEwNDcwMTkifQ==</vt:lpwstr>
  </property>
</Properties>
</file>